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宋体" w:hAnsi="宋体"/>
          <w:bCs/>
          <w:color w:val="auto"/>
          <w:szCs w:val="32"/>
          <w:highlight w:val="none"/>
        </w:rPr>
      </w:pPr>
      <w:bookmarkStart w:id="1" w:name="_GoBack"/>
      <w:bookmarkEnd w:id="1"/>
      <w:r>
        <w:rPr>
          <w:rFonts w:hint="eastAsia"/>
          <w:b/>
          <w:color w:val="auto"/>
          <w:sz w:val="44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4242435</wp:posOffset>
            </wp:positionH>
            <wp:positionV relativeFrom="paragraph">
              <wp:posOffset>31115</wp:posOffset>
            </wp:positionV>
            <wp:extent cx="1628775" cy="600075"/>
            <wp:effectExtent l="0" t="0" r="9525" b="9525"/>
            <wp:wrapTight wrapText="bothSides">
              <wp:wrapPolygon>
                <wp:start x="-126" y="0"/>
                <wp:lineTo x="-126" y="21257"/>
                <wp:lineTo x="21600" y="21257"/>
                <wp:lineTo x="21600" y="0"/>
                <wp:lineTo x="-126" y="0"/>
              </wp:wrapPolygon>
            </wp:wrapTight>
            <wp:docPr id="1" name="图片 8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无标题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b/>
          <w:color w:val="auto"/>
          <w:sz w:val="32"/>
          <w:szCs w:val="32"/>
          <w:highlight w:val="none"/>
        </w:rPr>
        <w:t xml:space="preserve">                                           </w:t>
      </w:r>
    </w:p>
    <w:p>
      <w:pPr>
        <w:ind w:right="-281"/>
        <w:jc w:val="right"/>
        <w:rPr>
          <w:rFonts w:ascii="Bookman Old Style" w:hAnsi="Bookman Old Style"/>
          <w:b/>
          <w:color w:val="auto"/>
          <w:sz w:val="28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44"/>
          <w:szCs w:val="44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52"/>
          <w:szCs w:val="52"/>
          <w:highlight w:val="none"/>
        </w:rPr>
      </w:pPr>
    </w:p>
    <w:p>
      <w:pPr>
        <w:spacing w:after="312" w:afterLines="100" w:line="500" w:lineRule="exact"/>
        <w:jc w:val="center"/>
        <w:rPr>
          <w:b/>
          <w:color w:val="auto"/>
          <w:sz w:val="52"/>
          <w:szCs w:val="52"/>
          <w:highlight w:val="none"/>
        </w:rPr>
      </w:pPr>
      <w:r>
        <w:rPr>
          <w:rFonts w:hint="eastAsia"/>
          <w:b/>
          <w:color w:val="auto"/>
          <w:sz w:val="52"/>
          <w:szCs w:val="52"/>
          <w:highlight w:val="none"/>
        </w:rPr>
        <w:t>中国科学院上海有机化学研究所</w:t>
      </w:r>
    </w:p>
    <w:p>
      <w:pPr>
        <w:spacing w:after="312" w:afterLines="100"/>
        <w:jc w:val="center"/>
        <w:rPr>
          <w:b/>
          <w:color w:val="auto"/>
          <w:sz w:val="52"/>
          <w:szCs w:val="52"/>
          <w:highlight w:val="none"/>
        </w:rPr>
      </w:pPr>
      <w:r>
        <w:rPr>
          <w:rFonts w:hint="eastAsia"/>
          <w:b/>
          <w:color w:val="auto"/>
          <w:sz w:val="52"/>
          <w:szCs w:val="52"/>
          <w:highlight w:val="none"/>
          <w:u w:val="single"/>
        </w:rPr>
        <w:t>全自动数字玻片扫描系统</w:t>
      </w:r>
      <w:r>
        <w:rPr>
          <w:rFonts w:hint="eastAsia"/>
          <w:b/>
          <w:color w:val="auto"/>
          <w:sz w:val="52"/>
          <w:szCs w:val="52"/>
          <w:highlight w:val="none"/>
        </w:rPr>
        <w:t>采购项目</w:t>
      </w:r>
    </w:p>
    <w:p>
      <w:pPr>
        <w:spacing w:line="360" w:lineRule="auto"/>
        <w:jc w:val="center"/>
        <w:rPr>
          <w:b/>
          <w:color w:val="auto"/>
          <w:sz w:val="44"/>
          <w:highlight w:val="none"/>
        </w:rPr>
      </w:pPr>
    </w:p>
    <w:p>
      <w:pPr>
        <w:spacing w:line="360" w:lineRule="auto"/>
        <w:rPr>
          <w:b/>
          <w:color w:val="auto"/>
          <w:sz w:val="44"/>
          <w:highlight w:val="none"/>
        </w:rPr>
      </w:pPr>
    </w:p>
    <w:p>
      <w:pPr>
        <w:spacing w:line="360" w:lineRule="auto"/>
        <w:jc w:val="center"/>
        <w:rPr>
          <w:rFonts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招</w:t>
      </w:r>
      <w:r>
        <w:rPr>
          <w:rFonts w:ascii="宋体" w:hAnsi="宋体"/>
          <w:b/>
          <w:color w:val="auto"/>
          <w:sz w:val="72"/>
          <w:szCs w:val="52"/>
          <w:highlight w:val="none"/>
        </w:rPr>
        <w:t xml:space="preserve">  </w:t>
      </w: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标</w:t>
      </w:r>
      <w:r>
        <w:rPr>
          <w:rFonts w:ascii="宋体" w:hAnsi="宋体"/>
          <w:b/>
          <w:color w:val="auto"/>
          <w:sz w:val="72"/>
          <w:szCs w:val="52"/>
          <w:highlight w:val="none"/>
        </w:rPr>
        <w:t xml:space="preserve">  </w:t>
      </w: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文</w:t>
      </w:r>
      <w:r>
        <w:rPr>
          <w:rFonts w:ascii="宋体" w:hAnsi="宋体"/>
          <w:b/>
          <w:color w:val="auto"/>
          <w:sz w:val="72"/>
          <w:szCs w:val="52"/>
          <w:highlight w:val="none"/>
        </w:rPr>
        <w:t xml:space="preserve">  </w:t>
      </w:r>
      <w:r>
        <w:rPr>
          <w:rFonts w:hint="eastAsia" w:ascii="宋体" w:hAnsi="宋体"/>
          <w:b/>
          <w:color w:val="auto"/>
          <w:sz w:val="72"/>
          <w:szCs w:val="52"/>
          <w:highlight w:val="none"/>
        </w:rPr>
        <w:t>件</w:t>
      </w:r>
    </w:p>
    <w:p>
      <w:pPr>
        <w:spacing w:line="360" w:lineRule="auto"/>
        <w:jc w:val="center"/>
        <w:rPr>
          <w:rFonts w:ascii="宋体" w:hAnsi="宋体"/>
          <w:b/>
          <w:color w:val="auto"/>
          <w:sz w:val="32"/>
          <w:szCs w:val="32"/>
          <w:highlight w:val="none"/>
        </w:rPr>
      </w:pPr>
    </w:p>
    <w:p>
      <w:pPr>
        <w:spacing w:line="360" w:lineRule="auto"/>
        <w:jc w:val="center"/>
        <w:rPr>
          <w:rFonts w:ascii="宋体" w:hAnsi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/>
          <w:b/>
          <w:color w:val="auto"/>
          <w:sz w:val="44"/>
          <w:szCs w:val="44"/>
          <w:highlight w:val="none"/>
        </w:rPr>
        <w:t>第二册</w:t>
      </w:r>
    </w:p>
    <w:p>
      <w:pPr>
        <w:spacing w:line="360" w:lineRule="auto"/>
        <w:jc w:val="center"/>
        <w:rPr>
          <w:rFonts w:ascii="宋体" w:hAnsi="宋体"/>
          <w:b/>
          <w:color w:val="auto"/>
          <w:sz w:val="44"/>
          <w:szCs w:val="44"/>
          <w:highlight w:val="none"/>
        </w:rPr>
      </w:pPr>
      <w:r>
        <w:rPr>
          <w:rFonts w:hint="eastAsia" w:ascii="宋体" w:hAnsi="宋体"/>
          <w:b/>
          <w:color w:val="auto"/>
          <w:sz w:val="44"/>
          <w:szCs w:val="44"/>
          <w:highlight w:val="none"/>
        </w:rPr>
        <w:t>（专用册）</w:t>
      </w:r>
    </w:p>
    <w:p>
      <w:pPr>
        <w:spacing w:line="360" w:lineRule="auto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spacing w:line="360" w:lineRule="auto"/>
        <w:jc w:val="center"/>
        <w:rPr>
          <w:b/>
          <w:color w:val="auto"/>
          <w:sz w:val="32"/>
          <w:highlight w:val="none"/>
        </w:rPr>
      </w:pPr>
      <w:r>
        <w:rPr>
          <w:rFonts w:hint="eastAsia" w:ascii="宋体" w:hAnsi="宋体"/>
          <w:b/>
          <w:color w:val="auto"/>
          <w:sz w:val="36"/>
          <w:szCs w:val="36"/>
          <w:highlight w:val="none"/>
        </w:rPr>
        <w:t>招标编号：</w:t>
      </w:r>
      <w:r>
        <w:rPr>
          <w:rFonts w:hint="eastAsia" w:ascii="宋体" w:hAnsi="宋体"/>
          <w:b/>
          <w:color w:val="auto"/>
          <w:sz w:val="36"/>
          <w:szCs w:val="36"/>
          <w:highlight w:val="none"/>
          <w:u w:val="single"/>
        </w:rPr>
        <w:t>OITC-G230300560</w:t>
      </w:r>
    </w:p>
    <w:p>
      <w:pPr>
        <w:spacing w:line="360" w:lineRule="auto"/>
        <w:jc w:val="center"/>
        <w:rPr>
          <w:b/>
          <w:color w:val="auto"/>
          <w:sz w:val="32"/>
          <w:highlight w:val="none"/>
        </w:rPr>
      </w:pPr>
    </w:p>
    <w:p>
      <w:pPr>
        <w:adjustRightInd w:val="0"/>
        <w:snapToGrid w:val="0"/>
        <w:spacing w:before="120"/>
        <w:jc w:val="center"/>
        <w:rPr>
          <w:rFonts w:ascii="宋体" w:hAnsi="宋体"/>
          <w:b/>
          <w:bCs/>
          <w:snapToGrid w:val="0"/>
          <w:color w:val="auto"/>
          <w:spacing w:val="20"/>
          <w:sz w:val="36"/>
          <w:szCs w:val="36"/>
          <w:highlight w:val="none"/>
        </w:rPr>
      </w:pPr>
      <w:r>
        <w:rPr>
          <w:rFonts w:hint="eastAsia" w:ascii="宋体" w:hAnsi="宋体"/>
          <w:b/>
          <w:bCs/>
          <w:snapToGrid w:val="0"/>
          <w:color w:val="auto"/>
          <w:spacing w:val="20"/>
          <w:sz w:val="36"/>
          <w:szCs w:val="36"/>
          <w:highlight w:val="none"/>
        </w:rPr>
        <w:t>东方国际招标有限责任公司</w:t>
      </w:r>
    </w:p>
    <w:p>
      <w:pPr>
        <w:adjustRightInd w:val="0"/>
        <w:snapToGrid w:val="0"/>
        <w:jc w:val="center"/>
        <w:rPr>
          <w:rFonts w:ascii="宋体" w:hAnsi="宋体"/>
          <w:b/>
          <w:snapToGrid w:val="0"/>
          <w:color w:val="auto"/>
          <w:sz w:val="36"/>
          <w:szCs w:val="36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snapToGrid w:val="0"/>
          <w:color w:val="auto"/>
          <w:sz w:val="36"/>
          <w:szCs w:val="36"/>
          <w:highlight w:val="none"/>
        </w:rPr>
      </w:pP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</w:rPr>
        <w:t>中国 · 北京</w:t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</w:rPr>
        <w:t>2023年</w:t>
      </w: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  <w:lang w:val="en-US" w:eastAsia="zh-CN"/>
        </w:rPr>
        <w:t>11</w:t>
      </w:r>
      <w:r>
        <w:rPr>
          <w:rFonts w:hint="eastAsia" w:ascii="宋体" w:hAnsi="宋体"/>
          <w:b/>
          <w:snapToGrid w:val="0"/>
          <w:color w:val="auto"/>
          <w:sz w:val="36"/>
          <w:szCs w:val="36"/>
          <w:highlight w:val="none"/>
        </w:rPr>
        <w:t>月</w:t>
      </w:r>
    </w:p>
    <w:p>
      <w:pPr>
        <w:pStyle w:val="2"/>
        <w:snapToGrid w:val="0"/>
        <w:spacing w:before="0" w:after="0" w:line="240" w:lineRule="auto"/>
        <w:rPr>
          <w:rFonts w:hAnsi="宋体"/>
          <w:color w:val="auto"/>
          <w:sz w:val="24"/>
          <w:szCs w:val="24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  <w:bookmarkStart w:id="0" w:name="_Toc512937852"/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24"/>
          <w:highlight w:val="none"/>
        </w:rPr>
      </w:pPr>
    </w:p>
    <w:p>
      <w:pPr>
        <w:numPr>
          <w:ilvl w:val="0"/>
          <w:numId w:val="1"/>
        </w:numPr>
        <w:adjustRightInd w:val="0"/>
        <w:snapToGrid w:val="0"/>
        <w:spacing w:before="936" w:beforeLines="300"/>
        <w:jc w:val="center"/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 xml:space="preserve">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  <w:bookmarkEnd w:id="0"/>
    </w:p>
    <w:p>
      <w:pPr>
        <w:adjustRightInd w:val="0"/>
        <w:snapToGrid w:val="0"/>
        <w:spacing w:before="936" w:beforeLines="30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一、货物需求一览表</w:t>
      </w: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27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vAlign w:val="center"/>
          </w:tcPr>
          <w:p>
            <w:pPr>
              <w:jc w:val="center"/>
              <w:rPr>
                <w:rFonts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全自动数字玻片扫描系统</w:t>
            </w:r>
          </w:p>
        </w:tc>
        <w:tc>
          <w:tcPr>
            <w:tcW w:w="635" w:type="dxa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5605" w:type="dxa"/>
            <w:gridSpan w:val="3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详见具体技术规格</w:t>
            </w:r>
          </w:p>
        </w:tc>
      </w:tr>
    </w:tbl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</w:p>
    <w:p>
      <w:pPr>
        <w:numPr>
          <w:ilvl w:val="2"/>
          <w:numId w:val="0"/>
        </w:numPr>
        <w:tabs>
          <w:tab w:val="left" w:pos="720"/>
        </w:tabs>
        <w:adjustRightInd w:val="0"/>
        <w:snapToGrid w:val="0"/>
        <w:ind w:left="1560" w:hanging="1560"/>
        <w:jc w:val="center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二</w:t>
      </w:r>
      <w:r>
        <w:rPr>
          <w:rFonts w:ascii="宋体" w:hAnsi="宋体"/>
          <w:b/>
          <w:color w:val="auto"/>
          <w:sz w:val="30"/>
          <w:szCs w:val="30"/>
          <w:highlight w:val="none"/>
        </w:rPr>
        <w:t>、</w:t>
      </w: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17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</w:p>
    <w:p>
      <w:pPr>
        <w:pStyle w:val="17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17"/>
        <w:spacing w:line="360" w:lineRule="auto"/>
        <w:ind w:left="410" w:hanging="410" w:hangingChars="170"/>
        <w:rPr>
          <w:rFonts w:hAnsi="宋体"/>
          <w:b/>
          <w:color w:val="auto"/>
          <w:sz w:val="24"/>
          <w:szCs w:val="24"/>
          <w:highlight w:val="none"/>
        </w:rPr>
      </w:pPr>
    </w:p>
    <w:p>
      <w:pPr>
        <w:pStyle w:val="17"/>
        <w:spacing w:line="360" w:lineRule="auto"/>
        <w:rPr>
          <w:rFonts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</w:p>
    <w:p>
      <w:pPr>
        <w:spacing w:after="156" w:afterLines="50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br w:type="page"/>
      </w:r>
      <w:r>
        <w:rPr>
          <w:rFonts w:hint="eastAsia" w:ascii="宋体" w:hAnsi="宋体"/>
          <w:b/>
          <w:color w:val="auto"/>
          <w:sz w:val="28"/>
          <w:highlight w:val="none"/>
        </w:rPr>
        <w:t>三、具体技术规格</w:t>
      </w:r>
    </w:p>
    <w:p>
      <w:pPr>
        <w:rPr>
          <w:color w:val="auto"/>
          <w:sz w:val="24"/>
          <w:highlight w:val="none"/>
        </w:rPr>
      </w:pPr>
    </w:p>
    <w:p>
      <w:pPr>
        <w:jc w:val="center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第1包 全自动数字玻片扫描系统</w:t>
      </w:r>
    </w:p>
    <w:p>
      <w:pPr>
        <w:rPr>
          <w:b/>
          <w:color w:val="auto"/>
          <w:sz w:val="24"/>
          <w:highlight w:val="none"/>
        </w:rPr>
      </w:pPr>
    </w:p>
    <w:p>
      <w:pPr>
        <w:rPr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技术要求：</w:t>
      </w:r>
    </w:p>
    <w:p>
      <w:pPr>
        <w:numPr>
          <w:ilvl w:val="0"/>
          <w:numId w:val="3"/>
        </w:numPr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工作条件：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</w:t>
      </w:r>
      <w:r>
        <w:rPr>
          <w:color w:val="auto"/>
          <w:sz w:val="24"/>
          <w:highlight w:val="none"/>
        </w:rPr>
        <w:t>.1</w:t>
      </w:r>
      <w:r>
        <w:rPr>
          <w:rFonts w:hint="eastAsia"/>
          <w:color w:val="auto"/>
          <w:sz w:val="24"/>
          <w:highlight w:val="none"/>
        </w:rPr>
        <w:t xml:space="preserve"> 见总则第3条。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设备用途：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能够对HE切片、免疫组化、原位杂交、组织芯片等样品进行快速高通量扫描，实现全视野高分辨的拼接扫描，并可以将数据数字化保存，随时调用。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3.1 扫描系统主机：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3.1.1 全自动数字玻片扫描系统具有明场扫描、荧光扫描等多种成像功能，不同成像方式电动切换。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*3.1.2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主机单次样品装载量≥100张。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3.1.3 系统具有完整的显微成像光路，明场科勒照明。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3.1.4 全自动数字玻片扫描系统为高度电动化设计，可通过软件编辑完整流程控制硬件，使用简便。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#3.1.5 三相机配置：Preview相机快速识别拍摄样品及标签；明场扫描通过彩色相机成像；荧光扫描通过黑白相机成像，各种扫描成像模式之间电动切换。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3.1.6 聚光镜：长工作距离电动聚光镜1个，数值孔径≥0.8，兼容TIE（强度传输方程）成像模式。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*3.1.7 像素分辨率：10x物镜下，≤0.35 μm / pixel；20x物镜下，≤0.18 μm / pixel；40x物镜下，≤0.09 μm / pixel。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3.1.8 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含高精度电动扫描载物台，行程300 x 100mm,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 具有3mm的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Z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轴对焦范围。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3.2 物镜：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3.2.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 10x平场复消色差物镜，数值孔径≥0.45，扫描分辨率≤0.35 μm/pixel，工作距离≥2.1mm。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#3.2.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 20x平场复消色差物镜，数值孔径≥0.8，扫描分辨率≤0.18 μm/pixel，工作距离≥0.55mm。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#3.2.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 40x平场复消色差物镜，数值孔径≥0.95，扫描分辨率≤0.09 μm/pixel，工作距离≥0.25mm。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3.3 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样品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舱室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：托盘式样品架设计，保证每张玻片相互隔离，待机和扫描时始终保持水平状态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,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 xml:space="preserve"> 配备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高效的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样品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上样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器，用于快速装载玻片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。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3.4 扫描速度：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#3.4.1 明场扫描：使用20x/0.8物镜，不低于扫描分辨率0.18 μm /pixel条件下，扫描面积10mm X 10mm，所用时间≤75秒。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#3.4.2 荧光扫描：使用20x/0.8物镜，4个荧光通道成像，不低于扫描分辨率0.18 μm /pixel条件下，扫描面积10mm X 10mm，所用时间≤325秒。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3.5 明场扫描：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#3.5.1 光源：长寿命LED光源，谱线范围400-700nm。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3.5.2 具有自动Z轴扫描成像及景深扩展功能。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3.5.3 明场扫描配置彩色相机：分辨率：2464(H) x 2056(V) =500万像素。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 xml:space="preserve">3.6 荧光扫描： 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3.6.1 光源：长寿命白光LED光源，激发谱线范围380-770nm，使用寿命≥25000小时。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#3.6.2 超快速电动荧光转盘孔位≥6位，通道之间切换时间≤50ms；可实现7色成像快速切换。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#3.6.3 具有全新TIE（强度传输方程）照明模式，用于快速对焦，避免样品漂白，并能成为一个单独通道成像，并可与荧光图像叠加。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3.6.4 荧光滤色片：满足Hoechst / CFP / FITE / Cy3 / TxRed / Cy5.5 / Cy7，以实现多色荧光标记的样品成像。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3.6.5 荧光扫描配置单色相机：分辨率：4096 (H) x 3008 (V) = 1200万像素。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3.7 扫描工作站及分析软件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：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3.7.1控制所有电动硬件、识别处理信息、图像可视化, 具有预扫描和导航功能。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3.7.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自动程序化图像采集：个性化设定图像采集程序，实现100张样品自动完成扫描，无需人值守。</w:t>
      </w:r>
    </w:p>
    <w:p>
      <w:pPr>
        <w:pStyle w:val="64"/>
        <w:spacing w:line="360" w:lineRule="auto"/>
        <w:ind w:left="360" w:firstLine="0" w:firstLineChars="0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3.7.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 xml:space="preserve">3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多维图像采集：多通道成像，Z-</w:t>
      </w:r>
      <w:r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  <w:t>S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tacks成像，拼图及多点成像等。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</w:p>
    <w:p>
      <w:pPr>
        <w:snapToGrid w:val="0"/>
        <w:spacing w:line="360" w:lineRule="auto"/>
        <w:rPr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产品配置要求</w:t>
      </w:r>
    </w:p>
    <w:p>
      <w:pPr>
        <w:numPr>
          <w:ilvl w:val="1"/>
          <w:numId w:val="4"/>
        </w:numPr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全自动数字玻片扫描系统 1套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</w:p>
    <w:p>
      <w:pPr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5</w:t>
      </w:r>
      <w:r>
        <w:rPr>
          <w:b/>
          <w:color w:val="auto"/>
          <w:sz w:val="24"/>
          <w:highlight w:val="none"/>
        </w:rPr>
        <w:t xml:space="preserve">. </w:t>
      </w:r>
      <w:r>
        <w:rPr>
          <w:rFonts w:hint="eastAsia"/>
          <w:b/>
          <w:color w:val="auto"/>
          <w:sz w:val="24"/>
          <w:highlight w:val="none"/>
        </w:rPr>
        <w:t>选购附件、备件及消耗品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无</w:t>
      </w:r>
    </w:p>
    <w:p>
      <w:pPr>
        <w:tabs>
          <w:tab w:val="left" w:pos="540"/>
        </w:tabs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 xml:space="preserve"> </w:t>
      </w:r>
    </w:p>
    <w:p>
      <w:pPr>
        <w:tabs>
          <w:tab w:val="left" w:pos="540"/>
        </w:tabs>
        <w:snapToGrid w:val="0"/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6.  技术文件：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6.1 请参考总则第1.2条。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6.2 请参考总则第2.3条。</w:t>
      </w:r>
    </w:p>
    <w:p>
      <w:pPr>
        <w:snapToGrid w:val="0"/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1.1 设备安装调试（请参考总则第2.4条）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</w:t>
      </w:r>
      <w:r>
        <w:rPr>
          <w:color w:val="auto"/>
          <w:sz w:val="24"/>
          <w:highlight w:val="none"/>
        </w:rPr>
        <w:t>2</w:t>
      </w:r>
      <w:r>
        <w:rPr>
          <w:rFonts w:hint="eastAsia"/>
          <w:color w:val="auto"/>
          <w:sz w:val="24"/>
          <w:highlight w:val="none"/>
        </w:rPr>
        <w:t xml:space="preserve"> 保修期：验收合格后至少五年原厂质保期。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</w:t>
      </w:r>
      <w:r>
        <w:rPr>
          <w:color w:val="auto"/>
          <w:sz w:val="24"/>
          <w:highlight w:val="none"/>
        </w:rPr>
        <w:t>3</w:t>
      </w:r>
      <w:r>
        <w:rPr>
          <w:rFonts w:hint="eastAsia"/>
          <w:color w:val="auto"/>
          <w:sz w:val="24"/>
          <w:highlight w:val="none"/>
        </w:rPr>
        <w:t xml:space="preserve"> 维修响应时间：接收甲方维修请求后4</w:t>
      </w:r>
      <w:r>
        <w:rPr>
          <w:color w:val="auto"/>
          <w:sz w:val="24"/>
          <w:highlight w:val="none"/>
        </w:rPr>
        <w:t>8</w:t>
      </w:r>
      <w:r>
        <w:rPr>
          <w:rFonts w:hint="eastAsia"/>
          <w:color w:val="auto"/>
          <w:sz w:val="24"/>
          <w:highlight w:val="none"/>
        </w:rPr>
        <w:t>小时响应。</w:t>
      </w: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1.</w:t>
      </w:r>
      <w:r>
        <w:rPr>
          <w:color w:val="auto"/>
          <w:sz w:val="24"/>
          <w:highlight w:val="none"/>
        </w:rPr>
        <w:t>4</w:t>
      </w:r>
      <w:r>
        <w:rPr>
          <w:rFonts w:hint="eastAsia"/>
          <w:color w:val="auto"/>
          <w:sz w:val="24"/>
          <w:highlight w:val="none"/>
        </w:rPr>
        <w:t xml:space="preserve"> 生产厂商直接负责技术支持和售后维护，中标后签合同前须提供生产厂商出具的售后服务承诺书原件。</w:t>
      </w:r>
    </w:p>
    <w:p>
      <w:pPr>
        <w:spacing w:line="360" w:lineRule="auto"/>
        <w:rPr>
          <w:b/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全自动数字玻片扫描系统 1套</w:t>
      </w:r>
    </w:p>
    <w:p>
      <w:pPr>
        <w:spacing w:line="360" w:lineRule="auto"/>
        <w:rPr>
          <w:color w:val="auto"/>
          <w:sz w:val="24"/>
          <w:highlight w:val="none"/>
        </w:rPr>
      </w:pPr>
    </w:p>
    <w:p>
      <w:pPr>
        <w:spacing w:line="360" w:lineRule="auto"/>
        <w:rPr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（四） 目的港：</w:t>
      </w:r>
    </w:p>
    <w:p>
      <w:pPr>
        <w:spacing w:line="360" w:lineRule="auto"/>
        <w:ind w:firstLine="240" w:firstLineChars="100"/>
        <w:rPr>
          <w:bCs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上海空港</w:t>
      </w:r>
    </w:p>
    <w:p>
      <w:pPr>
        <w:spacing w:line="360" w:lineRule="auto"/>
        <w:ind w:firstLine="240" w:firstLineChars="100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ind w:firstLine="240" w:firstLineChars="100"/>
        <w:rPr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免表和信用证办好后90天</w:t>
      </w:r>
    </w:p>
    <w:p>
      <w:pPr>
        <w:spacing w:line="360" w:lineRule="auto"/>
        <w:rPr>
          <w:rFonts w:hint="eastAsia"/>
          <w:color w:val="auto"/>
          <w:sz w:val="24"/>
          <w:highlight w:val="none"/>
        </w:rPr>
      </w:pPr>
    </w:p>
    <w:p>
      <w:pPr>
        <w:spacing w:line="360" w:lineRule="auto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（六）执行的相关标准</w:t>
      </w:r>
    </w:p>
    <w:p>
      <w:pPr>
        <w:spacing w:line="360" w:lineRule="auto"/>
        <w:rPr>
          <w:rFonts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inherit" w:hAnsi="inherit" w:cs="宋体"/>
          <w:color w:val="auto"/>
          <w:kern w:val="0"/>
          <w:sz w:val="24"/>
          <w:highlight w:val="none"/>
        </w:rPr>
        <w:t xml:space="preserve">  </w:t>
      </w:r>
      <w:r>
        <w:rPr>
          <w:rFonts w:hint="eastAsia"/>
          <w:color w:val="auto"/>
          <w:sz w:val="24"/>
          <w:highlight w:val="none"/>
        </w:rPr>
        <w:t>产品应满足相关国家标准及行业标准。</w:t>
      </w:r>
    </w:p>
    <w:p>
      <w:pPr>
        <w:rPr>
          <w:color w:val="auto"/>
          <w:highlight w:val="none"/>
        </w:rPr>
      </w:pPr>
    </w:p>
    <w:sectPr>
      <w:footerReference r:id="rId5" w:type="first"/>
      <w:headerReference r:id="rId3" w:type="default"/>
      <w:footerReference r:id="rId4" w:type="default"/>
      <w:pgSz w:w="11906" w:h="16838"/>
      <w:pgMar w:top="737" w:right="1274" w:bottom="737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EDAB78"/>
    <w:multiLevelType w:val="singleLevel"/>
    <w:tmpl w:val="A6EDAB78"/>
    <w:lvl w:ilvl="0" w:tentative="0">
      <w:start w:val="8"/>
      <w:numFmt w:val="chineseCounting"/>
      <w:suff w:val="space"/>
      <w:lvlText w:val="第%1部分"/>
      <w:lvlJc w:val="left"/>
      <w:rPr>
        <w:rFonts w:hint="eastAsia"/>
      </w:r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340F57DF"/>
    <w:multiLevelType w:val="multilevel"/>
    <w:tmpl w:val="340F57DF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080"/>
        </w:tabs>
        <w:ind w:left="1080" w:hanging="108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eastAsia"/>
      </w:rPr>
    </w:lvl>
  </w:abstractNum>
  <w:abstractNum w:abstractNumId="3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1ZmViOTkzYTQzNWY3MTJjZmJhM2JiOGI5MTJiOTUifQ=="/>
  </w:docVars>
  <w:rsids>
    <w:rsidRoot w:val="004670D7"/>
    <w:rsid w:val="002338E8"/>
    <w:rsid w:val="004670D7"/>
    <w:rsid w:val="00D47133"/>
    <w:rsid w:val="0CC60F90"/>
    <w:rsid w:val="174B243C"/>
    <w:rsid w:val="4F8820D7"/>
    <w:rsid w:val="52C44E18"/>
    <w:rsid w:val="62C06355"/>
    <w:rsid w:val="64B568F1"/>
    <w:rsid w:val="67CC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5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3">
    <w:name w:val="heading 2"/>
    <w:basedOn w:val="1"/>
    <w:next w:val="4"/>
    <w:link w:val="36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5">
    <w:name w:val="heading 3"/>
    <w:basedOn w:val="1"/>
    <w:next w:val="1"/>
    <w:link w:val="37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3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39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4"/>
    <w:link w:val="40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4"/>
    <w:link w:val="41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4"/>
    <w:link w:val="42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4"/>
    <w:link w:val="43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29">
    <w:name w:val="Default Paragraph Font"/>
    <w:semiHidden/>
    <w:unhideWhenUsed/>
    <w:qFormat/>
    <w:uiPriority w:val="1"/>
  </w:style>
  <w:style w:type="table" w:default="1" w:styleId="2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Document Map"/>
    <w:basedOn w:val="1"/>
    <w:link w:val="44"/>
    <w:semiHidden/>
    <w:qFormat/>
    <w:uiPriority w:val="0"/>
    <w:pPr>
      <w:shd w:val="clear" w:color="auto" w:fill="000080"/>
    </w:pPr>
  </w:style>
  <w:style w:type="paragraph" w:styleId="13">
    <w:name w:val="annotation text"/>
    <w:basedOn w:val="1"/>
    <w:link w:val="45"/>
    <w:qFormat/>
    <w:uiPriority w:val="0"/>
    <w:pPr>
      <w:jc w:val="left"/>
    </w:pPr>
  </w:style>
  <w:style w:type="paragraph" w:styleId="14">
    <w:name w:val="Body Text 3"/>
    <w:basedOn w:val="1"/>
    <w:link w:val="46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5">
    <w:name w:val="Body Text"/>
    <w:basedOn w:val="1"/>
    <w:link w:val="47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6">
    <w:name w:val="Body Text Indent"/>
    <w:basedOn w:val="1"/>
    <w:link w:val="48"/>
    <w:qFormat/>
    <w:uiPriority w:val="0"/>
    <w:pPr>
      <w:spacing w:after="120"/>
      <w:ind w:left="420" w:leftChars="200"/>
    </w:pPr>
  </w:style>
  <w:style w:type="paragraph" w:styleId="17">
    <w:name w:val="Plain Text"/>
    <w:basedOn w:val="1"/>
    <w:link w:val="49"/>
    <w:qFormat/>
    <w:uiPriority w:val="0"/>
    <w:rPr>
      <w:rFonts w:ascii="宋体" w:hAnsi="Courier New"/>
      <w:szCs w:val="20"/>
    </w:rPr>
  </w:style>
  <w:style w:type="paragraph" w:styleId="18">
    <w:name w:val="Date"/>
    <w:basedOn w:val="1"/>
    <w:next w:val="1"/>
    <w:link w:val="50"/>
    <w:qFormat/>
    <w:uiPriority w:val="0"/>
    <w:rPr>
      <w:szCs w:val="20"/>
    </w:rPr>
  </w:style>
  <w:style w:type="paragraph" w:styleId="19">
    <w:name w:val="Body Text Indent 2"/>
    <w:basedOn w:val="1"/>
    <w:link w:val="5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0">
    <w:name w:val="Balloon Text"/>
    <w:basedOn w:val="1"/>
    <w:link w:val="52"/>
    <w:semiHidden/>
    <w:qFormat/>
    <w:uiPriority w:val="0"/>
    <w:rPr>
      <w:sz w:val="18"/>
      <w:szCs w:val="18"/>
    </w:rPr>
  </w:style>
  <w:style w:type="paragraph" w:styleId="21">
    <w:name w:val="footer"/>
    <w:basedOn w:val="1"/>
    <w:link w:val="5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2">
    <w:name w:val="header"/>
    <w:basedOn w:val="1"/>
    <w:link w:val="5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3">
    <w:name w:val="Body Text 2"/>
    <w:basedOn w:val="1"/>
    <w:link w:val="55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2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25">
    <w:name w:val="Title"/>
    <w:basedOn w:val="1"/>
    <w:link w:val="56"/>
    <w:qFormat/>
    <w:uiPriority w:val="0"/>
    <w:pPr>
      <w:jc w:val="center"/>
    </w:pPr>
    <w:rPr>
      <w:sz w:val="30"/>
    </w:rPr>
  </w:style>
  <w:style w:type="paragraph" w:styleId="26">
    <w:name w:val="annotation subject"/>
    <w:basedOn w:val="13"/>
    <w:next w:val="13"/>
    <w:link w:val="57"/>
    <w:qFormat/>
    <w:uiPriority w:val="0"/>
    <w:rPr>
      <w:b/>
      <w:bCs/>
    </w:rPr>
  </w:style>
  <w:style w:type="table" w:styleId="28">
    <w:name w:val="Table Grid"/>
    <w:basedOn w:val="2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0">
    <w:name w:val="Strong"/>
    <w:qFormat/>
    <w:uiPriority w:val="22"/>
    <w:rPr>
      <w:b/>
      <w:bCs/>
    </w:rPr>
  </w:style>
  <w:style w:type="character" w:styleId="31">
    <w:name w:val="page number"/>
    <w:qFormat/>
    <w:uiPriority w:val="0"/>
  </w:style>
  <w:style w:type="character" w:styleId="32">
    <w:name w:val="Emphasis"/>
    <w:qFormat/>
    <w:uiPriority w:val="20"/>
    <w:rPr>
      <w:i/>
      <w:iCs/>
    </w:rPr>
  </w:style>
  <w:style w:type="character" w:styleId="33">
    <w:name w:val="Hyperlink"/>
    <w:qFormat/>
    <w:uiPriority w:val="0"/>
    <w:rPr>
      <w:color w:val="0000FF"/>
      <w:u w:val="single"/>
    </w:rPr>
  </w:style>
  <w:style w:type="character" w:styleId="34">
    <w:name w:val="annotation reference"/>
    <w:basedOn w:val="29"/>
    <w:qFormat/>
    <w:uiPriority w:val="0"/>
    <w:rPr>
      <w:sz w:val="21"/>
      <w:szCs w:val="21"/>
    </w:rPr>
  </w:style>
  <w:style w:type="character" w:customStyle="1" w:styleId="35">
    <w:name w:val="标题 1 字符"/>
    <w:basedOn w:val="29"/>
    <w:link w:val="2"/>
    <w:qFormat/>
    <w:uiPriority w:val="0"/>
    <w:rPr>
      <w:rFonts w:ascii="宋体" w:hAnsi="Times New Roman" w:eastAsia="宋体" w:cs="Times New Roman"/>
      <w:b/>
      <w:kern w:val="44"/>
      <w:sz w:val="32"/>
      <w:szCs w:val="20"/>
    </w:rPr>
  </w:style>
  <w:style w:type="character" w:customStyle="1" w:styleId="36">
    <w:name w:val="标题 2 字符"/>
    <w:basedOn w:val="29"/>
    <w:link w:val="3"/>
    <w:qFormat/>
    <w:uiPriority w:val="0"/>
    <w:rPr>
      <w:rFonts w:ascii="Arial" w:hAnsi="Arial" w:eastAsia="黑体" w:cs="Times New Roman"/>
      <w:b/>
      <w:kern w:val="0"/>
      <w:sz w:val="30"/>
      <w:szCs w:val="20"/>
    </w:rPr>
  </w:style>
  <w:style w:type="character" w:customStyle="1" w:styleId="37">
    <w:name w:val="标题 3 字符"/>
    <w:basedOn w:val="29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8">
    <w:name w:val="标题 4 字符"/>
    <w:basedOn w:val="29"/>
    <w:link w:val="6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39">
    <w:name w:val="标题 5 字符"/>
    <w:basedOn w:val="29"/>
    <w:link w:val="7"/>
    <w:qFormat/>
    <w:uiPriority w:val="0"/>
    <w:rPr>
      <w:rFonts w:ascii="Times New Roman" w:hAnsi="Times New Roman" w:eastAsia="宋体" w:cs="Times New Roman"/>
      <w:b/>
      <w:sz w:val="28"/>
      <w:szCs w:val="20"/>
    </w:rPr>
  </w:style>
  <w:style w:type="character" w:customStyle="1" w:styleId="40">
    <w:name w:val="标题 6 字符"/>
    <w:basedOn w:val="29"/>
    <w:link w:val="8"/>
    <w:qFormat/>
    <w:uiPriority w:val="0"/>
    <w:rPr>
      <w:rFonts w:ascii="Arial" w:hAnsi="Arial" w:eastAsia="黑体" w:cs="Times New Roman"/>
      <w:b/>
      <w:sz w:val="24"/>
      <w:szCs w:val="20"/>
    </w:rPr>
  </w:style>
  <w:style w:type="character" w:customStyle="1" w:styleId="41">
    <w:name w:val="标题 7 字符"/>
    <w:basedOn w:val="29"/>
    <w:link w:val="9"/>
    <w:qFormat/>
    <w:uiPriority w:val="0"/>
    <w:rPr>
      <w:rFonts w:ascii="Times New Roman" w:hAnsi="Times New Roman" w:eastAsia="宋体" w:cs="Times New Roman"/>
      <w:b/>
      <w:sz w:val="24"/>
      <w:szCs w:val="20"/>
    </w:rPr>
  </w:style>
  <w:style w:type="character" w:customStyle="1" w:styleId="42">
    <w:name w:val="标题 8 字符"/>
    <w:basedOn w:val="29"/>
    <w:link w:val="10"/>
    <w:uiPriority w:val="0"/>
    <w:rPr>
      <w:rFonts w:ascii="Arial" w:hAnsi="Arial" w:eastAsia="黑体" w:cs="Times New Roman"/>
      <w:sz w:val="24"/>
      <w:szCs w:val="20"/>
    </w:rPr>
  </w:style>
  <w:style w:type="character" w:customStyle="1" w:styleId="43">
    <w:name w:val="标题 9 字符"/>
    <w:basedOn w:val="29"/>
    <w:link w:val="11"/>
    <w:qFormat/>
    <w:uiPriority w:val="0"/>
    <w:rPr>
      <w:rFonts w:ascii="Arial" w:hAnsi="Arial" w:eastAsia="黑体" w:cs="Times New Roman"/>
      <w:szCs w:val="20"/>
    </w:rPr>
  </w:style>
  <w:style w:type="character" w:customStyle="1" w:styleId="44">
    <w:name w:val="文档结构图 字符"/>
    <w:basedOn w:val="29"/>
    <w:link w:val="12"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45">
    <w:name w:val="批注文字 字符"/>
    <w:basedOn w:val="29"/>
    <w:link w:val="13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46">
    <w:name w:val="正文文本 3 字符"/>
    <w:basedOn w:val="29"/>
    <w:link w:val="14"/>
    <w:qFormat/>
    <w:uiPriority w:val="0"/>
    <w:rPr>
      <w:rFonts w:ascii="Times New Roman" w:hAnsi="Times New Roman" w:eastAsia="宋体" w:cs="Times New Roman"/>
      <w:kern w:val="0"/>
      <w:sz w:val="20"/>
      <w:szCs w:val="20"/>
      <w:lang w:eastAsia="en-US"/>
    </w:rPr>
  </w:style>
  <w:style w:type="character" w:customStyle="1" w:styleId="47">
    <w:name w:val="正文文本 字符"/>
    <w:basedOn w:val="29"/>
    <w:link w:val="15"/>
    <w:qFormat/>
    <w:uiPriority w:val="0"/>
    <w:rPr>
      <w:rFonts w:ascii="宋体" w:hAnsi="宋体" w:eastAsia="宋体" w:cs="Times New Roman"/>
      <w:sz w:val="24"/>
      <w:szCs w:val="24"/>
    </w:rPr>
  </w:style>
  <w:style w:type="character" w:customStyle="1" w:styleId="48">
    <w:name w:val="正文文本缩进 字符"/>
    <w:basedOn w:val="29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49">
    <w:name w:val="纯文本 字符"/>
    <w:basedOn w:val="29"/>
    <w:link w:val="17"/>
    <w:qFormat/>
    <w:uiPriority w:val="0"/>
    <w:rPr>
      <w:rFonts w:ascii="宋体" w:hAnsi="Courier New" w:eastAsia="宋体" w:cs="Times New Roman"/>
      <w:szCs w:val="20"/>
    </w:rPr>
  </w:style>
  <w:style w:type="character" w:customStyle="1" w:styleId="50">
    <w:name w:val="日期 字符"/>
    <w:basedOn w:val="29"/>
    <w:link w:val="18"/>
    <w:qFormat/>
    <w:uiPriority w:val="0"/>
    <w:rPr>
      <w:rFonts w:ascii="Times New Roman" w:hAnsi="Times New Roman" w:eastAsia="宋体" w:cs="Times New Roman"/>
      <w:szCs w:val="20"/>
    </w:rPr>
  </w:style>
  <w:style w:type="character" w:customStyle="1" w:styleId="51">
    <w:name w:val="正文文本缩进 2 字符"/>
    <w:basedOn w:val="29"/>
    <w:link w:val="19"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52">
    <w:name w:val="批注框文本 字符"/>
    <w:basedOn w:val="29"/>
    <w:link w:val="20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53">
    <w:name w:val="页脚 字符"/>
    <w:basedOn w:val="29"/>
    <w:link w:val="21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54">
    <w:name w:val="页眉 字符"/>
    <w:basedOn w:val="29"/>
    <w:link w:val="22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55">
    <w:name w:val="正文文本 2 字符"/>
    <w:basedOn w:val="29"/>
    <w:link w:val="23"/>
    <w:qFormat/>
    <w:uiPriority w:val="0"/>
    <w:rPr>
      <w:rFonts w:ascii="Times New Roman" w:hAnsi="Times New Roman" w:eastAsia="宋体" w:cs="Times New Roman"/>
      <w:kern w:val="0"/>
      <w:sz w:val="20"/>
      <w:szCs w:val="20"/>
      <w:lang w:eastAsia="en-US"/>
    </w:rPr>
  </w:style>
  <w:style w:type="character" w:customStyle="1" w:styleId="56">
    <w:name w:val="标题 字符"/>
    <w:basedOn w:val="29"/>
    <w:link w:val="25"/>
    <w:uiPriority w:val="0"/>
    <w:rPr>
      <w:rFonts w:ascii="Times New Roman" w:hAnsi="Times New Roman" w:eastAsia="宋体" w:cs="Times New Roman"/>
      <w:sz w:val="30"/>
      <w:szCs w:val="24"/>
    </w:rPr>
  </w:style>
  <w:style w:type="character" w:customStyle="1" w:styleId="57">
    <w:name w:val="批注主题 字符"/>
    <w:basedOn w:val="45"/>
    <w:link w:val="26"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58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9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0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61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62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63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paragraph" w:styleId="6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25</Pages>
  <Words>10693</Words>
  <Characters>11873</Characters>
  <Lines>91</Lines>
  <Paragraphs>25</Paragraphs>
  <TotalTime>40</TotalTime>
  <ScaleCrop>false</ScaleCrop>
  <LinksUpToDate>false</LinksUpToDate>
  <CharactersWithSpaces>12230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2023-09-12T06:11:00Z</dcterms:created>
  <dc:creator>微软用户</dc:creator>
  <cp:lastModifiedBy>Administrator</cp:lastModifiedBy>
  <dcterms:modified xsi:type="dcterms:W3CDTF">2023-11-21T02:33:05Z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68D11D818CFB4E51A588808EB2B1CB37_13</vt:lpwstr>
  </property>
</Properties>
</file>