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DC9A8E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  <w:bookmarkStart w:id="1" w:name="_GoBack"/>
      <w:bookmarkEnd w:id="1"/>
      <w:bookmarkStart w:id="0" w:name="_Toc512937852"/>
    </w:p>
    <w:p w14:paraId="01EF0915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1B7C10E8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7D38BD60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1E7C7858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1F06DC28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669D2E3B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3C231FB3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486E4852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3BBF17E1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064220F1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12764497">
      <w:pPr>
        <w:adjustRightInd w:val="0"/>
        <w:snapToGrid w:val="0"/>
        <w:jc w:val="center"/>
        <w:rPr>
          <w:rFonts w:hint="eastAsia" w:ascii="宋体" w:hAnsi="宋体"/>
          <w:b/>
          <w:sz w:val="24"/>
        </w:rPr>
      </w:pPr>
    </w:p>
    <w:p w14:paraId="750E05B2">
      <w:pPr>
        <w:adjustRightInd w:val="0"/>
        <w:snapToGrid w:val="0"/>
        <w:spacing w:before="936" w:beforeLines="300"/>
        <w:jc w:val="center"/>
        <w:rPr>
          <w:rFonts w:hint="eastAsia" w:ascii="黑体" w:eastAsia="黑体"/>
          <w:b/>
          <w:kern w:val="44"/>
          <w:sz w:val="48"/>
          <w:szCs w:val="20"/>
        </w:rPr>
      </w:pPr>
      <w:r>
        <w:rPr>
          <w:rFonts w:hint="eastAsia" w:ascii="黑体" w:eastAsia="黑体"/>
          <w:b/>
          <w:kern w:val="44"/>
          <w:sz w:val="48"/>
          <w:szCs w:val="20"/>
        </w:rPr>
        <w:t xml:space="preserve">第八部分  </w:t>
      </w:r>
      <w:r>
        <w:rPr>
          <w:rFonts w:hint="eastAsia" w:ascii="黑体" w:eastAsia="黑体"/>
          <w:b/>
          <w:kern w:val="44"/>
          <w:sz w:val="48"/>
          <w:szCs w:val="20"/>
          <w:highlight w:val="none"/>
        </w:rPr>
        <w:t>采购需求</w:t>
      </w:r>
      <w:r>
        <w:rPr>
          <w:rFonts w:ascii="黑体" w:eastAsia="黑体"/>
          <w:b/>
          <w:kern w:val="44"/>
          <w:sz w:val="48"/>
          <w:szCs w:val="20"/>
        </w:rPr>
        <w:br w:type="page"/>
      </w:r>
    </w:p>
    <w:bookmarkEnd w:id="0"/>
    <w:p w14:paraId="39AED0C1"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货物需求一览表</w:t>
      </w:r>
    </w:p>
    <w:p w14:paraId="76C02888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26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3085"/>
        <w:gridCol w:w="2520"/>
      </w:tblGrid>
      <w:tr w14:paraId="4CCC7C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auto"/>
          <w:wAfter w:w="0" w:type="auto"/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 w14:paraId="20C19E9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 w14:paraId="0409181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 w14:paraId="00E4FECF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3085" w:type="dxa"/>
            <w:noWrap w:val="0"/>
            <w:vAlign w:val="center"/>
          </w:tcPr>
          <w:p w14:paraId="3EB5944F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2520" w:type="dxa"/>
            <w:noWrap w:val="0"/>
            <w:vAlign w:val="center"/>
          </w:tcPr>
          <w:p w14:paraId="04B6878B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24E58B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auto"/>
          <w:wAfter w:w="0" w:type="auto"/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 w14:paraId="234B8553"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 w14:paraId="4B8DBF7E">
            <w:pPr>
              <w:jc w:val="center"/>
              <w:rPr>
                <w:rFonts w:hint="eastAsia" w:ascii="Bookman Old Style" w:hAnsi="Bookman Old Style"/>
                <w:sz w:val="24"/>
              </w:rPr>
            </w:pPr>
            <w:r>
              <w:rPr>
                <w:rFonts w:hint="eastAsia" w:ascii="Bookman Old Style" w:hAnsi="Bookman Old Style"/>
                <w:sz w:val="24"/>
                <w:lang w:val="en-US" w:eastAsia="zh-CN"/>
              </w:rPr>
              <w:t>X射线衍射仪</w:t>
            </w:r>
          </w:p>
        </w:tc>
        <w:tc>
          <w:tcPr>
            <w:tcW w:w="635" w:type="dxa"/>
            <w:noWrap w:val="0"/>
            <w:vAlign w:val="center"/>
          </w:tcPr>
          <w:p w14:paraId="12D84DB2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  <w:lang w:val="en-US" w:eastAsia="zh-CN"/>
              </w:rPr>
              <w:t>1套</w:t>
            </w:r>
          </w:p>
        </w:tc>
        <w:tc>
          <w:tcPr>
            <w:tcW w:w="5605" w:type="dxa"/>
            <w:gridSpan w:val="2"/>
            <w:noWrap w:val="0"/>
            <w:vAlign w:val="center"/>
          </w:tcPr>
          <w:p w14:paraId="12632D51">
            <w:pPr>
              <w:jc w:val="center"/>
              <w:rPr>
                <w:rFonts w:hint="default" w:ascii="宋体" w:hAnsi="Bookman Old Style" w:eastAsia="宋体"/>
                <w:sz w:val="24"/>
                <w:lang w:val="en-US" w:eastAsia="zh-CN"/>
              </w:rPr>
            </w:pPr>
            <w:r>
              <w:rPr>
                <w:rFonts w:hint="eastAsia" w:ascii="宋体" w:hAnsi="Bookman Old Style"/>
                <w:sz w:val="24"/>
                <w:lang w:val="en-US" w:eastAsia="zh-CN"/>
              </w:rPr>
              <w:t>详见具体技术规格</w:t>
            </w:r>
          </w:p>
        </w:tc>
      </w:tr>
    </w:tbl>
    <w:p w14:paraId="2CB5C658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712B43A3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38C18587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27E0F471">
      <w:pPr>
        <w:rPr>
          <w:rFonts w:hint="eastAsia"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42B014DD">
      <w:pPr>
        <w:adjustRightInd w:val="0"/>
        <w:snapToGrid w:val="0"/>
        <w:rPr>
          <w:rFonts w:hint="eastAsia" w:ascii="宋体" w:hAnsi="宋体"/>
          <w:szCs w:val="21"/>
        </w:rPr>
      </w:pPr>
    </w:p>
    <w:p w14:paraId="07533BB8">
      <w:pPr>
        <w:adjustRightInd w:val="0"/>
        <w:snapToGrid w:val="0"/>
        <w:rPr>
          <w:rFonts w:hint="eastAsia" w:ascii="宋体" w:hAnsi="宋体"/>
          <w:szCs w:val="21"/>
        </w:rPr>
      </w:pPr>
    </w:p>
    <w:p w14:paraId="0C1CAE6B">
      <w:pPr>
        <w:adjustRightInd w:val="0"/>
        <w:snapToGrid w:val="0"/>
        <w:rPr>
          <w:rFonts w:hint="eastAsia" w:ascii="宋体" w:hAnsi="宋体"/>
          <w:szCs w:val="21"/>
        </w:rPr>
      </w:pPr>
    </w:p>
    <w:p w14:paraId="591BED61">
      <w:pPr>
        <w:adjustRightInd w:val="0"/>
        <w:snapToGrid w:val="0"/>
        <w:rPr>
          <w:rFonts w:hint="eastAsia" w:ascii="宋体" w:hAnsi="宋体"/>
          <w:szCs w:val="21"/>
        </w:rPr>
      </w:pPr>
    </w:p>
    <w:p w14:paraId="3C536339">
      <w:pPr>
        <w:adjustRightInd w:val="0"/>
        <w:snapToGrid w:val="0"/>
        <w:rPr>
          <w:rFonts w:hint="eastAsia" w:ascii="宋体" w:hAnsi="宋体"/>
          <w:szCs w:val="21"/>
        </w:rPr>
      </w:pPr>
    </w:p>
    <w:p w14:paraId="53B5C2A1">
      <w:pPr>
        <w:adjustRightInd w:val="0"/>
        <w:snapToGrid w:val="0"/>
        <w:rPr>
          <w:rFonts w:hint="eastAsia" w:ascii="宋体" w:hAnsi="宋体"/>
          <w:szCs w:val="21"/>
        </w:rPr>
      </w:pPr>
    </w:p>
    <w:p w14:paraId="37B15CED">
      <w:pPr>
        <w:adjustRightInd w:val="0"/>
        <w:snapToGrid w:val="0"/>
        <w:rPr>
          <w:rFonts w:hint="eastAsia" w:ascii="宋体" w:hAnsi="宋体"/>
          <w:szCs w:val="21"/>
        </w:rPr>
      </w:pPr>
    </w:p>
    <w:p w14:paraId="45A2E9C8">
      <w:pPr>
        <w:adjustRightInd w:val="0"/>
        <w:snapToGrid w:val="0"/>
        <w:rPr>
          <w:rFonts w:hint="eastAsia" w:ascii="宋体" w:hAnsi="宋体"/>
          <w:szCs w:val="21"/>
        </w:rPr>
      </w:pPr>
    </w:p>
    <w:p w14:paraId="256320D2">
      <w:pPr>
        <w:adjustRightInd w:val="0"/>
        <w:snapToGrid w:val="0"/>
        <w:rPr>
          <w:rFonts w:hint="eastAsia" w:ascii="宋体" w:hAnsi="宋体"/>
          <w:szCs w:val="21"/>
        </w:rPr>
      </w:pPr>
    </w:p>
    <w:p w14:paraId="29A15A44">
      <w:pPr>
        <w:adjustRightInd w:val="0"/>
        <w:snapToGrid w:val="0"/>
        <w:rPr>
          <w:rFonts w:hint="eastAsia" w:ascii="宋体" w:hAnsi="宋体"/>
          <w:szCs w:val="21"/>
        </w:rPr>
      </w:pPr>
    </w:p>
    <w:p w14:paraId="5791B972">
      <w:pPr>
        <w:adjustRightInd w:val="0"/>
        <w:snapToGrid w:val="0"/>
        <w:rPr>
          <w:rFonts w:hint="eastAsia" w:ascii="宋体" w:hAnsi="宋体"/>
          <w:szCs w:val="21"/>
        </w:rPr>
      </w:pPr>
    </w:p>
    <w:p w14:paraId="1BA06513">
      <w:pPr>
        <w:adjustRightInd w:val="0"/>
        <w:snapToGrid w:val="0"/>
        <w:rPr>
          <w:rFonts w:hint="eastAsia" w:ascii="宋体" w:hAnsi="宋体"/>
          <w:szCs w:val="21"/>
        </w:rPr>
      </w:pPr>
    </w:p>
    <w:p w14:paraId="2E74E29B">
      <w:pPr>
        <w:adjustRightInd w:val="0"/>
        <w:snapToGrid w:val="0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 w14:paraId="22BE956B"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总则</w:t>
      </w:r>
    </w:p>
    <w:p w14:paraId="6F0D3F69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 w14:paraId="3A785D22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 w14:paraId="6C7EE060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4FEA0AB6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 w14:paraId="1D63A80C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 w14:paraId="7C2F26A2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 w14:paraId="3B127B33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 w14:paraId="4FEC595E">
      <w:pPr>
        <w:spacing w:line="360" w:lineRule="auto"/>
        <w:ind w:left="554" w:hanging="554" w:hangingChars="231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 w14:paraId="56EB1110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224212D7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47FE9CD8"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73365D8B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 xml:space="preserve">6  </w:t>
      </w:r>
      <w:r>
        <w:rPr>
          <w:rFonts w:hint="eastAsia"/>
          <w:color w:val="auto"/>
          <w:sz w:val="24"/>
          <w:highlight w:val="none"/>
        </w:rPr>
        <w:t>在评标过程中，买方有权向投标人索取任何与评标有关的资料，投标人务必在接到此类要求后，在规定时间内予以答复。对于无答复的投标人，买方有权拒绝其投标。</w:t>
      </w:r>
    </w:p>
    <w:p w14:paraId="080DAFE4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 w14:paraId="0D367CFE"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 w14:paraId="091AAF93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 w14:paraId="19109AB5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 w14:paraId="61ACF983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 w14:paraId="5FAD48AE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C16EA87"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 w14:paraId="1BC3CAEB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 w14:paraId="7E7C49C0"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 w14:paraId="266A692B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 w14:paraId="65CEF6B0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688B17B4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 w14:paraId="472AF4DA">
      <w:pPr>
        <w:pStyle w:val="17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 w14:paraId="6895D94E">
      <w:pPr>
        <w:pStyle w:val="17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 w14:paraId="7B7EF30D">
      <w:pPr>
        <w:pStyle w:val="17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</w:p>
    <w:p w14:paraId="536251A2">
      <w:pPr>
        <w:pStyle w:val="17"/>
        <w:spacing w:line="360" w:lineRule="auto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 w14:paraId="59904759">
      <w:pPr>
        <w:spacing w:after="156" w:afterLines="50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</w:rPr>
        <w:t>三、具体技术规格</w:t>
      </w:r>
    </w:p>
    <w:p w14:paraId="7D01EB77">
      <w:pPr>
        <w:pStyle w:val="2"/>
        <w:rPr>
          <w:rFonts w:hint="eastAsia"/>
          <w:sz w:val="24"/>
          <w:szCs w:val="24"/>
        </w:rPr>
      </w:pPr>
    </w:p>
    <w:p w14:paraId="3313B666">
      <w:pPr>
        <w:jc w:val="center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第1包 X射线衍射仪</w:t>
      </w:r>
    </w:p>
    <w:p w14:paraId="0AF03BE8">
      <w:pPr>
        <w:numPr>
          <w:ilvl w:val="0"/>
          <w:numId w:val="2"/>
        </w:numPr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技术要求：</w:t>
      </w:r>
    </w:p>
    <w:p w14:paraId="6369AD18">
      <w:pPr>
        <w:numPr>
          <w:ilvl w:val="0"/>
          <w:numId w:val="3"/>
        </w:numPr>
        <w:spacing w:line="360" w:lineRule="auto"/>
        <w:ind w:left="360" w:hanging="360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工作条件：</w:t>
      </w:r>
    </w:p>
    <w:p w14:paraId="53B3E46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</w:t>
      </w:r>
      <w:r>
        <w:rPr>
          <w:rFonts w:ascii="Times New Roman" w:hAnsi="Times New Roman" w:eastAsia="宋体" w:cs="Times New Roman"/>
          <w:sz w:val="24"/>
        </w:rPr>
        <w:t>.1</w:t>
      </w:r>
      <w:r>
        <w:rPr>
          <w:rFonts w:hint="eastAsia" w:ascii="Times New Roman" w:hAnsi="Times New Roman" w:eastAsia="宋体" w:cs="Times New Roman"/>
          <w:sz w:val="24"/>
        </w:rPr>
        <w:t xml:space="preserve"> 见总则第3条。</w:t>
      </w:r>
    </w:p>
    <w:p w14:paraId="69332C79">
      <w:pPr>
        <w:numPr>
          <w:ilvl w:val="0"/>
          <w:numId w:val="3"/>
        </w:numPr>
        <w:spacing w:line="360" w:lineRule="auto"/>
        <w:ind w:left="360" w:hanging="360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设备用途：</w:t>
      </w:r>
    </w:p>
    <w:p w14:paraId="7C9372EC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 xml:space="preserve">仪器采用当前最先进的技术，能够精确地对金属和非金属多晶样品进行物相定性定量分析，薄膜材料的物相、结晶度分析、晶胞参数计算和固溶体分析，微观应力及晶粒大小分析。仪器包括长寿命陶瓷X光管、固态X射线发生器、高分辨测角仪、高性能阵列探测器、计算机控制系统、数据处理软件、相关应用软件和循环冷却水装置。 </w:t>
      </w:r>
      <w:r>
        <w:rPr>
          <w:rFonts w:hint="eastAsia" w:ascii="Times New Roman" w:hAnsi="Times New Roman" w:eastAsia="宋体" w:cs="Times New Roman"/>
          <w:sz w:val="24"/>
        </w:rPr>
        <w:t xml:space="preserve">       </w:t>
      </w:r>
    </w:p>
    <w:p w14:paraId="61261072">
      <w:pPr>
        <w:numPr>
          <w:ilvl w:val="0"/>
          <w:numId w:val="3"/>
        </w:numPr>
        <w:spacing w:line="360" w:lineRule="auto"/>
        <w:ind w:left="360" w:hanging="360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技术规格：</w:t>
      </w:r>
    </w:p>
    <w:p w14:paraId="01E1F7F6">
      <w:pPr>
        <w:numPr>
          <w:ilvl w:val="0"/>
          <w:numId w:val="4"/>
        </w:numPr>
        <w:spacing w:line="360" w:lineRule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X射线光源</w:t>
      </w:r>
    </w:p>
    <w:p w14:paraId="56329E06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1.1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DF3型固态发生器X射线发生器部分</w:t>
      </w:r>
    </w:p>
    <w:p w14:paraId="19EE1006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*1.1.1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最大输出功率：3kW</w:t>
      </w:r>
    </w:p>
    <w:p w14:paraId="0DE9EBD5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*1.1.2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管</w:t>
      </w:r>
      <w:r>
        <w:rPr>
          <w:rFonts w:hint="eastAsia" w:ascii="Times New Roman" w:hAnsi="Times New Roman" w:eastAsia="宋体" w:cs="Times New Roman"/>
          <w:sz w:val="24"/>
        </w:rPr>
        <w:t>电压：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10-</w:t>
      </w:r>
      <w:r>
        <w:rPr>
          <w:rFonts w:hint="eastAsia" w:ascii="Times New Roman" w:hAnsi="Times New Roman" w:eastAsia="宋体" w:cs="Times New Roman"/>
          <w:sz w:val="24"/>
        </w:rPr>
        <w:t>60kV</w:t>
      </w:r>
    </w:p>
    <w:p w14:paraId="0C35BAF3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*1.1.3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管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电流：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5-6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0mA</w:t>
      </w:r>
    </w:p>
    <w:p w14:paraId="423C61D3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*1.1.4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电流电压稳定度：优于±0.005% (外电压波动10%时)</w:t>
      </w:r>
    </w:p>
    <w:p w14:paraId="65AB44EB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#1.1.5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安装Cu靶时，仪器稳定工作在管电压40KV，管电流40mA（国家生态环境部公示豁免标定为准豁免证标定为准）</w:t>
      </w:r>
    </w:p>
    <w:p w14:paraId="6E11E894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1.2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X射线光管部分</w:t>
      </w:r>
    </w:p>
    <w:p w14:paraId="17BCF86B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1.2.1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X射线光管：Cu靶，金属陶瓷X光管，功率2.4kW、焦斑大小0.4×12mm</w:t>
      </w:r>
    </w:p>
    <w:p w14:paraId="3849215C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 xml:space="preserve">1.3 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射线防护：射线防护罩安装由门锁，仪器工作时禁止打开射线防护装置。散射线剂量符合国际标准，防护罩外任何一点的计量小于1μSV/h</w:t>
      </w:r>
    </w:p>
    <w:p w14:paraId="5B0AF506">
      <w:pPr>
        <w:spacing w:line="360" w:lineRule="auto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2. 测角仪部分</w:t>
      </w:r>
    </w:p>
    <w:p w14:paraId="7D39984D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*2.1 测角仪：</w:t>
      </w:r>
      <w:r>
        <w:rPr>
          <w:rFonts w:hint="default" w:ascii="Times New Roman" w:hAnsi="Times New Roman" w:eastAsia="宋体" w:cs="Times New Roman"/>
          <w:sz w:val="24"/>
          <w:highlight w:val="none"/>
        </w:rPr>
        <w:t>θ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s-</w:t>
      </w:r>
      <w:r>
        <w:rPr>
          <w:rFonts w:hint="default" w:ascii="Times New Roman" w:hAnsi="Times New Roman" w:eastAsia="宋体" w:cs="Times New Roman"/>
          <w:sz w:val="24"/>
          <w:highlight w:val="none"/>
        </w:rPr>
        <w:t>θ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d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测角仪，伺服电机驱动测角仪转动，采用2</w:t>
      </w:r>
      <w:r>
        <w:rPr>
          <w:rFonts w:hint="eastAsia" w:ascii="Times New Roman" w:hAnsi="Times New Roman" w:eastAsia="宋体" w:cs="Times New Roman"/>
          <w:sz w:val="24"/>
          <w:highlight w:val="none"/>
          <w:vertAlign w:val="superscript"/>
        </w:rPr>
        <w:t>24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位线绝对增量光学圆光栅记录衍射角度值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73623D47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2.2 扫描方式：连续、步进、Omg扫描、XRR；</w:t>
      </w:r>
    </w:p>
    <w:p w14:paraId="6EC96016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 xml:space="preserve">2.3 </w:t>
      </w:r>
      <w:r>
        <w:rPr>
          <w:rFonts w:hint="default" w:ascii="Times New Roman" w:hAnsi="Times New Roman" w:eastAsia="宋体" w:cs="Times New Roman"/>
          <w:sz w:val="24"/>
          <w:highlight w:val="none"/>
        </w:rPr>
        <w:t>2θ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转动范围：-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°~160°；</w:t>
      </w:r>
    </w:p>
    <w:p w14:paraId="71622501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2.4 测角仪半径：≥185mm；</w:t>
      </w:r>
    </w:p>
    <w:p w14:paraId="1C48D56A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2.5 可读最小步长：0.0001°，角度重现性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：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0.0001°；</w:t>
      </w:r>
    </w:p>
    <w:p w14:paraId="527F8B1C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2.6 最高定位速度：≥1000°/min；</w:t>
      </w:r>
    </w:p>
    <w:p w14:paraId="38D77F82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*2.7 全自动光学校正：更换X射线管、或仪器校准时自动调整、锁定光学系统，保证</w:t>
      </w:r>
      <w:r>
        <w:rPr>
          <w:rFonts w:hint="default" w:ascii="Times New Roman" w:hAnsi="Times New Roman" w:eastAsia="宋体" w:cs="Times New Roman"/>
          <w:sz w:val="24"/>
          <w:highlight w:val="none"/>
        </w:rPr>
        <w:t>2θ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角测量准确性；</w:t>
      </w:r>
    </w:p>
    <w:p w14:paraId="7AED7795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 xml:space="preserve">2.8 </w:t>
      </w:r>
      <w:r>
        <w:rPr>
          <w:rFonts w:hint="default" w:ascii="Times New Roman" w:hAnsi="Times New Roman" w:eastAsia="宋体" w:cs="Times New Roman"/>
          <w:sz w:val="24"/>
        </w:rPr>
        <w:t>2θ</w:t>
      </w:r>
      <w:r>
        <w:rPr>
          <w:rFonts w:hint="eastAsia" w:ascii="Times New Roman" w:hAnsi="Times New Roman" w:eastAsia="宋体" w:cs="Times New Roman"/>
          <w:sz w:val="24"/>
        </w:rPr>
        <w:t>线性精度：标准样品全谱范围内衍射峰的</w:t>
      </w:r>
      <w:r>
        <w:rPr>
          <w:rFonts w:hint="default" w:ascii="Times New Roman" w:hAnsi="Times New Roman" w:eastAsia="宋体" w:cs="Times New Roman"/>
          <w:sz w:val="24"/>
        </w:rPr>
        <w:t>2θ</w:t>
      </w:r>
      <w:r>
        <w:rPr>
          <w:rFonts w:hint="eastAsia" w:ascii="Times New Roman" w:hAnsi="Times New Roman" w:eastAsia="宋体" w:cs="Times New Roman"/>
          <w:sz w:val="24"/>
        </w:rPr>
        <w:t>角度偏差不超过±0.01度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。</w:t>
      </w:r>
    </w:p>
    <w:p w14:paraId="6E7176EB">
      <w:pPr>
        <w:spacing w:line="360" w:lineRule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3.探测器部分：半导体阵列探测器</w:t>
      </w:r>
    </w:p>
    <w:p w14:paraId="67CA5D44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*3.1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像素尺寸：≤50µm；</w:t>
      </w:r>
    </w:p>
    <w:p w14:paraId="0C041D0B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*3.2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像素数：≥280×280pixe；</w:t>
      </w:r>
    </w:p>
    <w:p w14:paraId="5B7A89FE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*3.3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计数率：≥3X106 counts/s/pixel；</w:t>
      </w:r>
    </w:p>
    <w:p w14:paraId="28D91764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#3.4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具备软件选择0D 1D 2D测量模式；</w:t>
      </w:r>
    </w:p>
    <w:p w14:paraId="422034DA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3.5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对含有Fe、Co、Ni的样品能有效除去荧光；</w:t>
      </w:r>
    </w:p>
    <w:p w14:paraId="0CB1FC8E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3.6 2D模式能获取</w:t>
      </w:r>
      <w:r>
        <w:rPr>
          <w:rFonts w:hint="default" w:ascii="Times New Roman" w:hAnsi="Times New Roman" w:eastAsia="宋体" w:cs="Times New Roman"/>
          <w:sz w:val="24"/>
          <w:highlight w:val="none"/>
        </w:rPr>
        <w:t>2θ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角4度范围内的衍射环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313F5184">
      <w:pPr>
        <w:spacing w:line="360" w:lineRule="auto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4. 仪器控制和数据采集系统</w:t>
      </w:r>
    </w:p>
    <w:p w14:paraId="6FFE5978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4.1 数据处理系统：Intel i系列处理器、内存4G、硬盘256G固态、23英寸LED显示；</w:t>
      </w:r>
    </w:p>
    <w:p w14:paraId="18410E9C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*4.2 Windows10操作系统下运行的仪器控制和数据处理软件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26DCB040">
      <w:pPr>
        <w:spacing w:line="360" w:lineRule="auto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5. 应用软件：要求提供以下应用分析软件</w:t>
      </w:r>
    </w:p>
    <w:p w14:paraId="70BAFF3C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5.1 物相检索软件：含原始数据直接检索功能；</w:t>
      </w:r>
    </w:p>
    <w:p w14:paraId="665B0CE5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5.2 物相定量分析: 含基本参数无标样定量分析软件；</w:t>
      </w:r>
    </w:p>
    <w:p w14:paraId="44F6EED4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5.3 无标准晶粒大小分析及微观应力分析；</w:t>
      </w:r>
    </w:p>
    <w:p w14:paraId="6385CD04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5.4 衍射数据卡片库与晶体结构数据库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6CFEB242">
      <w:pPr>
        <w:spacing w:line="360" w:lineRule="auto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6.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循环水冷系统：满足相应系统连续满功率运行</w:t>
      </w:r>
    </w:p>
    <w:p w14:paraId="539A3485">
      <w:pPr>
        <w:spacing w:line="360" w:lineRule="auto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附件部分：安装方式：软件自动识别，即插即用，不需要校正光路</w:t>
      </w:r>
    </w:p>
    <w:p w14:paraId="39ADD80C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7.1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高温高压原位附件</w:t>
      </w:r>
    </w:p>
    <w:p w14:paraId="08EA839C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*7.1.1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温度范围：室温～+900℃（最大）；</w:t>
      </w:r>
    </w:p>
    <w:p w14:paraId="273D928A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*7.1.2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压力范围：小于10 bar；</w:t>
      </w:r>
    </w:p>
    <w:p w14:paraId="774CDBC3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*7.1.3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温度控制精度：设定值±1℃；</w:t>
      </w:r>
    </w:p>
    <w:p w14:paraId="14CAECFB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*7.1.4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可通CO或H</w:t>
      </w:r>
      <w:r>
        <w:rPr>
          <w:rFonts w:hint="eastAsia" w:ascii="Times New Roman" w:hAnsi="Times New Roman" w:eastAsia="宋体" w:cs="Times New Roman"/>
          <w:sz w:val="24"/>
          <w:highlight w:val="none"/>
          <w:vertAlign w:val="subscript"/>
        </w:rPr>
        <w:t>2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或O</w:t>
      </w:r>
      <w:r>
        <w:rPr>
          <w:rFonts w:hint="eastAsia" w:ascii="Times New Roman" w:hAnsi="Times New Roman" w:eastAsia="宋体" w:cs="Times New Roman"/>
          <w:sz w:val="24"/>
          <w:highlight w:val="none"/>
          <w:vertAlign w:val="subscript"/>
        </w:rPr>
        <w:t>2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等气体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69973911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2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高温附件</w:t>
      </w:r>
    </w:p>
    <w:p w14:paraId="254D49AA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.1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>温度范围：室温～+1500℃（极限温度+1600℃）；</w:t>
      </w:r>
    </w:p>
    <w:p w14:paraId="4B04D4C9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.2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加热器件：铂金板；</w:t>
      </w:r>
    </w:p>
    <w:p w14:paraId="032679C5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.3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温度控制精度：设定值±0.5℃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6E4C25DD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3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低温附件</w:t>
      </w:r>
    </w:p>
    <w:p w14:paraId="48896470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.1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温度范围：-180～+400℃；</w:t>
      </w:r>
    </w:p>
    <w:p w14:paraId="2759AE6F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.2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温度控制精度：设定值±0.5℃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35BCA6DD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4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三轴款多功能样品架</w:t>
      </w:r>
    </w:p>
    <w:p w14:paraId="1C13EC3B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.1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薄膜测量、Phi 扫描（样品表面旋转）；</w:t>
      </w:r>
    </w:p>
    <w:p w14:paraId="722A5AAC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.2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最大可测量样品尺寸：φ70×12mm；</w:t>
      </w:r>
    </w:p>
    <w:p w14:paraId="595E21B5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.3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配置激光测距定位装置，以保证衍射面准确性；</w:t>
      </w:r>
    </w:p>
    <w:p w14:paraId="2D032E6C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.4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圆光嘴尺寸：Φ1、Φ0.5mm；SS狭缝7mm、RS狭缝5mm；</w:t>
      </w:r>
    </w:p>
    <w:p w14:paraId="7DB796C3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 xml:space="preserve">.5 </w:t>
      </w:r>
      <w:r>
        <w:rPr>
          <w:rFonts w:hint="eastAsia" w:ascii="Times New Roman" w:hAnsi="Times New Roman" w:eastAsia="宋体" w:cs="Times New Roman"/>
          <w:sz w:val="24"/>
        </w:rPr>
        <w:t>Chi轴：0°～60°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</w:rPr>
        <w:t>最小步宽角度0.02°；</w:t>
      </w:r>
    </w:p>
    <w:p w14:paraId="6E4D983C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.6 Phi轴：0°～360°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最小步宽角度0.02°；</w:t>
      </w:r>
    </w:p>
    <w:p w14:paraId="75CD8DA7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.7 Z轴：0~8mm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移动精度：0.01mm。</w:t>
      </w:r>
    </w:p>
    <w:p w14:paraId="73616525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sz w:val="24"/>
          <w:highlight w:val="none"/>
        </w:rPr>
        <w:t xml:space="preserve"> 交叉光学（B—P）系统</w:t>
      </w:r>
    </w:p>
    <w:p w14:paraId="6F9AFE41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.1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衍射仪测角仪两套光学系统并存，一键操作，实现在聚焦光学系统（B）与平行光学系统(P)相互切换。</w:t>
      </w:r>
    </w:p>
    <w:p w14:paraId="2DB3AE52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.2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平行光学系统(P)：与三维薄膜样品架配合，实现对大于20nm薄膜样品测量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08470CB9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#7.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.3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三维薄膜样品架：Chi摆角摆动范围为±7.5°，重复定位精度为±0.005°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升降重复定位精度为±0.005mm；Phi旋转平台可±360°旋转，重复定位精度为±0.01°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5C15429B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6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纤维附件：用于测量纤维结晶面对纤维轴特定方向的取向度（如木材、纤维等）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26DF1C56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7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换样器，一次装6个样品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。</w:t>
      </w:r>
    </w:p>
    <w:p w14:paraId="0C0B38F3">
      <w:pPr>
        <w:spacing w:line="360" w:lineRule="auto"/>
        <w:ind w:left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7.8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备件：X射线光管2只</w:t>
      </w:r>
    </w:p>
    <w:p w14:paraId="7E3F5BDB">
      <w:pPr>
        <w:spacing w:line="360" w:lineRule="auto"/>
        <w:ind w:leftChars="100" w:firstLine="240" w:firstLine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7.8.1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Cu靶，金属陶瓷X光管；</w:t>
      </w:r>
    </w:p>
    <w:p w14:paraId="7C2DAF19">
      <w:pPr>
        <w:spacing w:line="360" w:lineRule="auto"/>
        <w:ind w:leftChars="100" w:firstLine="240" w:firstLineChars="100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7.8.2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功率2.4kW；</w:t>
      </w:r>
    </w:p>
    <w:p w14:paraId="1F5CF865">
      <w:pPr>
        <w:spacing w:line="360" w:lineRule="auto"/>
        <w:ind w:leftChars="100" w:firstLine="240" w:firstLineChars="1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 xml:space="preserve">7.8.3 </w:t>
      </w:r>
      <w:r>
        <w:rPr>
          <w:rFonts w:hint="eastAsia" w:ascii="Times New Roman" w:hAnsi="Times New Roman" w:eastAsia="宋体" w:cs="Times New Roman"/>
          <w:sz w:val="24"/>
        </w:rPr>
        <w:t>焦斑大小0.4×12mm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。</w:t>
      </w:r>
    </w:p>
    <w:p w14:paraId="58C950C4">
      <w:pPr>
        <w:numPr>
          <w:ilvl w:val="0"/>
          <w:numId w:val="3"/>
        </w:numPr>
        <w:spacing w:line="360" w:lineRule="auto"/>
        <w:ind w:left="360" w:hanging="360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产品配置要求</w:t>
      </w:r>
    </w:p>
    <w:p w14:paraId="012460ED">
      <w:pPr>
        <w:numPr>
          <w:ilvl w:val="1"/>
          <w:numId w:val="5"/>
        </w:numPr>
        <w:spacing w:line="360" w:lineRule="auto"/>
        <w:ind w:left="360" w:hanging="36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 产品主体部分说明</w:t>
      </w:r>
    </w:p>
    <w:p w14:paraId="1BE09203">
      <w:pPr>
        <w:numPr>
          <w:ilvl w:val="0"/>
          <w:numId w:val="0"/>
        </w:numPr>
        <w:spacing w:line="360" w:lineRule="auto"/>
        <w:ind w:leftChars="200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4.1.1 产品主体部分包括长寿命陶瓷X光管、固态X射线发生器、高分辨测角仪、高性能阵列探测器、计算机控制系统、数据处理软件、相关应用软件和循环冷却水装置。</w:t>
      </w:r>
    </w:p>
    <w:p w14:paraId="29ED63FE">
      <w:pPr>
        <w:spacing w:line="360" w:lineRule="auto"/>
        <w:rPr>
          <w:rFonts w:hint="eastAsia" w:ascii="Times New Roman" w:hAnsi="Times New Roman" w:eastAsia="宋体" w:cs="Times New Roman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sz w:val="24"/>
        </w:rPr>
        <w:t>4.2 要求的附件、专用工具和消耗品</w:t>
      </w:r>
    </w:p>
    <w:p w14:paraId="275D386E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4</w:t>
      </w:r>
      <w:r>
        <w:rPr>
          <w:rFonts w:ascii="Times New Roman" w:hAnsi="Times New Roman" w:eastAsia="宋体" w:cs="Times New Roman"/>
          <w:sz w:val="24"/>
        </w:rPr>
        <w:t>.2.</w:t>
      </w:r>
      <w:r>
        <w:rPr>
          <w:rFonts w:hint="eastAsia" w:ascii="Times New Roman" w:hAnsi="Times New Roman" w:eastAsia="宋体" w:cs="Times New Roman"/>
          <w:sz w:val="24"/>
        </w:rPr>
        <w:t xml:space="preserve">1 高温高压原位附件 </w:t>
      </w:r>
    </w:p>
    <w:p w14:paraId="3F888FB7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4.2.2 高温附件</w:t>
      </w:r>
    </w:p>
    <w:p w14:paraId="7FC5F52E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4.2.3 低温附件</w:t>
      </w:r>
    </w:p>
    <w:p w14:paraId="6BB2D0DA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4.2.4 三轴款多功能样品架</w:t>
      </w:r>
    </w:p>
    <w:p w14:paraId="6DA6EE16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4.2.5 交叉光学（B—P）系统</w:t>
      </w:r>
    </w:p>
    <w:p w14:paraId="486BCD7D">
      <w:pPr>
        <w:spacing w:line="360" w:lineRule="auto"/>
        <w:ind w:leftChars="200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4.2.6 纤维附件</w:t>
      </w:r>
    </w:p>
    <w:p w14:paraId="6B34B72A">
      <w:pPr>
        <w:spacing w:line="360" w:lineRule="auto"/>
        <w:ind w:leftChars="200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4.2.7 六位换样器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br w:type="textWrapping"/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4.2.8 2个X射线管（Cu靶材）</w:t>
      </w:r>
    </w:p>
    <w:p w14:paraId="38478340">
      <w:pPr>
        <w:tabs>
          <w:tab w:val="left" w:pos="540"/>
        </w:tabs>
        <w:spacing w:line="360" w:lineRule="auto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6. 技术文件：</w:t>
      </w:r>
    </w:p>
    <w:p w14:paraId="59788C8E">
      <w:pPr>
        <w:spacing w:line="360" w:lineRule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6.1 请参考总则第1.2条。</w:t>
      </w:r>
    </w:p>
    <w:p w14:paraId="5EFA0B0E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6.2 请参考总则第2.3条。</w:t>
      </w:r>
    </w:p>
    <w:p w14:paraId="6547506D">
      <w:pPr>
        <w:spacing w:line="360" w:lineRule="auto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（二）质保及售后服务：</w:t>
      </w:r>
    </w:p>
    <w:p w14:paraId="66BCD70B">
      <w:pPr>
        <w:spacing w:line="360" w:lineRule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1.1 设备安装调试</w:t>
      </w:r>
    </w:p>
    <w:p w14:paraId="7789303D">
      <w:pPr>
        <w:spacing w:line="360" w:lineRule="auto"/>
        <w:ind w:firstLine="240" w:firstLineChars="1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1.1.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1 </w:t>
      </w:r>
      <w:r>
        <w:rPr>
          <w:rFonts w:hint="eastAsia" w:ascii="Times New Roman" w:hAnsi="Times New Roman" w:eastAsia="宋体" w:cs="Times New Roman"/>
          <w:sz w:val="24"/>
        </w:rPr>
        <w:t>仪器设备自甲方收到货物后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15</w:t>
      </w:r>
      <w:r>
        <w:rPr>
          <w:rFonts w:hint="eastAsia" w:ascii="Times New Roman" w:hAnsi="Times New Roman" w:eastAsia="宋体" w:cs="Times New Roman"/>
          <w:sz w:val="24"/>
        </w:rPr>
        <w:t>个工作日内完成安装调试，且能稳定运行；</w:t>
      </w:r>
    </w:p>
    <w:p w14:paraId="473144C5">
      <w:pPr>
        <w:spacing w:line="360" w:lineRule="auto"/>
        <w:ind w:firstLine="240" w:firstLineChars="100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1.1.2 </w:t>
      </w:r>
      <w:r>
        <w:rPr>
          <w:rFonts w:hint="eastAsia" w:ascii="Times New Roman" w:hAnsi="Times New Roman" w:eastAsia="宋体" w:cs="Times New Roman"/>
          <w:sz w:val="24"/>
        </w:rPr>
        <w:t>最终验收管理要求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：项目验收应依据双方签订的合同协议、过程需求变更文件作为项目验收依据标准，验收内容应包括对所有交付品的检查、功能验收及性能验收。验收合格后，经双方确认，形成验收报告，由双方项目负责人签字生效。</w:t>
      </w:r>
    </w:p>
    <w:p w14:paraId="7649E0BB">
      <w:pPr>
        <w:spacing w:line="360" w:lineRule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1.2 技术培训 </w:t>
      </w:r>
    </w:p>
    <w:p w14:paraId="1AA0510D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乙方提供该设备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详细</w:t>
      </w:r>
      <w:r>
        <w:rPr>
          <w:rFonts w:hint="eastAsia" w:ascii="Times New Roman" w:hAnsi="Times New Roman" w:eastAsia="宋体" w:cs="Times New Roman"/>
          <w:sz w:val="24"/>
        </w:rPr>
        <w:t>的技术使用说明书，并在到货安装调试完成后，有专业工程师现场提供一次系统的使用培训服务，直至采购人相关人员熟练掌握为止。</w:t>
      </w:r>
    </w:p>
    <w:p w14:paraId="78D7C9BA">
      <w:pPr>
        <w:spacing w:line="360" w:lineRule="auto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</w:rPr>
        <w:t>1.3 保修期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：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自甲方收到货物并验收合格之日起24个月；</w:t>
      </w:r>
    </w:p>
    <w:p w14:paraId="2FEB4D24">
      <w:pPr>
        <w:spacing w:line="360" w:lineRule="auto"/>
        <w:rPr>
          <w:rFonts w:hint="eastAsia" w:ascii="Times New Roman" w:hAnsi="Times New Roman" w:eastAsia="宋体" w:cs="Times New Roman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sz w:val="24"/>
        </w:rPr>
        <w:t>1.4 维修响应时间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：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保修期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内乙方提供的产品出现质量问题在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小时内提供线上维修响应，并在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2-4个工作日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内到达现场，提供免费检测维修、更换配件、排除故障、更换设备等服务。</w:t>
      </w:r>
    </w:p>
    <w:p w14:paraId="7E666720">
      <w:pPr>
        <w:spacing w:line="360" w:lineRule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1.5 包装运输要求：乙方按设备结构选择包装形式以保证设备本体及内件不变形受损；乙方应对任何由于不当包装或防护措施不利而导致的商品损坏、损失费用增长等后果负责。</w:t>
      </w:r>
    </w:p>
    <w:p w14:paraId="77E4E51C">
      <w:pPr>
        <w:spacing w:line="360" w:lineRule="auto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1.6</w:t>
      </w:r>
      <w:r>
        <w:rPr>
          <w:rFonts w:hint="eastAsia" w:cs="仿宋"/>
          <w:bCs/>
          <w:sz w:val="24"/>
          <w:szCs w:val="28"/>
        </w:rPr>
        <w:t>提供一次免费异地搬迁和安装服务。</w:t>
      </w:r>
    </w:p>
    <w:p w14:paraId="2B82ADD6">
      <w:pPr>
        <w:spacing w:line="360" w:lineRule="auto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（三） 订货数量：</w:t>
      </w:r>
    </w:p>
    <w:p w14:paraId="6E3F3DDA">
      <w:pPr>
        <w:spacing w:line="360" w:lineRule="auto"/>
        <w:ind w:firstLine="240" w:firstLineChars="100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1套</w:t>
      </w:r>
    </w:p>
    <w:p w14:paraId="1007E252">
      <w:pPr>
        <w:spacing w:line="360" w:lineRule="auto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 xml:space="preserve">（四） 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交货地点</w:t>
      </w:r>
      <w:r>
        <w:rPr>
          <w:rFonts w:hint="eastAsia" w:ascii="Times New Roman" w:hAnsi="Times New Roman" w:eastAsia="宋体" w:cs="Times New Roman"/>
          <w:b/>
          <w:sz w:val="24"/>
        </w:rPr>
        <w:t>：</w:t>
      </w:r>
    </w:p>
    <w:p w14:paraId="67A3E703">
      <w:pPr>
        <w:spacing w:line="360" w:lineRule="auto"/>
        <w:ind w:firstLine="240" w:firstLineChars="100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江苏省南京市玄武区北京东路39号中国科学院南京地质古生物研究所或指定地点</w:t>
      </w:r>
    </w:p>
    <w:p w14:paraId="50281351">
      <w:pPr>
        <w:spacing w:line="360" w:lineRule="auto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（五）交货日期：</w:t>
      </w:r>
    </w:p>
    <w:p w14:paraId="44C7E826">
      <w:pPr>
        <w:spacing w:line="360" w:lineRule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   合同签订后2个月内。                                           </w:t>
      </w:r>
    </w:p>
    <w:p w14:paraId="19B50BCC">
      <w:pPr>
        <w:spacing w:line="360" w:lineRule="auto"/>
        <w:rPr>
          <w:rFonts w:ascii="Times New Roman" w:hAnsi="Times New Roman" w:eastAsia="宋体" w:cs="Times New Roman"/>
          <w:sz w:val="24"/>
        </w:rPr>
      </w:pPr>
    </w:p>
    <w:p w14:paraId="6847A9AD">
      <w:pPr>
        <w:spacing w:line="360" w:lineRule="auto"/>
        <w:rPr>
          <w:rFonts w:hint="eastAsia" w:ascii="Times New Roman" w:hAnsi="Times New Roman" w:eastAsia="宋体" w:cs="Times New Roman"/>
          <w:b/>
          <w:color w:val="auto"/>
          <w:sz w:val="24"/>
        </w:rPr>
      </w:pPr>
      <w:r>
        <w:rPr>
          <w:rFonts w:hint="eastAsia" w:ascii="Times New Roman" w:hAnsi="Times New Roman" w:eastAsia="宋体" w:cs="Times New Roman"/>
          <w:b/>
          <w:color w:val="auto"/>
          <w:sz w:val="24"/>
        </w:rPr>
        <w:t>（六）执行的相关标准</w:t>
      </w:r>
    </w:p>
    <w:p w14:paraId="782E9E92">
      <w:pPr>
        <w:spacing w:line="360" w:lineRule="auto"/>
        <w:ind w:firstLine="480" w:firstLineChars="200"/>
        <w:rPr>
          <w:rFonts w:hint="eastAsia" w:ascii="inherit" w:hAnsi="inherit" w:eastAsia="宋体" w:cs="宋体"/>
          <w:color w:val="auto"/>
          <w:kern w:val="0"/>
          <w:sz w:val="24"/>
        </w:rPr>
      </w:pPr>
      <w:r>
        <w:rPr>
          <w:rFonts w:hint="eastAsia" w:ascii="inherit" w:hAnsi="inherit" w:eastAsia="宋体" w:cs="宋体"/>
          <w:color w:val="auto"/>
          <w:kern w:val="0"/>
          <w:sz w:val="24"/>
        </w:rPr>
        <w:t>产品应满足相关国家标准及行业标准。</w:t>
      </w:r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ime of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3CEC2">
    <w:pPr>
      <w:pStyle w:val="2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C20837">
    <w:pPr>
      <w:pStyle w:val="21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4AA18">
    <w:pPr>
      <w:pStyle w:val="22"/>
      <w:jc w:val="both"/>
      <w:rPr>
        <w:rFonts w:hint="default" w:eastAsia="宋体"/>
        <w:lang w:val="en-US" w:eastAsia="zh-CN"/>
      </w:rPr>
    </w:pPr>
    <w:r>
      <w:rPr>
        <w:rFonts w:hint="eastAsia"/>
        <w:i/>
        <w:lang w:val="en-US" w:eastAsia="zh-CN"/>
      </w:rPr>
      <w:t>东方国际招标</w:t>
    </w:r>
    <w:r>
      <w:rPr>
        <w:rFonts w:hint="eastAsia"/>
        <w:i/>
        <w:lang w:val="en-US" w:eastAsia="zh-CN"/>
      </w:rPr>
      <w:t>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E3F332"/>
    <w:multiLevelType w:val="singleLevel"/>
    <w:tmpl w:val="B6E3F33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340F57DF"/>
    <w:multiLevelType w:val="multilevel"/>
    <w:tmpl w:val="340F57DF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3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Y5ZDVkNGViNDI2YWMwZWE1YmM5MGM5ZjEwZmIzYzgifQ=="/>
  </w:docVars>
  <w:rsids>
    <w:rsidRoot w:val="00FA3835"/>
    <w:rsid w:val="000050A2"/>
    <w:rsid w:val="00027C8D"/>
    <w:rsid w:val="00040005"/>
    <w:rsid w:val="000543E7"/>
    <w:rsid w:val="0006010D"/>
    <w:rsid w:val="000668DC"/>
    <w:rsid w:val="00081ADD"/>
    <w:rsid w:val="000969BB"/>
    <w:rsid w:val="000973D2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7AF4"/>
    <w:rsid w:val="001140D0"/>
    <w:rsid w:val="001235CA"/>
    <w:rsid w:val="00137D93"/>
    <w:rsid w:val="001437EA"/>
    <w:rsid w:val="00144505"/>
    <w:rsid w:val="00144DDA"/>
    <w:rsid w:val="0014761F"/>
    <w:rsid w:val="00153F11"/>
    <w:rsid w:val="00154F47"/>
    <w:rsid w:val="00155A34"/>
    <w:rsid w:val="00164E27"/>
    <w:rsid w:val="001921CA"/>
    <w:rsid w:val="00194900"/>
    <w:rsid w:val="001A0E56"/>
    <w:rsid w:val="001A6E63"/>
    <w:rsid w:val="001B195C"/>
    <w:rsid w:val="001B62CC"/>
    <w:rsid w:val="001B66E1"/>
    <w:rsid w:val="001B6E57"/>
    <w:rsid w:val="001D7301"/>
    <w:rsid w:val="001E1467"/>
    <w:rsid w:val="001E152C"/>
    <w:rsid w:val="001E3480"/>
    <w:rsid w:val="001F18B7"/>
    <w:rsid w:val="001F1D2B"/>
    <w:rsid w:val="001F5FAD"/>
    <w:rsid w:val="001F79B6"/>
    <w:rsid w:val="002024C7"/>
    <w:rsid w:val="00206639"/>
    <w:rsid w:val="0021259E"/>
    <w:rsid w:val="00213C28"/>
    <w:rsid w:val="00224FE7"/>
    <w:rsid w:val="00233C8A"/>
    <w:rsid w:val="00240E7B"/>
    <w:rsid w:val="00247ED0"/>
    <w:rsid w:val="00251DB7"/>
    <w:rsid w:val="00275598"/>
    <w:rsid w:val="002761A3"/>
    <w:rsid w:val="0028124D"/>
    <w:rsid w:val="00282A80"/>
    <w:rsid w:val="00282F14"/>
    <w:rsid w:val="00292E0B"/>
    <w:rsid w:val="002B44BD"/>
    <w:rsid w:val="002B6E7A"/>
    <w:rsid w:val="002B7380"/>
    <w:rsid w:val="002D5C47"/>
    <w:rsid w:val="002E03AA"/>
    <w:rsid w:val="002E6A76"/>
    <w:rsid w:val="002F1704"/>
    <w:rsid w:val="002F6FCA"/>
    <w:rsid w:val="002F7EF8"/>
    <w:rsid w:val="00301191"/>
    <w:rsid w:val="00322611"/>
    <w:rsid w:val="003248D5"/>
    <w:rsid w:val="00326D72"/>
    <w:rsid w:val="0033189B"/>
    <w:rsid w:val="003442AE"/>
    <w:rsid w:val="0034443A"/>
    <w:rsid w:val="003474B8"/>
    <w:rsid w:val="00353E66"/>
    <w:rsid w:val="00357C16"/>
    <w:rsid w:val="003637C6"/>
    <w:rsid w:val="003732CC"/>
    <w:rsid w:val="00373B63"/>
    <w:rsid w:val="00374F9A"/>
    <w:rsid w:val="00382C0C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4043A2"/>
    <w:rsid w:val="00404EA5"/>
    <w:rsid w:val="00415144"/>
    <w:rsid w:val="00420D92"/>
    <w:rsid w:val="0042297A"/>
    <w:rsid w:val="004362C7"/>
    <w:rsid w:val="0044106E"/>
    <w:rsid w:val="00446E68"/>
    <w:rsid w:val="00447503"/>
    <w:rsid w:val="0046038A"/>
    <w:rsid w:val="00471176"/>
    <w:rsid w:val="00484FF8"/>
    <w:rsid w:val="004A0EB1"/>
    <w:rsid w:val="004A3B49"/>
    <w:rsid w:val="004A5C14"/>
    <w:rsid w:val="004B3476"/>
    <w:rsid w:val="004B36B8"/>
    <w:rsid w:val="004C387C"/>
    <w:rsid w:val="004D0AB9"/>
    <w:rsid w:val="004E042A"/>
    <w:rsid w:val="004E4504"/>
    <w:rsid w:val="004F0FDE"/>
    <w:rsid w:val="004F3E07"/>
    <w:rsid w:val="00504FD3"/>
    <w:rsid w:val="00512882"/>
    <w:rsid w:val="005143FF"/>
    <w:rsid w:val="00516FEB"/>
    <w:rsid w:val="005244F5"/>
    <w:rsid w:val="00524665"/>
    <w:rsid w:val="00543C0A"/>
    <w:rsid w:val="0054699B"/>
    <w:rsid w:val="005515EB"/>
    <w:rsid w:val="0055226E"/>
    <w:rsid w:val="00552E7C"/>
    <w:rsid w:val="005601D0"/>
    <w:rsid w:val="005613B2"/>
    <w:rsid w:val="0056304A"/>
    <w:rsid w:val="0057066D"/>
    <w:rsid w:val="00572671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4D00"/>
    <w:rsid w:val="006225E2"/>
    <w:rsid w:val="0062676A"/>
    <w:rsid w:val="00640DB1"/>
    <w:rsid w:val="006416E9"/>
    <w:rsid w:val="0064545D"/>
    <w:rsid w:val="00646C82"/>
    <w:rsid w:val="00647CD5"/>
    <w:rsid w:val="006548A6"/>
    <w:rsid w:val="00655478"/>
    <w:rsid w:val="00664D7F"/>
    <w:rsid w:val="006A377B"/>
    <w:rsid w:val="006B0930"/>
    <w:rsid w:val="006C4384"/>
    <w:rsid w:val="006C5135"/>
    <w:rsid w:val="006C546E"/>
    <w:rsid w:val="006D29F2"/>
    <w:rsid w:val="006E2DE0"/>
    <w:rsid w:val="006E5A8E"/>
    <w:rsid w:val="0070081C"/>
    <w:rsid w:val="0071653B"/>
    <w:rsid w:val="00721985"/>
    <w:rsid w:val="00724C84"/>
    <w:rsid w:val="007252A8"/>
    <w:rsid w:val="00725C0A"/>
    <w:rsid w:val="0073119D"/>
    <w:rsid w:val="0073199C"/>
    <w:rsid w:val="007376B0"/>
    <w:rsid w:val="00740508"/>
    <w:rsid w:val="00743776"/>
    <w:rsid w:val="00751428"/>
    <w:rsid w:val="0075674B"/>
    <w:rsid w:val="00761F2B"/>
    <w:rsid w:val="00763B74"/>
    <w:rsid w:val="007731D0"/>
    <w:rsid w:val="00775B16"/>
    <w:rsid w:val="00785A0A"/>
    <w:rsid w:val="00787CED"/>
    <w:rsid w:val="007967F8"/>
    <w:rsid w:val="007A3772"/>
    <w:rsid w:val="007C2696"/>
    <w:rsid w:val="007C4C31"/>
    <w:rsid w:val="007C5EA5"/>
    <w:rsid w:val="007D381E"/>
    <w:rsid w:val="007D3EE2"/>
    <w:rsid w:val="007E03CA"/>
    <w:rsid w:val="007E6193"/>
    <w:rsid w:val="007F2F97"/>
    <w:rsid w:val="007F387D"/>
    <w:rsid w:val="007F7152"/>
    <w:rsid w:val="008203E6"/>
    <w:rsid w:val="00822633"/>
    <w:rsid w:val="00830107"/>
    <w:rsid w:val="00831B02"/>
    <w:rsid w:val="00833174"/>
    <w:rsid w:val="00846609"/>
    <w:rsid w:val="00852958"/>
    <w:rsid w:val="00864F77"/>
    <w:rsid w:val="008661F8"/>
    <w:rsid w:val="008712FA"/>
    <w:rsid w:val="00876AA9"/>
    <w:rsid w:val="00876EFF"/>
    <w:rsid w:val="00883AB2"/>
    <w:rsid w:val="008861B2"/>
    <w:rsid w:val="00896377"/>
    <w:rsid w:val="008A09F5"/>
    <w:rsid w:val="008A4B18"/>
    <w:rsid w:val="008A738C"/>
    <w:rsid w:val="008B2645"/>
    <w:rsid w:val="008C36D3"/>
    <w:rsid w:val="008D0675"/>
    <w:rsid w:val="008D1425"/>
    <w:rsid w:val="008D3BC8"/>
    <w:rsid w:val="008D6F23"/>
    <w:rsid w:val="008E5EB5"/>
    <w:rsid w:val="008F04C7"/>
    <w:rsid w:val="008F21A5"/>
    <w:rsid w:val="008F2440"/>
    <w:rsid w:val="00914619"/>
    <w:rsid w:val="009202C8"/>
    <w:rsid w:val="009246BA"/>
    <w:rsid w:val="00930CDE"/>
    <w:rsid w:val="00935AA1"/>
    <w:rsid w:val="009451DC"/>
    <w:rsid w:val="009467F2"/>
    <w:rsid w:val="0095655E"/>
    <w:rsid w:val="009718ED"/>
    <w:rsid w:val="0097297B"/>
    <w:rsid w:val="0098154C"/>
    <w:rsid w:val="0098549E"/>
    <w:rsid w:val="009857EF"/>
    <w:rsid w:val="009941D8"/>
    <w:rsid w:val="009A2C18"/>
    <w:rsid w:val="009C0A0B"/>
    <w:rsid w:val="009C14BD"/>
    <w:rsid w:val="009D1AF8"/>
    <w:rsid w:val="009E1C84"/>
    <w:rsid w:val="009E32D4"/>
    <w:rsid w:val="009E4080"/>
    <w:rsid w:val="009E4DCB"/>
    <w:rsid w:val="009E580F"/>
    <w:rsid w:val="009F5A6A"/>
    <w:rsid w:val="00A0205F"/>
    <w:rsid w:val="00A04E9D"/>
    <w:rsid w:val="00A06893"/>
    <w:rsid w:val="00A21886"/>
    <w:rsid w:val="00A25682"/>
    <w:rsid w:val="00A2638C"/>
    <w:rsid w:val="00A27417"/>
    <w:rsid w:val="00A27AFD"/>
    <w:rsid w:val="00A354A8"/>
    <w:rsid w:val="00A4031E"/>
    <w:rsid w:val="00A44A2B"/>
    <w:rsid w:val="00A46F60"/>
    <w:rsid w:val="00A53234"/>
    <w:rsid w:val="00A57F47"/>
    <w:rsid w:val="00AA7A0D"/>
    <w:rsid w:val="00AB113B"/>
    <w:rsid w:val="00AD2FD2"/>
    <w:rsid w:val="00AD41E6"/>
    <w:rsid w:val="00AD4ECF"/>
    <w:rsid w:val="00AD70C8"/>
    <w:rsid w:val="00AF6067"/>
    <w:rsid w:val="00B07AAD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FDD"/>
    <w:rsid w:val="00B75B80"/>
    <w:rsid w:val="00B81149"/>
    <w:rsid w:val="00B8672D"/>
    <w:rsid w:val="00B94FB1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34485"/>
    <w:rsid w:val="00C40AB3"/>
    <w:rsid w:val="00C43805"/>
    <w:rsid w:val="00C43E24"/>
    <w:rsid w:val="00C45235"/>
    <w:rsid w:val="00C60EF2"/>
    <w:rsid w:val="00C615B2"/>
    <w:rsid w:val="00C702F0"/>
    <w:rsid w:val="00C74553"/>
    <w:rsid w:val="00C8112C"/>
    <w:rsid w:val="00C87EF4"/>
    <w:rsid w:val="00CA623E"/>
    <w:rsid w:val="00CA630F"/>
    <w:rsid w:val="00CB4EB2"/>
    <w:rsid w:val="00CB7A41"/>
    <w:rsid w:val="00CC7A0B"/>
    <w:rsid w:val="00CD64CD"/>
    <w:rsid w:val="00CE2041"/>
    <w:rsid w:val="00CE3059"/>
    <w:rsid w:val="00CE4960"/>
    <w:rsid w:val="00CE56FA"/>
    <w:rsid w:val="00CF0912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263A"/>
    <w:rsid w:val="00D778D7"/>
    <w:rsid w:val="00D83934"/>
    <w:rsid w:val="00D861C3"/>
    <w:rsid w:val="00D91A0C"/>
    <w:rsid w:val="00D9239C"/>
    <w:rsid w:val="00D95955"/>
    <w:rsid w:val="00D979AB"/>
    <w:rsid w:val="00DA590C"/>
    <w:rsid w:val="00DA703D"/>
    <w:rsid w:val="00DB54CF"/>
    <w:rsid w:val="00DC1546"/>
    <w:rsid w:val="00DD2172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79B5"/>
    <w:rsid w:val="00E26286"/>
    <w:rsid w:val="00E30AC2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83E40"/>
    <w:rsid w:val="00E857B8"/>
    <w:rsid w:val="00E907E5"/>
    <w:rsid w:val="00E943B8"/>
    <w:rsid w:val="00EA11F7"/>
    <w:rsid w:val="00EA20B9"/>
    <w:rsid w:val="00EA4549"/>
    <w:rsid w:val="00ED0B37"/>
    <w:rsid w:val="00ED22DF"/>
    <w:rsid w:val="00ED4C66"/>
    <w:rsid w:val="00ED6781"/>
    <w:rsid w:val="00EE4BD8"/>
    <w:rsid w:val="00EF5BA0"/>
    <w:rsid w:val="00F13600"/>
    <w:rsid w:val="00F15FC0"/>
    <w:rsid w:val="00F17042"/>
    <w:rsid w:val="00F175D1"/>
    <w:rsid w:val="00F21DA9"/>
    <w:rsid w:val="00F22A75"/>
    <w:rsid w:val="00F30C1E"/>
    <w:rsid w:val="00F3185D"/>
    <w:rsid w:val="00F35217"/>
    <w:rsid w:val="00F35C50"/>
    <w:rsid w:val="00F42D68"/>
    <w:rsid w:val="00F436FE"/>
    <w:rsid w:val="00F500D2"/>
    <w:rsid w:val="00F51A9D"/>
    <w:rsid w:val="00F57792"/>
    <w:rsid w:val="00F60048"/>
    <w:rsid w:val="00F6185A"/>
    <w:rsid w:val="00F73FE2"/>
    <w:rsid w:val="00F74944"/>
    <w:rsid w:val="00F8497C"/>
    <w:rsid w:val="00F91E41"/>
    <w:rsid w:val="00FA238D"/>
    <w:rsid w:val="00FA3835"/>
    <w:rsid w:val="00FA6816"/>
    <w:rsid w:val="00FB5D79"/>
    <w:rsid w:val="00FE3D91"/>
    <w:rsid w:val="00FE55D2"/>
    <w:rsid w:val="00FF728E"/>
    <w:rsid w:val="09A45050"/>
    <w:rsid w:val="0A3B6DEF"/>
    <w:rsid w:val="0A5B05D9"/>
    <w:rsid w:val="0AE0030A"/>
    <w:rsid w:val="0E1B1CA3"/>
    <w:rsid w:val="10E279BE"/>
    <w:rsid w:val="10FD3269"/>
    <w:rsid w:val="11FC4CB8"/>
    <w:rsid w:val="178910D3"/>
    <w:rsid w:val="1B9E3D36"/>
    <w:rsid w:val="1C8F2A04"/>
    <w:rsid w:val="218B2C39"/>
    <w:rsid w:val="23433A7D"/>
    <w:rsid w:val="243F7370"/>
    <w:rsid w:val="247F2D86"/>
    <w:rsid w:val="28C32079"/>
    <w:rsid w:val="2A8E004C"/>
    <w:rsid w:val="2A8E4311"/>
    <w:rsid w:val="2D5179CF"/>
    <w:rsid w:val="327F0D3B"/>
    <w:rsid w:val="35C0542C"/>
    <w:rsid w:val="36D966D2"/>
    <w:rsid w:val="38853905"/>
    <w:rsid w:val="3AFF33E8"/>
    <w:rsid w:val="3D476359"/>
    <w:rsid w:val="3D9A658C"/>
    <w:rsid w:val="3DE10046"/>
    <w:rsid w:val="3DEE1D80"/>
    <w:rsid w:val="434F56E6"/>
    <w:rsid w:val="442F62DC"/>
    <w:rsid w:val="46DB7A17"/>
    <w:rsid w:val="46E01115"/>
    <w:rsid w:val="48333FF5"/>
    <w:rsid w:val="49881E2E"/>
    <w:rsid w:val="49FA5FEB"/>
    <w:rsid w:val="4AEE4546"/>
    <w:rsid w:val="51CD3614"/>
    <w:rsid w:val="52491C9C"/>
    <w:rsid w:val="53E95F37"/>
    <w:rsid w:val="53FC6986"/>
    <w:rsid w:val="540D6EC4"/>
    <w:rsid w:val="585F0652"/>
    <w:rsid w:val="59671A9D"/>
    <w:rsid w:val="5C637B2D"/>
    <w:rsid w:val="67D85B6C"/>
    <w:rsid w:val="6BFA6CA7"/>
    <w:rsid w:val="6C67192F"/>
    <w:rsid w:val="6F135C55"/>
    <w:rsid w:val="6FE15E11"/>
    <w:rsid w:val="710A67D0"/>
    <w:rsid w:val="734D446A"/>
    <w:rsid w:val="77357A2F"/>
    <w:rsid w:val="78C830A0"/>
    <w:rsid w:val="7D9D4043"/>
    <w:rsid w:val="7EF46F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28">
    <w:name w:val="Default Paragraph Font"/>
    <w:semiHidden/>
    <w:uiPriority w:val="0"/>
  </w:style>
  <w:style w:type="table" w:default="1" w:styleId="26">
    <w:name w:val="Normal Table"/>
    <w:semiHidden/>
    <w:uiPriority w:val="0"/>
    <w:tblPr>
      <w:tblStyle w:val="26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Document Map"/>
    <w:basedOn w:val="1"/>
    <w:semiHidden/>
    <w:uiPriority w:val="0"/>
    <w:pPr>
      <w:shd w:val="clear" w:color="auto" w:fill="000080"/>
    </w:pPr>
  </w:style>
  <w:style w:type="paragraph" w:styleId="13">
    <w:name w:val="annotation text"/>
    <w:basedOn w:val="1"/>
    <w:uiPriority w:val="0"/>
    <w:pPr>
      <w:jc w:val="left"/>
    </w:pPr>
  </w:style>
  <w:style w:type="paragraph" w:styleId="14">
    <w:name w:val="Body Text 3"/>
    <w:basedOn w:val="1"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5">
    <w:name w:val="Body Text"/>
    <w:basedOn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6">
    <w:name w:val="Body Text Indent"/>
    <w:basedOn w:val="1"/>
    <w:uiPriority w:val="0"/>
    <w:pPr>
      <w:spacing w:after="120"/>
      <w:ind w:left="420" w:leftChars="200"/>
    </w:pPr>
  </w:style>
  <w:style w:type="paragraph" w:styleId="17">
    <w:name w:val="Plain Text"/>
    <w:basedOn w:val="1"/>
    <w:link w:val="33"/>
    <w:uiPriority w:val="0"/>
    <w:rPr>
      <w:rFonts w:ascii="宋体" w:hAnsi="Courier New"/>
      <w:szCs w:val="20"/>
    </w:rPr>
  </w:style>
  <w:style w:type="paragraph" w:styleId="18">
    <w:name w:val="Date"/>
    <w:basedOn w:val="1"/>
    <w:next w:val="1"/>
    <w:link w:val="34"/>
    <w:uiPriority w:val="0"/>
    <w:rPr>
      <w:szCs w:val="20"/>
    </w:rPr>
  </w:style>
  <w:style w:type="paragraph" w:styleId="19">
    <w:name w:val="Body Text Indent 2"/>
    <w:basedOn w:val="1"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0">
    <w:name w:val="Balloon Text"/>
    <w:basedOn w:val="1"/>
    <w:semiHidden/>
    <w:uiPriority w:val="0"/>
    <w:rPr>
      <w:sz w:val="18"/>
      <w:szCs w:val="18"/>
    </w:rPr>
  </w:style>
  <w:style w:type="paragraph" w:styleId="21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3">
    <w:name w:val="Body Text 2"/>
    <w:basedOn w:val="1"/>
    <w:uiPriority w:val="0"/>
    <w:pPr>
      <w:widowControl/>
    </w:pPr>
    <w:rPr>
      <w:kern w:val="0"/>
      <w:sz w:val="20"/>
      <w:szCs w:val="20"/>
      <w:lang w:eastAsia="en-US"/>
    </w:rPr>
  </w:style>
  <w:style w:type="paragraph" w:styleId="24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25">
    <w:name w:val="Title"/>
    <w:basedOn w:val="1"/>
    <w:qFormat/>
    <w:uiPriority w:val="0"/>
    <w:pPr>
      <w:jc w:val="center"/>
    </w:pPr>
    <w:rPr>
      <w:sz w:val="30"/>
    </w:rPr>
  </w:style>
  <w:style w:type="table" w:styleId="27">
    <w:name w:val="Table Grid"/>
    <w:basedOn w:val="26"/>
    <w:uiPriority w:val="0"/>
    <w:pPr>
      <w:widowControl w:val="0"/>
      <w:jc w:val="both"/>
    </w:pPr>
    <w:tblPr>
      <w:tblStyle w:val="2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9">
    <w:name w:val="Strong"/>
    <w:qFormat/>
    <w:uiPriority w:val="22"/>
    <w:rPr>
      <w:b/>
      <w:bCs/>
    </w:rPr>
  </w:style>
  <w:style w:type="character" w:styleId="30">
    <w:name w:val="page number"/>
    <w:uiPriority w:val="0"/>
  </w:style>
  <w:style w:type="character" w:styleId="31">
    <w:name w:val="Emphasis"/>
    <w:qFormat/>
    <w:uiPriority w:val="20"/>
    <w:rPr>
      <w:i/>
      <w:iCs/>
    </w:rPr>
  </w:style>
  <w:style w:type="character" w:styleId="32">
    <w:name w:val="Hyperlink"/>
    <w:uiPriority w:val="0"/>
    <w:rPr>
      <w:color w:val="0000FF"/>
      <w:u w:val="single"/>
    </w:rPr>
  </w:style>
  <w:style w:type="character" w:customStyle="1" w:styleId="33">
    <w:name w:val="纯文本 Char"/>
    <w:link w:val="17"/>
    <w:uiPriority w:val="0"/>
    <w:rPr>
      <w:rFonts w:ascii="宋体" w:hAnsi="Courier New"/>
      <w:kern w:val="2"/>
      <w:sz w:val="21"/>
    </w:rPr>
  </w:style>
  <w:style w:type="character" w:customStyle="1" w:styleId="34">
    <w:name w:val="日期 Char"/>
    <w:link w:val="18"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5">
    <w:name w:val=" Char"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36">
    <w:name w:val=" Char1"/>
    <w:basedOn w:val="1"/>
    <w:uiPriority w:val="0"/>
    <w:rPr>
      <w:rFonts w:ascii="Tahoma" w:hAnsi="Tahoma"/>
      <w:sz w:val="24"/>
      <w:szCs w:val="20"/>
    </w:rPr>
  </w:style>
  <w:style w:type="paragraph" w:customStyle="1" w:styleId="37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38">
    <w:name w:val="Body Text 2"/>
    <w:basedOn w:val="1"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39">
    <w:name w:val="文档正文"/>
    <w:basedOn w:val="1"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40">
    <w:name w:val="Body Text Indent 2"/>
    <w:basedOn w:val="1"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10</Pages>
  <Words>11602</Words>
  <Characters>12864</Characters>
  <Lines>63</Lines>
  <Paragraphs>17</Paragraphs>
  <TotalTime>13</TotalTime>
  <ScaleCrop>false</ScaleCrop>
  <LinksUpToDate>false</LinksUpToDate>
  <CharactersWithSpaces>13258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2022-06-01T03:50:00Z</dcterms:created>
  <dc:creator>caowuning</dc:creator>
  <cp:lastModifiedBy>冀松阳</cp:lastModifiedBy>
  <cp:lastPrinted>2009-04-21T09:03:00Z</cp:lastPrinted>
  <dcterms:modified xsi:type="dcterms:W3CDTF">2025-08-26T08:53:30Z</dcterms:modified>
  <dc:title>北 京 市 政 府 采 购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0C1EBBC5D42D441EB1DAA8571A7394CD_13</vt:lpwstr>
  </property>
  <property fmtid="{D5CDD505-2E9C-101B-9397-08002B2CF9AE}" pid="4" name="KSOTemplateDocerSaveRecord">
    <vt:lpwstr>eyJoZGlkIjoiNTI5ZmZjMjA2MjdiMDFiYzZmZWIzNjQ5YThhMzQxMzIiLCJ1c2VySWQiOiIxMDI1MTk0NTMzIn0=</vt:lpwstr>
  </property>
</Properties>
</file>