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Theme="minorEastAsia" w:hAnsiTheme="minorEastAsia" w:eastAsiaTheme="minorEastAsia" w:cstheme="minorEastAsia"/>
          <w:b/>
          <w:bCs/>
          <w:color w:val="auto"/>
          <w:sz w:val="52"/>
          <w:szCs w:val="52"/>
          <w:highlight w:val="none"/>
        </w:rPr>
      </w:pPr>
      <w:bookmarkStart w:id="150" w:name="_GoBack"/>
      <w:bookmarkEnd w:id="150"/>
    </w:p>
    <w:p>
      <w:pPr>
        <w:spacing w:line="360" w:lineRule="auto"/>
        <w:jc w:val="center"/>
        <w:outlineLvl w:val="0"/>
        <w:rPr>
          <w:rFonts w:asciiTheme="minorEastAsia" w:hAnsiTheme="minorEastAsia" w:eastAsiaTheme="minorEastAsia" w:cstheme="minorEastAsia"/>
          <w:b/>
          <w:bCs/>
          <w:color w:val="auto"/>
          <w:sz w:val="48"/>
          <w:szCs w:val="48"/>
          <w:highlight w:val="none"/>
        </w:rPr>
      </w:pPr>
      <w:r>
        <w:rPr>
          <w:rFonts w:hint="eastAsia" w:asciiTheme="minorEastAsia" w:hAnsiTheme="minorEastAsia" w:eastAsiaTheme="minorEastAsia" w:cstheme="minorEastAsia"/>
          <w:b/>
          <w:bCs/>
          <w:color w:val="auto"/>
          <w:sz w:val="48"/>
          <w:szCs w:val="48"/>
          <w:highlight w:val="none"/>
        </w:rPr>
        <w:t>热场发射扫描电镜采购</w:t>
      </w:r>
    </w:p>
    <w:p>
      <w:pPr>
        <w:adjustRightInd/>
        <w:spacing w:line="360" w:lineRule="auto"/>
        <w:jc w:val="center"/>
        <w:rPr>
          <w:rFonts w:asciiTheme="minorEastAsia" w:hAnsiTheme="minorEastAsia" w:eastAsiaTheme="minorEastAsia" w:cstheme="minorEastAsia"/>
          <w:b/>
          <w:color w:val="auto"/>
          <w:sz w:val="84"/>
          <w:szCs w:val="84"/>
          <w:highlight w:val="none"/>
        </w:rPr>
      </w:pPr>
    </w:p>
    <w:p>
      <w:pPr>
        <w:pStyle w:val="16"/>
        <w:rPr>
          <w:rFonts w:asciiTheme="minorEastAsia" w:hAnsiTheme="minorEastAsia" w:eastAsiaTheme="minorEastAsia" w:cstheme="minorEastAsia"/>
          <w:color w:val="auto"/>
          <w:highlight w:val="none"/>
        </w:rPr>
      </w:pPr>
    </w:p>
    <w:p>
      <w:pPr>
        <w:adjustRightInd/>
        <w:spacing w:line="360" w:lineRule="auto"/>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招 标 文 件</w:t>
      </w:r>
    </w:p>
    <w:p>
      <w:pPr>
        <w:adjustRightInd/>
        <w:spacing w:line="360" w:lineRule="auto"/>
        <w:jc w:val="center"/>
        <w:rPr>
          <w:rFonts w:asciiTheme="minorEastAsia" w:hAnsiTheme="minorEastAsia" w:eastAsiaTheme="minorEastAsia" w:cstheme="minorEastAsia"/>
          <w:color w:val="auto"/>
          <w:sz w:val="21"/>
          <w:szCs w:val="21"/>
          <w:highlight w:val="none"/>
        </w:rPr>
      </w:pPr>
    </w:p>
    <w:p>
      <w:pPr>
        <w:tabs>
          <w:tab w:val="left" w:pos="1985"/>
        </w:tabs>
        <w:spacing w:line="360" w:lineRule="auto"/>
        <w:jc w:val="center"/>
        <w:rPr>
          <w:rFonts w:hint="default" w:asciiTheme="minorEastAsia" w:hAnsiTheme="minorEastAsia" w:eastAsiaTheme="minorEastAsia" w:cstheme="minorEastAsia"/>
          <w:b/>
          <w:color w:val="auto"/>
          <w:sz w:val="30"/>
          <w:szCs w:val="30"/>
          <w:highlight w:val="none"/>
          <w:lang w:val="en-US" w:eastAsia="zh-CN"/>
        </w:rPr>
      </w:pPr>
      <w:bookmarkStart w:id="0" w:name="_Toc450515161"/>
      <w:r>
        <w:rPr>
          <w:rFonts w:hint="eastAsia" w:asciiTheme="minorEastAsia" w:hAnsiTheme="minorEastAsia" w:eastAsiaTheme="minorEastAsia" w:cstheme="minorEastAsia"/>
          <w:b/>
          <w:bCs/>
          <w:color w:val="auto"/>
          <w:spacing w:val="16"/>
          <w:sz w:val="32"/>
          <w:szCs w:val="32"/>
          <w:highlight w:val="none"/>
        </w:rPr>
        <w:t>项目编号:</w:t>
      </w:r>
      <w:bookmarkEnd w:id="0"/>
      <w:r>
        <w:rPr>
          <w:rFonts w:hint="eastAsia" w:asciiTheme="minorEastAsia" w:hAnsiTheme="minorEastAsia" w:eastAsiaTheme="minorEastAsia" w:cstheme="minorEastAsia"/>
          <w:b/>
          <w:bCs/>
          <w:color w:val="auto"/>
          <w:spacing w:val="16"/>
          <w:sz w:val="32"/>
          <w:szCs w:val="32"/>
          <w:highlight w:val="none"/>
        </w:rPr>
        <w:t xml:space="preserve"> AZF2023000</w:t>
      </w:r>
      <w:r>
        <w:rPr>
          <w:rFonts w:hint="eastAsia" w:asciiTheme="minorEastAsia" w:hAnsiTheme="minorEastAsia" w:eastAsiaTheme="minorEastAsia" w:cstheme="minorEastAsia"/>
          <w:b/>
          <w:bCs/>
          <w:color w:val="auto"/>
          <w:spacing w:val="16"/>
          <w:sz w:val="32"/>
          <w:szCs w:val="32"/>
          <w:highlight w:val="none"/>
          <w:lang w:val="en-US" w:eastAsia="zh-CN"/>
        </w:rPr>
        <w:t>83</w:t>
      </w:r>
    </w:p>
    <w:p>
      <w:pPr>
        <w:adjustRightInd/>
        <w:spacing w:line="360" w:lineRule="auto"/>
        <w:ind w:firstLine="1440" w:firstLineChars="450"/>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 </w:t>
      </w:r>
    </w:p>
    <w:p>
      <w:pPr>
        <w:adjustRightInd/>
        <w:spacing w:line="360" w:lineRule="auto"/>
        <w:jc w:val="both"/>
        <w:rPr>
          <w:rFonts w:asciiTheme="minorEastAsia" w:hAnsiTheme="minorEastAsia" w:eastAsiaTheme="minorEastAsia" w:cstheme="minorEastAsia"/>
          <w:color w:val="auto"/>
          <w:sz w:val="32"/>
          <w:szCs w:val="32"/>
          <w:highlight w:val="none"/>
        </w:rPr>
      </w:pPr>
    </w:p>
    <w:p>
      <w:pPr>
        <w:adjustRightInd/>
        <w:spacing w:line="360" w:lineRule="auto"/>
        <w:jc w:val="both"/>
        <w:rPr>
          <w:rFonts w:asciiTheme="minorEastAsia" w:hAnsiTheme="minorEastAsia" w:eastAsiaTheme="minorEastAsia" w:cstheme="minorEastAsia"/>
          <w:color w:val="auto"/>
          <w:sz w:val="32"/>
          <w:szCs w:val="32"/>
          <w:highlight w:val="none"/>
        </w:rPr>
      </w:pP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color w:val="auto"/>
          <w:spacing w:val="16"/>
          <w:sz w:val="32"/>
          <w:szCs w:val="32"/>
          <w:highlight w:val="none"/>
          <w:u w:val="single"/>
        </w:rPr>
      </w:pPr>
      <w:r>
        <w:rPr>
          <w:rFonts w:hint="eastAsia" w:asciiTheme="minorEastAsia" w:hAnsiTheme="minorEastAsia" w:eastAsiaTheme="minorEastAsia" w:cstheme="minorEastAsia"/>
          <w:b/>
          <w:bCs/>
          <w:color w:val="auto"/>
          <w:spacing w:val="16"/>
          <w:sz w:val="32"/>
          <w:szCs w:val="32"/>
          <w:highlight w:val="none"/>
        </w:rPr>
        <w:t>采   购  人：</w:t>
      </w:r>
      <w:r>
        <w:rPr>
          <w:rFonts w:hint="eastAsia" w:asciiTheme="minorEastAsia" w:hAnsiTheme="minorEastAsia" w:eastAsiaTheme="minorEastAsia" w:cstheme="minorEastAsia"/>
          <w:b/>
          <w:bCs/>
          <w:color w:val="auto"/>
          <w:spacing w:val="16"/>
          <w:sz w:val="32"/>
          <w:szCs w:val="32"/>
          <w:highlight w:val="none"/>
          <w:u w:val="single"/>
        </w:rPr>
        <w:t xml:space="preserve">     西南大学              </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color w:val="auto"/>
          <w:spacing w:val="16"/>
          <w:sz w:val="32"/>
          <w:szCs w:val="32"/>
          <w:highlight w:val="none"/>
          <w:u w:val="single"/>
        </w:rPr>
      </w:pPr>
      <w:r>
        <w:rPr>
          <w:rFonts w:hint="eastAsia" w:asciiTheme="minorEastAsia" w:hAnsiTheme="minorEastAsia" w:eastAsiaTheme="minorEastAsia" w:cstheme="minorEastAsia"/>
          <w:b/>
          <w:bCs/>
          <w:color w:val="auto"/>
          <w:spacing w:val="16"/>
          <w:sz w:val="32"/>
          <w:szCs w:val="32"/>
          <w:highlight w:val="none"/>
        </w:rPr>
        <w:t>采购组织机构：</w:t>
      </w:r>
      <w:r>
        <w:rPr>
          <w:rFonts w:hint="eastAsia" w:asciiTheme="minorEastAsia" w:hAnsiTheme="minorEastAsia" w:eastAsiaTheme="minorEastAsia" w:cstheme="minorEastAsia"/>
          <w:b/>
          <w:bCs/>
          <w:color w:val="auto"/>
          <w:spacing w:val="16"/>
          <w:sz w:val="32"/>
          <w:szCs w:val="32"/>
          <w:highlight w:val="none"/>
          <w:u w:val="single"/>
        </w:rPr>
        <w:t>西南大学采购与招投标管理中心</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color w:val="auto"/>
          <w:spacing w:val="16"/>
          <w:sz w:val="36"/>
          <w:szCs w:val="36"/>
          <w:highlight w:val="none"/>
          <w:u w:val="single"/>
        </w:rPr>
      </w:pPr>
      <w:r>
        <w:rPr>
          <w:rFonts w:hint="eastAsia" w:asciiTheme="minorEastAsia" w:hAnsiTheme="minorEastAsia" w:eastAsiaTheme="minorEastAsia" w:cstheme="minorEastAsia"/>
          <w:b/>
          <w:bCs/>
          <w:color w:val="auto"/>
          <w:spacing w:val="16"/>
          <w:sz w:val="32"/>
          <w:szCs w:val="32"/>
          <w:highlight w:val="none"/>
        </w:rPr>
        <w:t>采购代理机构：</w:t>
      </w:r>
      <w:r>
        <w:rPr>
          <w:rFonts w:hint="eastAsia" w:ascii="黑体" w:hAnsi="黑体" w:cs="黑体"/>
          <w:b/>
          <w:bCs/>
          <w:color w:val="auto"/>
          <w:spacing w:val="16"/>
          <w:sz w:val="32"/>
          <w:szCs w:val="32"/>
          <w:highlight w:val="none"/>
          <w:u w:val="single"/>
        </w:rPr>
        <w:t>中招国际招标有限公司重庆分公司</w:t>
      </w:r>
      <w:r>
        <w:rPr>
          <w:rFonts w:hint="eastAsia" w:asciiTheme="minorEastAsia" w:hAnsiTheme="minorEastAsia" w:eastAsiaTheme="minorEastAsia" w:cstheme="minorEastAsia"/>
          <w:b/>
          <w:bCs/>
          <w:color w:val="auto"/>
          <w:spacing w:val="16"/>
          <w:sz w:val="32"/>
          <w:szCs w:val="32"/>
          <w:highlight w:val="none"/>
          <w:u w:val="single"/>
        </w:rPr>
        <w:t xml:space="preserve"> </w:t>
      </w:r>
    </w:p>
    <w:p>
      <w:pPr>
        <w:tabs>
          <w:tab w:val="left" w:pos="3200"/>
          <w:tab w:val="left" w:pos="6708"/>
        </w:tabs>
        <w:autoSpaceDE w:val="0"/>
        <w:autoSpaceDN w:val="0"/>
        <w:snapToGrid w:val="0"/>
        <w:spacing w:line="360" w:lineRule="auto"/>
        <w:rPr>
          <w:rFonts w:asciiTheme="minorEastAsia" w:hAnsiTheme="minorEastAsia" w:eastAsiaTheme="minorEastAsia" w:cstheme="minorEastAsia"/>
          <w:b/>
          <w:bCs/>
          <w:color w:val="auto"/>
          <w:spacing w:val="16"/>
          <w:w w:val="99"/>
          <w:sz w:val="36"/>
          <w:szCs w:val="36"/>
          <w:highlight w:val="none"/>
        </w:rPr>
      </w:pPr>
      <w:r>
        <w:rPr>
          <w:rFonts w:asciiTheme="minorEastAsia" w:hAnsiTheme="minorEastAsia" w:eastAsiaTheme="minorEastAsia" w:cstheme="minorEastAsia"/>
          <w:b/>
          <w:bCs/>
          <w:color w:val="auto"/>
          <w:spacing w:val="16"/>
          <w:w w:val="99"/>
          <w:sz w:val="36"/>
          <w:szCs w:val="36"/>
          <w:highlight w:val="none"/>
        </w:rPr>
        <w:tab/>
      </w:r>
      <w:r>
        <w:rPr>
          <w:rFonts w:asciiTheme="minorEastAsia" w:hAnsiTheme="minorEastAsia" w:eastAsiaTheme="minorEastAsia" w:cstheme="minorEastAsia"/>
          <w:b/>
          <w:bCs/>
          <w:color w:val="auto"/>
          <w:spacing w:val="16"/>
          <w:w w:val="99"/>
          <w:sz w:val="36"/>
          <w:szCs w:val="36"/>
          <w:highlight w:val="none"/>
        </w:rPr>
        <w:tab/>
      </w:r>
    </w:p>
    <w:p>
      <w:pPr>
        <w:pStyle w:val="7"/>
        <w:rPr>
          <w:rFonts w:asciiTheme="minorEastAsia" w:hAnsiTheme="minorEastAsia" w:eastAsiaTheme="minorEastAsia" w:cstheme="minorEastAsia"/>
          <w:color w:val="auto"/>
          <w:highlight w:val="none"/>
        </w:rPr>
      </w:pPr>
    </w:p>
    <w:p>
      <w:pPr>
        <w:adjustRightInd/>
        <w:spacing w:line="360" w:lineRule="auto"/>
        <w:ind w:firstLine="3433" w:firstLineChars="950"/>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二〇二三年</w:t>
      </w:r>
      <w:r>
        <w:rPr>
          <w:rFonts w:hint="eastAsia" w:asciiTheme="minorEastAsia" w:hAnsiTheme="minorEastAsia" w:eastAsiaTheme="minorEastAsia" w:cstheme="minorEastAsia"/>
          <w:b/>
          <w:color w:val="auto"/>
          <w:sz w:val="36"/>
          <w:szCs w:val="36"/>
          <w:highlight w:val="none"/>
          <w:lang w:val="en-US" w:eastAsia="zh-CN"/>
        </w:rPr>
        <w:t>十一</w:t>
      </w:r>
      <w:r>
        <w:rPr>
          <w:rFonts w:hint="eastAsia" w:asciiTheme="minorEastAsia" w:hAnsiTheme="minorEastAsia" w:eastAsiaTheme="minorEastAsia" w:cstheme="minorEastAsia"/>
          <w:b/>
          <w:color w:val="auto"/>
          <w:sz w:val="36"/>
          <w:szCs w:val="36"/>
          <w:highlight w:val="none"/>
        </w:rPr>
        <w:t>月</w:t>
      </w:r>
    </w:p>
    <w:p>
      <w:pPr>
        <w:widowControl/>
        <w:spacing w:line="360" w:lineRule="auto"/>
        <w:jc w:val="center"/>
        <w:rPr>
          <w:rFonts w:asciiTheme="minorEastAsia" w:hAnsiTheme="minorEastAsia" w:eastAsiaTheme="minorEastAsia" w:cstheme="minorEastAsia"/>
          <w:b/>
          <w:color w:val="auto"/>
          <w:szCs w:val="28"/>
          <w:highlight w:val="none"/>
        </w:rPr>
      </w:pPr>
    </w:p>
    <w:p>
      <w:pPr>
        <w:widowControl/>
        <w:spacing w:line="360" w:lineRule="auto"/>
        <w:jc w:val="center"/>
        <w:rPr>
          <w:rFonts w:asciiTheme="minorEastAsia" w:hAnsiTheme="minorEastAsia" w:eastAsiaTheme="minorEastAsia" w:cstheme="minorEastAsia"/>
          <w:b/>
          <w:color w:val="auto"/>
          <w:szCs w:val="28"/>
          <w:highlight w:val="none"/>
        </w:rPr>
        <w:sectPr>
          <w:footerReference r:id="rId7" w:type="first"/>
          <w:headerReference r:id="rId5" w:type="default"/>
          <w:footerReference r:id="rId6" w:type="default"/>
          <w:pgSz w:w="11907" w:h="16840"/>
          <w:pgMar w:top="1418" w:right="1247" w:bottom="1247" w:left="1418" w:header="851" w:footer="851" w:gutter="0"/>
          <w:pgNumType w:start="1"/>
          <w:cols w:space="720" w:num="1"/>
          <w:titlePg/>
          <w:docGrid w:linePitch="326" w:charSpace="0"/>
        </w:sectPr>
      </w:pPr>
    </w:p>
    <w:p>
      <w:pPr>
        <w:snapToGrid w:val="0"/>
        <w:spacing w:line="360" w:lineRule="auto"/>
        <w:jc w:val="center"/>
        <w:outlineLvl w:val="0"/>
        <w:rPr>
          <w:rFonts w:asciiTheme="minorEastAsia" w:hAnsiTheme="minorEastAsia" w:eastAsiaTheme="minorEastAsia" w:cstheme="minorEastAsia"/>
          <w:b/>
          <w:bCs/>
          <w:color w:val="auto"/>
          <w:kern w:val="44"/>
          <w:sz w:val="44"/>
          <w:szCs w:val="44"/>
          <w:highlight w:val="none"/>
        </w:rPr>
      </w:pPr>
      <w:bookmarkStart w:id="1" w:name="_Toc21186"/>
      <w:bookmarkStart w:id="2" w:name="_Toc105671347"/>
      <w:bookmarkStart w:id="3" w:name="_Toc408855417"/>
      <w:bookmarkStart w:id="4" w:name="_Toc15833"/>
      <w:bookmarkStart w:id="5" w:name="_Toc135668343"/>
      <w:bookmarkStart w:id="6" w:name="_Toc497924384"/>
      <w:bookmarkStart w:id="7" w:name="_Toc138929553"/>
      <w:bookmarkStart w:id="8" w:name="_Toc328815981"/>
      <w:bookmarkStart w:id="9" w:name="_Toc429580581"/>
      <w:r>
        <w:rPr>
          <w:rFonts w:hint="eastAsia" w:asciiTheme="minorEastAsia" w:hAnsiTheme="minorEastAsia" w:eastAsiaTheme="minorEastAsia" w:cstheme="minorEastAsia"/>
          <w:b/>
          <w:bCs/>
          <w:color w:val="auto"/>
          <w:kern w:val="44"/>
          <w:sz w:val="44"/>
          <w:szCs w:val="44"/>
          <w:highlight w:val="none"/>
        </w:rPr>
        <w:t>目    录</w:t>
      </w:r>
      <w:bookmarkEnd w:id="1"/>
      <w:bookmarkEnd w:id="2"/>
      <w:bookmarkEnd w:id="3"/>
      <w:bookmarkEnd w:id="4"/>
      <w:bookmarkEnd w:id="5"/>
      <w:bookmarkEnd w:id="6"/>
      <w:bookmarkEnd w:id="7"/>
      <w:bookmarkEnd w:id="8"/>
      <w:bookmarkEnd w:id="9"/>
    </w:p>
    <w:p>
      <w:pPr>
        <w:pStyle w:val="16"/>
        <w:spacing w:line="900" w:lineRule="exact"/>
        <w:rPr>
          <w:rFonts w:asciiTheme="minorEastAsia" w:hAnsiTheme="minorEastAsia" w:eastAsiaTheme="minorEastAsia" w:cstheme="minorEastAsia"/>
          <w:color w:val="auto"/>
          <w:kern w:val="2"/>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TOC \o "1-1" \h \z \u </w:instrText>
      </w:r>
      <w:r>
        <w:rPr>
          <w:rFonts w:hint="eastAsia" w:asciiTheme="minorEastAsia" w:hAnsiTheme="minorEastAsia" w:eastAsiaTheme="minorEastAsia" w:cs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"_Toc138929554"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第一篇  投标邀请书</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_Toc138929554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6"/>
        <w:spacing w:line="900" w:lineRule="exact"/>
        <w:rPr>
          <w:rFonts w:asciiTheme="minorEastAsia" w:hAnsiTheme="minorEastAsia" w:eastAsiaTheme="minorEastAsia" w:cstheme="minorEastAsia"/>
          <w:color w:val="auto"/>
          <w:kern w:val="2"/>
          <w:sz w:val="28"/>
          <w:szCs w:val="28"/>
          <w:highlight w:val="none"/>
        </w:rPr>
      </w:pPr>
      <w:r>
        <w:rPr>
          <w:color w:val="auto"/>
          <w:highlight w:val="none"/>
        </w:rPr>
        <w:fldChar w:fldCharType="begin"/>
      </w:r>
      <w:r>
        <w:rPr>
          <w:color w:val="auto"/>
          <w:highlight w:val="none"/>
        </w:rPr>
        <w:instrText xml:space="preserve"> HYPERLINK \l "_Toc138929557"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第二篇 采购需求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_Toc138929557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pStyle w:val="16"/>
        <w:spacing w:line="900" w:lineRule="exact"/>
        <w:rPr>
          <w:rStyle w:val="29"/>
          <w:rFonts w:asciiTheme="minorEastAsia" w:hAnsiTheme="minorEastAsia" w:eastAsiaTheme="minorEastAsia" w:cstheme="minorEastAsia"/>
          <w:color w:val="auto"/>
          <w:sz w:val="28"/>
          <w:szCs w:val="28"/>
          <w:highlight w:val="none"/>
        </w:rPr>
      </w:pPr>
      <w:r>
        <w:rPr>
          <w:color w:val="auto"/>
          <w:highlight w:val="none"/>
        </w:rPr>
        <w:fldChar w:fldCharType="begin"/>
      </w:r>
      <w:r>
        <w:rPr>
          <w:color w:val="auto"/>
          <w:highlight w:val="none"/>
        </w:rPr>
        <w:instrText xml:space="preserve"> HYPERLINK \l "_Toc138929558"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第三篇  项目商务要求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4</w:t>
      </w:r>
    </w:p>
    <w:p>
      <w:pPr>
        <w:pStyle w:val="16"/>
        <w:spacing w:line="900" w:lineRule="exact"/>
        <w:rPr>
          <w:rStyle w:val="29"/>
          <w:rFonts w:asciiTheme="minorEastAsia" w:hAnsiTheme="minorEastAsia" w:eastAsiaTheme="minorEastAsia" w:cstheme="minorEastAsia"/>
          <w:color w:val="auto"/>
          <w:sz w:val="28"/>
          <w:szCs w:val="28"/>
          <w:highlight w:val="none"/>
          <w:u w:val="none"/>
        </w:rPr>
      </w:pPr>
      <w:r>
        <w:rPr>
          <w:rStyle w:val="29"/>
          <w:rFonts w:hint="eastAsia" w:asciiTheme="minorEastAsia" w:hAnsiTheme="minorEastAsia" w:eastAsiaTheme="minorEastAsia" w:cstheme="minorEastAsia"/>
          <w:color w:val="auto"/>
          <w:sz w:val="28"/>
          <w:szCs w:val="28"/>
          <w:highlight w:val="none"/>
          <w:u w:val="none"/>
        </w:rPr>
        <w:t>第四篇  资格审查及评标办法</w:t>
      </w:r>
      <w:r>
        <w:rPr>
          <w:rFonts w:hint="eastAsia" w:asciiTheme="minorEastAsia" w:hAnsiTheme="minorEastAsia" w:eastAsiaTheme="minorEastAsia" w:cstheme="minorEastAsia"/>
          <w:color w:val="auto"/>
          <w:sz w:val="28"/>
          <w:szCs w:val="28"/>
          <w:highlight w:val="none"/>
        </w:rPr>
        <w:tab/>
      </w:r>
      <w:r>
        <w:rPr>
          <w:rStyle w:val="29"/>
          <w:rFonts w:hint="eastAsia" w:asciiTheme="minorEastAsia" w:hAnsiTheme="minorEastAsia" w:eastAsiaTheme="minorEastAsia" w:cstheme="minorEastAsia"/>
          <w:color w:val="auto"/>
          <w:sz w:val="28"/>
          <w:szCs w:val="28"/>
          <w:highlight w:val="none"/>
          <w:u w:val="none"/>
        </w:rPr>
        <w:t>18</w:t>
      </w:r>
    </w:p>
    <w:p>
      <w:pPr>
        <w:pStyle w:val="16"/>
        <w:spacing w:line="900" w:lineRule="exact"/>
        <w:rPr>
          <w:rFonts w:eastAsiaTheme="minorEastAsia"/>
          <w:color w:val="auto"/>
          <w:highlight w:val="none"/>
        </w:rPr>
      </w:pPr>
      <w:r>
        <w:rPr>
          <w:rStyle w:val="29"/>
          <w:rFonts w:hint="eastAsia" w:asciiTheme="minorEastAsia" w:hAnsiTheme="minorEastAsia" w:eastAsiaTheme="minorEastAsia" w:cstheme="minorEastAsia"/>
          <w:color w:val="auto"/>
          <w:sz w:val="28"/>
          <w:szCs w:val="28"/>
          <w:highlight w:val="none"/>
          <w:u w:val="none"/>
        </w:rPr>
        <w:t>第五篇  投标人须知</w:t>
      </w:r>
      <w:r>
        <w:rPr>
          <w:rFonts w:hint="eastAsia" w:asciiTheme="minorEastAsia" w:hAnsiTheme="minorEastAsia" w:eastAsiaTheme="minorEastAsia" w:cstheme="minorEastAsia"/>
          <w:color w:val="auto"/>
          <w:sz w:val="28"/>
          <w:szCs w:val="28"/>
          <w:highlight w:val="none"/>
        </w:rPr>
        <w:tab/>
      </w:r>
      <w:r>
        <w:rPr>
          <w:rStyle w:val="29"/>
          <w:rFonts w:hint="eastAsia" w:asciiTheme="minorEastAsia" w:hAnsiTheme="minorEastAsia" w:eastAsiaTheme="minorEastAsia" w:cstheme="minorEastAsia"/>
          <w:color w:val="auto"/>
          <w:sz w:val="28"/>
          <w:szCs w:val="28"/>
          <w:highlight w:val="none"/>
          <w:u w:val="none"/>
        </w:rPr>
        <w:t>27</w:t>
      </w:r>
    </w:p>
    <w:p>
      <w:pPr>
        <w:pStyle w:val="16"/>
        <w:spacing w:line="900" w:lineRule="exact"/>
        <w:rPr>
          <w:rFonts w:asciiTheme="minorEastAsia" w:hAnsiTheme="minorEastAsia" w:eastAsiaTheme="minorEastAsia" w:cstheme="minorEastAsia"/>
          <w:color w:val="auto"/>
          <w:kern w:val="2"/>
          <w:sz w:val="28"/>
          <w:szCs w:val="28"/>
          <w:highlight w:val="none"/>
        </w:rPr>
      </w:pPr>
      <w:r>
        <w:rPr>
          <w:color w:val="auto"/>
          <w:highlight w:val="none"/>
        </w:rPr>
        <w:fldChar w:fldCharType="begin"/>
      </w:r>
      <w:r>
        <w:rPr>
          <w:color w:val="auto"/>
          <w:highlight w:val="none"/>
        </w:rPr>
        <w:instrText xml:space="preserve"> HYPERLINK \l "_Toc138929559"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第六篇  合同文本</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1</w:t>
      </w:r>
    </w:p>
    <w:p>
      <w:pPr>
        <w:pStyle w:val="16"/>
        <w:spacing w:line="900" w:lineRule="exact"/>
        <w:rPr>
          <w:rFonts w:asciiTheme="minorEastAsia" w:hAnsiTheme="minorEastAsia" w:eastAsiaTheme="minorEastAsia" w:cstheme="minorEastAsia"/>
          <w:color w:val="auto"/>
          <w:kern w:val="2"/>
          <w:sz w:val="28"/>
          <w:szCs w:val="28"/>
          <w:highlight w:val="none"/>
        </w:rPr>
      </w:pPr>
      <w:r>
        <w:rPr>
          <w:color w:val="auto"/>
          <w:highlight w:val="none"/>
        </w:rPr>
        <w:fldChar w:fldCharType="begin"/>
      </w:r>
      <w:r>
        <w:rPr>
          <w:color w:val="auto"/>
          <w:highlight w:val="none"/>
        </w:rPr>
        <w:instrText xml:space="preserve"> HYPERLINK \l "_Toc138929560" </w:instrText>
      </w:r>
      <w:r>
        <w:rPr>
          <w:color w:val="auto"/>
          <w:highlight w:val="none"/>
        </w:rPr>
        <w:fldChar w:fldCharType="separate"/>
      </w:r>
      <w:r>
        <w:rPr>
          <w:rStyle w:val="29"/>
          <w:rFonts w:hint="eastAsia" w:asciiTheme="minorEastAsia" w:hAnsiTheme="minorEastAsia" w:eastAsiaTheme="minorEastAsia" w:cstheme="minorEastAsia"/>
          <w:color w:val="auto"/>
          <w:sz w:val="28"/>
          <w:szCs w:val="28"/>
          <w:highlight w:val="none"/>
        </w:rPr>
        <w:t>第七篇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_Toc138929560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pPr>
        <w:snapToGrid w:val="0"/>
        <w:spacing w:line="620" w:lineRule="exact"/>
        <w:jc w:val="both"/>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end"/>
      </w:r>
    </w:p>
    <w:p>
      <w:pPr>
        <w:snapToGrid w:val="0"/>
        <w:spacing w:line="360" w:lineRule="auto"/>
        <w:jc w:val="both"/>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tabs>
          <w:tab w:val="left" w:pos="3180"/>
        </w:tabs>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tab/>
      </w:r>
    </w:p>
    <w:p>
      <w:pPr>
        <w:tabs>
          <w:tab w:val="left" w:pos="3180"/>
        </w:tabs>
        <w:rPr>
          <w:rFonts w:asciiTheme="minorEastAsia" w:hAnsiTheme="minorEastAsia" w:eastAsiaTheme="minorEastAsia" w:cstheme="minorEastAsia"/>
          <w:color w:val="auto"/>
          <w:highlight w:val="none"/>
        </w:rPr>
        <w:sectPr>
          <w:footerReference r:id="rId8" w:type="default"/>
          <w:pgSz w:w="11907" w:h="16840"/>
          <w:pgMar w:top="1418" w:right="1247" w:bottom="1247" w:left="1418" w:header="851" w:footer="851" w:gutter="0"/>
          <w:cols w:space="720" w:num="1"/>
          <w:titlePg/>
          <w:docGrid w:linePitch="326" w:charSpace="0"/>
        </w:sectPr>
      </w:pPr>
    </w:p>
    <w:p>
      <w:pPr>
        <w:pStyle w:val="2"/>
        <w:spacing w:before="120" w:after="120"/>
        <w:ind w:left="0" w:firstLine="0"/>
        <w:jc w:val="center"/>
        <w:rPr>
          <w:rFonts w:asciiTheme="minorEastAsia" w:hAnsiTheme="minorEastAsia" w:eastAsiaTheme="minorEastAsia" w:cstheme="minorEastAsia"/>
          <w:color w:val="auto"/>
          <w:highlight w:val="none"/>
        </w:rPr>
      </w:pPr>
      <w:bookmarkStart w:id="10" w:name="_Toc138929554"/>
      <w:r>
        <w:rPr>
          <w:rFonts w:hint="eastAsia" w:asciiTheme="minorEastAsia" w:hAnsiTheme="minorEastAsia" w:eastAsiaTheme="minorEastAsia" w:cstheme="minorEastAsia"/>
          <w:color w:val="auto"/>
          <w:highlight w:val="none"/>
        </w:rPr>
        <w:t>第一篇  投标邀请书</w:t>
      </w:r>
      <w:bookmarkEnd w:id="10"/>
    </w:p>
    <w:p>
      <w:pPr>
        <w:snapToGrid w:val="0"/>
        <w:spacing w:line="360" w:lineRule="exact"/>
        <w:ind w:firstLine="420" w:firstLineChars="200"/>
        <w:jc w:val="both"/>
        <w:rPr>
          <w:rFonts w:asciiTheme="minorEastAsia" w:hAnsiTheme="minorEastAsia" w:eastAsiaTheme="minorEastAsia" w:cstheme="minorEastAsia"/>
          <w:color w:val="auto"/>
          <w:sz w:val="21"/>
          <w:szCs w:val="21"/>
          <w:highlight w:val="none"/>
        </w:rPr>
      </w:pPr>
      <w:bookmarkStart w:id="11" w:name="_Toc184023102"/>
      <w:bookmarkStart w:id="12" w:name="_Toc180051010"/>
      <w:bookmarkStart w:id="13" w:name="_Toc184013603"/>
      <w:bookmarkStart w:id="14" w:name="_Toc186274099"/>
      <w:bookmarkStart w:id="15" w:name="_Toc174185146"/>
      <w:r>
        <w:rPr>
          <w:rFonts w:hint="eastAsia" w:asciiTheme="minorEastAsia" w:hAnsiTheme="minorEastAsia" w:eastAsiaTheme="minorEastAsia" w:cstheme="minorEastAsia"/>
          <w:color w:val="auto"/>
          <w:sz w:val="21"/>
          <w:szCs w:val="21"/>
          <w:highlight w:val="none"/>
        </w:rPr>
        <w:t>根据《中华人民共和国政府采购法》、《政府采购货物和服务招标投标管理办法》（财政部第87号令）等法律法规规定，西南大学现对“热场发射扫描电镜采购”项目进行公开招标，欢迎具有相关资格的潜在投标人参与投标。</w:t>
      </w:r>
    </w:p>
    <w:p>
      <w:pPr>
        <w:pStyle w:val="3"/>
        <w:snapToGrid w:val="0"/>
        <w:spacing w:before="0" w:after="0" w:line="360" w:lineRule="exact"/>
        <w:ind w:left="0" w:firstLine="422" w:firstLineChars="200"/>
        <w:rPr>
          <w:rFonts w:ascii="宋体" w:hAnsi="宋体"/>
          <w:color w:val="auto"/>
          <w:sz w:val="21"/>
          <w:szCs w:val="21"/>
          <w:highlight w:val="none"/>
        </w:rPr>
      </w:pPr>
      <w:r>
        <w:rPr>
          <w:rFonts w:hint="eastAsia" w:ascii="宋体" w:hAnsi="宋体"/>
          <w:color w:val="auto"/>
          <w:sz w:val="21"/>
          <w:szCs w:val="21"/>
          <w:highlight w:val="none"/>
        </w:rPr>
        <w:t>一、采购项目内容</w:t>
      </w:r>
      <w:bookmarkEnd w:id="11"/>
      <w:bookmarkEnd w:id="12"/>
      <w:bookmarkEnd w:id="13"/>
      <w:bookmarkEnd w:id="14"/>
      <w:bookmarkEnd w:id="15"/>
      <w:bookmarkStart w:id="16" w:name="_Toc174185147"/>
      <w:bookmarkStart w:id="17" w:name="_Toc180051011"/>
      <w:bookmarkStart w:id="18" w:name="_Toc184013604"/>
      <w:bookmarkStart w:id="19" w:name="_Toc186274100"/>
      <w:bookmarkStart w:id="20" w:name="_Toc184023103"/>
    </w:p>
    <w:tbl>
      <w:tblPr>
        <w:tblStyle w:val="24"/>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2027"/>
        <w:gridCol w:w="193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50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项目名称</w:t>
            </w:r>
          </w:p>
        </w:tc>
        <w:tc>
          <w:tcPr>
            <w:tcW w:w="2027" w:type="dxa"/>
            <w:tcBorders>
              <w:top w:val="single" w:color="auto" w:sz="4" w:space="0"/>
              <w:left w:val="single" w:color="auto" w:sz="4" w:space="0"/>
              <w:right w:val="single" w:color="auto" w:sz="4" w:space="0"/>
            </w:tcBorders>
            <w:vAlign w:val="center"/>
          </w:tcPr>
          <w:p>
            <w:pPr>
              <w:widowControl/>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最高限价</w:t>
            </w:r>
          </w:p>
          <w:p>
            <w:pPr>
              <w:widowControl/>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（万元）</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数量（套）</w:t>
            </w:r>
          </w:p>
        </w:tc>
        <w:tc>
          <w:tcPr>
            <w:tcW w:w="2298" w:type="dxa"/>
            <w:tcBorders>
              <w:top w:val="single" w:color="auto" w:sz="4" w:space="0"/>
              <w:left w:val="single" w:color="auto" w:sz="4" w:space="0"/>
              <w:right w:val="single" w:color="auto" w:sz="4" w:space="0"/>
            </w:tcBorders>
            <w:vAlign w:val="center"/>
          </w:tcPr>
          <w:p>
            <w:pPr>
              <w:pStyle w:val="8"/>
              <w:spacing w:line="240" w:lineRule="atLeast"/>
              <w:ind w:left="0" w:leftChars="0"/>
              <w:jc w:val="center"/>
              <w:outlineLvl w:val="0"/>
              <w:rPr>
                <w:rFonts w:asciiTheme="minorEastAsia" w:hAnsiTheme="minorEastAsia" w:eastAsiaTheme="minorEastAsia" w:cstheme="minorEastAsia"/>
                <w:b/>
                <w:bCs/>
                <w:color w:val="auto"/>
                <w:sz w:val="21"/>
                <w:szCs w:val="21"/>
                <w:highlight w:val="none"/>
              </w:rPr>
            </w:pPr>
            <w:bookmarkStart w:id="21" w:name="_Toc21067"/>
            <w:bookmarkStart w:id="22" w:name="_Toc135668345"/>
            <w:bookmarkStart w:id="23" w:name="_Toc138929555"/>
            <w:bookmarkStart w:id="24" w:name="_Toc105671349"/>
            <w:bookmarkStart w:id="25" w:name="_Toc27745"/>
            <w:r>
              <w:rPr>
                <w:rFonts w:hint="eastAsia" w:asciiTheme="minorEastAsia" w:hAnsiTheme="minorEastAsia" w:eastAsiaTheme="minorEastAsia" w:cstheme="minorEastAsia"/>
                <w:b/>
                <w:bCs/>
                <w:color w:val="auto"/>
                <w:sz w:val="21"/>
                <w:szCs w:val="21"/>
                <w:highlight w:val="none"/>
              </w:rPr>
              <w:t>中标人数量（名）</w:t>
            </w:r>
            <w:bookmarkEnd w:id="21"/>
            <w:bookmarkEnd w:id="22"/>
            <w:bookmarkEnd w:id="23"/>
            <w:bookmarkEnd w:id="24"/>
            <w:bookmarkEnd w:id="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350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热场发射扫描电镜采购</w:t>
            </w:r>
          </w:p>
        </w:tc>
        <w:tc>
          <w:tcPr>
            <w:tcW w:w="2027"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350</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p>
        </w:tc>
        <w:tc>
          <w:tcPr>
            <w:tcW w:w="2298" w:type="dxa"/>
            <w:tcBorders>
              <w:top w:val="single" w:color="auto" w:sz="4" w:space="0"/>
              <w:left w:val="single" w:color="auto" w:sz="4" w:space="0"/>
              <w:right w:val="single" w:color="auto" w:sz="4" w:space="0"/>
            </w:tcBorders>
            <w:vAlign w:val="center"/>
          </w:tcPr>
          <w:p>
            <w:pPr>
              <w:pStyle w:val="5"/>
              <w:spacing w:line="400" w:lineRule="exact"/>
              <w:ind w:firstLine="0"/>
              <w:jc w:val="center"/>
              <w:outlineLvl w:val="0"/>
              <w:rPr>
                <w:rFonts w:asciiTheme="minorEastAsia" w:hAnsiTheme="minorEastAsia" w:eastAsiaTheme="minorEastAsia" w:cstheme="minorEastAsia"/>
                <w:b/>
                <w:bCs/>
                <w:color w:val="auto"/>
                <w:sz w:val="21"/>
                <w:szCs w:val="21"/>
                <w:highlight w:val="none"/>
              </w:rPr>
            </w:pPr>
            <w:bookmarkStart w:id="26" w:name="_Toc135668346"/>
            <w:bookmarkStart w:id="27" w:name="_Toc138929556"/>
            <w:bookmarkStart w:id="28" w:name="_Toc569"/>
            <w:bookmarkStart w:id="29" w:name="_Toc105671351"/>
            <w:bookmarkStart w:id="30" w:name="_Toc12869"/>
            <w:r>
              <w:rPr>
                <w:rFonts w:hint="eastAsia" w:asciiTheme="minorEastAsia" w:hAnsiTheme="minorEastAsia" w:eastAsiaTheme="minorEastAsia" w:cstheme="minorEastAsia"/>
                <w:b/>
                <w:bCs/>
                <w:color w:val="auto"/>
                <w:sz w:val="21"/>
                <w:szCs w:val="21"/>
                <w:highlight w:val="none"/>
              </w:rPr>
              <w:t>1</w:t>
            </w:r>
            <w:bookmarkEnd w:id="26"/>
            <w:bookmarkEnd w:id="27"/>
            <w:bookmarkEnd w:id="28"/>
            <w:bookmarkEnd w:id="29"/>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767" w:type="dxa"/>
            <w:gridSpan w:val="4"/>
            <w:tcBorders>
              <w:top w:val="single" w:color="auto" w:sz="4" w:space="0"/>
              <w:left w:val="single" w:color="auto" w:sz="4" w:space="0"/>
              <w:right w:val="single" w:color="auto" w:sz="4" w:space="0"/>
            </w:tcBorders>
          </w:tcPr>
          <w:p>
            <w:pPr>
              <w:widowControl/>
              <w:snapToGrid w:val="0"/>
              <w:spacing w:line="360" w:lineRule="exact"/>
              <w:textAlignment w:val="auto"/>
              <w:rPr>
                <w:rFonts w:asciiTheme="minorEastAsia" w:hAnsiTheme="minorEastAsia" w:eastAsiaTheme="minorEastAsia" w:cstheme="minorEastAsia"/>
                <w:color w:val="auto"/>
                <w:sz w:val="21"/>
                <w:szCs w:val="21"/>
                <w:highlight w:val="none"/>
              </w:rPr>
            </w:pPr>
            <w:bookmarkStart w:id="31" w:name="_Hlk344477914"/>
            <w:r>
              <w:rPr>
                <w:rFonts w:hint="eastAsia" w:asciiTheme="minorEastAsia" w:hAnsiTheme="minorEastAsia" w:eastAsiaTheme="minorEastAsia" w:cstheme="minorEastAsia"/>
                <w:color w:val="auto"/>
                <w:sz w:val="21"/>
                <w:szCs w:val="21"/>
                <w:highlight w:val="none"/>
              </w:rPr>
              <w:t>注：1.投标人报价不得超过本项目</w:t>
            </w:r>
            <w:r>
              <w:rPr>
                <w:rFonts w:hint="eastAsia" w:asciiTheme="minorEastAsia" w:hAnsiTheme="minorEastAsia" w:eastAsiaTheme="minorEastAsia" w:cstheme="minorEastAsia"/>
                <w:b/>
                <w:bCs/>
                <w:color w:val="auto"/>
                <w:sz w:val="21"/>
                <w:szCs w:val="21"/>
                <w:highlight w:val="none"/>
              </w:rPr>
              <w:t>“最高限价”</w:t>
            </w:r>
            <w:r>
              <w:rPr>
                <w:rFonts w:hint="eastAsia" w:asciiTheme="minorEastAsia" w:hAnsiTheme="minorEastAsia" w:eastAsiaTheme="minorEastAsia" w:cstheme="minorEastAsia"/>
                <w:color w:val="auto"/>
                <w:sz w:val="21"/>
                <w:szCs w:val="21"/>
                <w:highlight w:val="none"/>
              </w:rPr>
              <w:t>；</w:t>
            </w:r>
          </w:p>
          <w:p>
            <w:pPr>
              <w:widowControl/>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2.以上采购项目内容的具体要求，见“第二篇 </w:t>
            </w:r>
            <w:r>
              <w:rPr>
                <w:rFonts w:hint="eastAsia" w:ascii="黑体" w:hAnsi="黑体" w:cs="黑体"/>
                <w:color w:val="auto"/>
                <w:sz w:val="21"/>
                <w:szCs w:val="21"/>
                <w:highlight w:val="none"/>
              </w:rPr>
              <w:t>采购需求</w:t>
            </w:r>
            <w:r>
              <w:rPr>
                <w:rFonts w:hint="eastAsia" w:asciiTheme="minorEastAsia" w:hAnsiTheme="minorEastAsia" w:eastAsiaTheme="minorEastAsia" w:cstheme="minorEastAsia"/>
                <w:color w:val="auto"/>
                <w:sz w:val="21"/>
                <w:szCs w:val="21"/>
                <w:highlight w:val="none"/>
              </w:rPr>
              <w:t>”；</w:t>
            </w:r>
          </w:p>
          <w:p>
            <w:pPr>
              <w:widowControl/>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3.本项目允许采购进口产品（进口产品指通过中国海关报关验放进入中国境内且产自关境外的产品)，进口产品若非制造商参与投标，则须提供制造商授权函。</w:t>
            </w:r>
          </w:p>
          <w:p>
            <w:pPr>
              <w:pStyle w:val="7"/>
              <w:ind w:firstLine="200" w:firstLineChars="1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1"/>
                <w:szCs w:val="21"/>
                <w:highlight w:val="none"/>
              </w:rPr>
              <w:t xml:space="preserve"> 4.本项目采购标的对应的《中小企业划型标准规定》所属行业为</w:t>
            </w:r>
            <w:r>
              <w:rPr>
                <w:rFonts w:hint="eastAsia" w:asciiTheme="minorEastAsia" w:hAnsiTheme="minorEastAsia" w:eastAsiaTheme="minorEastAsia" w:cstheme="minorEastAsia"/>
                <w:b/>
                <w:bCs/>
                <w:color w:val="auto"/>
                <w:sz w:val="21"/>
                <w:szCs w:val="21"/>
                <w:highlight w:val="none"/>
              </w:rPr>
              <w:t>：工业</w:t>
            </w:r>
          </w:p>
        </w:tc>
      </w:tr>
      <w:bookmarkEnd w:id="31"/>
    </w:tbl>
    <w:p>
      <w:pPr>
        <w:tabs>
          <w:tab w:val="left" w:pos="2370"/>
        </w:tabs>
        <w:snapToGrid w:val="0"/>
        <w:spacing w:line="360" w:lineRule="auto"/>
        <w:rPr>
          <w:rFonts w:asciiTheme="minorEastAsia" w:hAnsiTheme="minorEastAsia" w:eastAsiaTheme="minorEastAsia" w:cstheme="minorEastAsia"/>
          <w:b/>
          <w:color w:val="auto"/>
          <w:sz w:val="21"/>
          <w:szCs w:val="21"/>
          <w:highlight w:val="none"/>
        </w:rPr>
      </w:pPr>
    </w:p>
    <w:p>
      <w:pPr>
        <w:pStyle w:val="3"/>
        <w:snapToGrid w:val="0"/>
        <w:spacing w:before="0" w:after="0" w:line="360" w:lineRule="exact"/>
        <w:ind w:left="0" w:firstLine="422" w:firstLineChars="200"/>
        <w:rPr>
          <w:rFonts w:ascii="宋体" w:hAnsi="宋体"/>
          <w:color w:val="auto"/>
          <w:sz w:val="21"/>
          <w:szCs w:val="21"/>
          <w:highlight w:val="none"/>
        </w:rPr>
      </w:pPr>
      <w:r>
        <w:rPr>
          <w:rFonts w:hint="eastAsia" w:ascii="宋体" w:hAnsi="宋体"/>
          <w:color w:val="auto"/>
          <w:sz w:val="21"/>
          <w:szCs w:val="21"/>
          <w:highlight w:val="none"/>
        </w:rPr>
        <w:t>二、资金来源</w:t>
      </w:r>
    </w:p>
    <w:p>
      <w:pPr>
        <w:snapToGrid w:val="0"/>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财政预算资金，采购人资金已到位。预算金额：</w:t>
      </w:r>
      <w:r>
        <w:rPr>
          <w:rFonts w:hint="eastAsia" w:asciiTheme="minorEastAsia" w:hAnsiTheme="minorEastAsia" w:eastAsiaTheme="minorEastAsia" w:cstheme="minorEastAsia"/>
          <w:color w:val="auto"/>
          <w:sz w:val="21"/>
          <w:szCs w:val="21"/>
          <w:highlight w:val="none"/>
          <w:lang w:bidi="ar"/>
        </w:rPr>
        <w:t>人民币</w:t>
      </w:r>
      <w:r>
        <w:rPr>
          <w:rFonts w:hint="eastAsia" w:asciiTheme="minorEastAsia" w:hAnsiTheme="minorEastAsia" w:eastAsiaTheme="minorEastAsia" w:cstheme="minorEastAsia"/>
          <w:color w:val="auto"/>
          <w:sz w:val="21"/>
          <w:szCs w:val="21"/>
          <w:highlight w:val="none"/>
          <w:lang w:val="en-US" w:eastAsia="zh-CN" w:bidi="ar"/>
        </w:rPr>
        <w:t>350</w:t>
      </w:r>
      <w:r>
        <w:rPr>
          <w:rFonts w:hint="eastAsia" w:asciiTheme="minorEastAsia" w:hAnsiTheme="minorEastAsia" w:eastAsiaTheme="minorEastAsia" w:cstheme="minorEastAsia"/>
          <w:color w:val="auto"/>
          <w:sz w:val="21"/>
          <w:szCs w:val="21"/>
          <w:highlight w:val="none"/>
          <w:lang w:bidi="ar"/>
        </w:rPr>
        <w:t>万元。</w:t>
      </w:r>
    </w:p>
    <w:p>
      <w:pPr>
        <w:spacing w:line="400" w:lineRule="exact"/>
        <w:ind w:firstLine="424" w:firstLineChars="20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pPr>
        <w:rPr>
          <w:rFonts w:asciiTheme="minorEastAsia" w:hAnsiTheme="minorEastAsia" w:eastAsiaTheme="minorEastAsia" w:cstheme="minorEastAsia"/>
          <w:color w:val="auto"/>
          <w:highlight w:val="none"/>
        </w:rPr>
      </w:pPr>
    </w:p>
    <w:p>
      <w:pPr>
        <w:pStyle w:val="3"/>
        <w:snapToGrid w:val="0"/>
        <w:spacing w:before="0" w:after="0" w:line="360" w:lineRule="exact"/>
        <w:ind w:left="0" w:firstLine="422" w:firstLineChars="200"/>
        <w:rPr>
          <w:rFonts w:ascii="宋体" w:hAnsi="宋体"/>
          <w:color w:val="auto"/>
          <w:sz w:val="21"/>
          <w:szCs w:val="21"/>
          <w:highlight w:val="none"/>
        </w:rPr>
      </w:pPr>
      <w:r>
        <w:rPr>
          <w:rFonts w:hint="eastAsia" w:ascii="宋体" w:hAnsi="宋体"/>
          <w:color w:val="auto"/>
          <w:sz w:val="21"/>
          <w:szCs w:val="21"/>
          <w:highlight w:val="none"/>
        </w:rPr>
        <w:t>三、 投标人资格要求</w:t>
      </w:r>
    </w:p>
    <w:bookmarkEnd w:id="16"/>
    <w:p>
      <w:pPr>
        <w:snapToGrid w:val="0"/>
        <w:spacing w:line="360" w:lineRule="auto"/>
        <w:ind w:firstLine="210" w:firstLineChars="100"/>
        <w:rPr>
          <w:rFonts w:asciiTheme="minorEastAsia" w:hAnsiTheme="minorEastAsia" w:eastAsiaTheme="minorEastAsia" w:cstheme="minorEastAsia"/>
          <w:color w:val="auto"/>
          <w:sz w:val="21"/>
          <w:szCs w:val="21"/>
          <w:highlight w:val="none"/>
        </w:rPr>
      </w:pPr>
      <w:bookmarkStart w:id="32" w:name="_Toc174185148"/>
      <w:r>
        <w:rPr>
          <w:rFonts w:hint="eastAsia" w:asciiTheme="minorEastAsia" w:hAnsiTheme="minorEastAsia" w:eastAsiaTheme="minorEastAsia" w:cstheme="minorEastAsia"/>
          <w:color w:val="auto"/>
          <w:sz w:val="21"/>
          <w:szCs w:val="21"/>
          <w:highlight w:val="none"/>
        </w:rPr>
        <w:t>（一）满足《中华人民共和国政府采购法》第二十二条规定；</w:t>
      </w:r>
    </w:p>
    <w:p>
      <w:pPr>
        <w:snapToGrid w:val="0"/>
        <w:spacing w:line="360" w:lineRule="auto"/>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w:t>
      </w:r>
      <w:r>
        <w:rPr>
          <w:rFonts w:hint="eastAsia" w:ascii="宋体" w:hAnsi="宋体" w:cs="宋体"/>
          <w:color w:val="auto"/>
          <w:sz w:val="21"/>
          <w:szCs w:val="21"/>
          <w:highlight w:val="none"/>
        </w:rPr>
        <w:t>落实政府采购政策需满足的资格要求：无。</w:t>
      </w:r>
    </w:p>
    <w:p>
      <w:pPr>
        <w:snapToGrid w:val="0"/>
        <w:spacing w:line="360" w:lineRule="auto"/>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（三）本项目的特定资格要求：</w:t>
      </w:r>
      <w:bookmarkStart w:id="33" w:name="OLE_LINK14"/>
    </w:p>
    <w:bookmarkEnd w:id="33"/>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w:t>
      </w:r>
    </w:p>
    <w:p>
      <w:pPr>
        <w:pStyle w:val="3"/>
        <w:snapToGrid w:val="0"/>
        <w:spacing w:before="0" w:after="0" w:line="360" w:lineRule="exact"/>
        <w:ind w:left="0" w:firstLine="422" w:firstLineChars="200"/>
        <w:rPr>
          <w:rFonts w:ascii="宋体" w:hAnsi="宋体"/>
          <w:color w:val="auto"/>
          <w:sz w:val="21"/>
          <w:szCs w:val="21"/>
          <w:highlight w:val="none"/>
        </w:rPr>
      </w:pPr>
      <w:r>
        <w:rPr>
          <w:rFonts w:hint="eastAsia" w:ascii="宋体" w:hAnsi="宋体"/>
          <w:color w:val="auto"/>
          <w:sz w:val="21"/>
          <w:szCs w:val="21"/>
          <w:highlight w:val="none"/>
        </w:rPr>
        <w:t>四、投标、开标的有关说明</w:t>
      </w:r>
    </w:p>
    <w:bookmarkEnd w:id="17"/>
    <w:bookmarkEnd w:id="18"/>
    <w:bookmarkEnd w:id="19"/>
    <w:bookmarkEnd w:id="20"/>
    <w:bookmarkEnd w:id="32"/>
    <w:p>
      <w:pPr>
        <w:snapToGrid w:val="0"/>
        <w:spacing w:line="360" w:lineRule="auto"/>
        <w:ind w:firstLine="420" w:firstLineChars="200"/>
        <w:jc w:val="both"/>
        <w:rPr>
          <w:rFonts w:asciiTheme="minorEastAsia" w:hAnsiTheme="minorEastAsia" w:eastAsiaTheme="minorEastAsia" w:cstheme="minorEastAsia"/>
          <w:color w:val="auto"/>
          <w:kern w:val="2"/>
          <w:sz w:val="21"/>
          <w:szCs w:val="21"/>
          <w:highlight w:val="none"/>
        </w:rPr>
      </w:pPr>
      <w:bookmarkStart w:id="34" w:name="_Toc186274101"/>
      <w:bookmarkStart w:id="35" w:name="_Toc174185149"/>
      <w:bookmarkStart w:id="36" w:name="_Toc180051012"/>
      <w:bookmarkStart w:id="37" w:name="_Toc184023104"/>
      <w:bookmarkStart w:id="38" w:name="_Toc184013605"/>
      <w:r>
        <w:rPr>
          <w:rFonts w:hint="eastAsia" w:asciiTheme="minorEastAsia" w:hAnsiTheme="minorEastAsia" w:eastAsiaTheme="minorEastAsia" w:cstheme="minorEastAsia"/>
          <w:color w:val="auto"/>
          <w:sz w:val="21"/>
          <w:szCs w:val="21"/>
          <w:highlight w:val="none"/>
        </w:rPr>
        <w:t>（一）招标文件的获取：</w:t>
      </w:r>
      <w:r>
        <w:rPr>
          <w:rFonts w:hint="eastAsia" w:asciiTheme="minorEastAsia" w:hAnsiTheme="minorEastAsia" w:eastAsiaTheme="minorEastAsia" w:cstheme="minorEastAsia"/>
          <w:color w:val="auto"/>
          <w:kern w:val="2"/>
          <w:sz w:val="21"/>
          <w:szCs w:val="21"/>
          <w:highlight w:val="none"/>
        </w:rPr>
        <w:t>凡有意参加本项目投标的投标人，</w:t>
      </w:r>
      <w:r>
        <w:rPr>
          <w:rFonts w:hint="eastAsia" w:asciiTheme="minorEastAsia" w:hAnsiTheme="minorEastAsia" w:eastAsiaTheme="minorEastAsia" w:cstheme="minorEastAsia"/>
          <w:color w:val="auto"/>
          <w:sz w:val="21"/>
          <w:szCs w:val="21"/>
          <w:highlight w:val="none"/>
        </w:rPr>
        <w:t xml:space="preserve">请于 </w:t>
      </w:r>
      <w:r>
        <w:rPr>
          <w:rFonts w:hint="eastAsia" w:asciiTheme="minorEastAsia" w:hAnsiTheme="minorEastAsia" w:eastAsiaTheme="minorEastAsia" w:cstheme="minorEastAsia"/>
          <w:color w:val="auto"/>
          <w:sz w:val="21"/>
          <w:szCs w:val="21"/>
          <w:highlight w:val="none"/>
          <w:u w:val="single"/>
        </w:rPr>
        <w:t>2023</w:t>
      </w: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u w:val="single"/>
          <w:lang w:val="en-US" w:eastAsia="zh-CN"/>
        </w:rPr>
        <w:t>11</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lang w:val="en-US" w:eastAsia="zh-CN"/>
        </w:rPr>
        <w:t>13</w:t>
      </w:r>
      <w:r>
        <w:rPr>
          <w:rFonts w:hint="eastAsia" w:asciiTheme="minorEastAsia" w:hAnsiTheme="minorEastAsia" w:eastAsiaTheme="minorEastAsia" w:cstheme="minorEastAsia"/>
          <w:color w:val="auto"/>
          <w:sz w:val="21"/>
          <w:szCs w:val="21"/>
          <w:highlight w:val="none"/>
        </w:rPr>
        <w:t>日起</w:t>
      </w:r>
      <w:r>
        <w:rPr>
          <w:rFonts w:hint="eastAsia" w:asciiTheme="minorEastAsia" w:hAnsiTheme="minorEastAsia" w:eastAsiaTheme="minorEastAsia" w:cstheme="minorEastAsia"/>
          <w:color w:val="auto"/>
          <w:kern w:val="2"/>
          <w:sz w:val="21"/>
          <w:szCs w:val="21"/>
          <w:highlight w:val="none"/>
        </w:rPr>
        <w:t>在</w:t>
      </w:r>
      <w:r>
        <w:rPr>
          <w:rFonts w:hint="eastAsia" w:asciiTheme="minorEastAsia" w:hAnsiTheme="minorEastAsia" w:eastAsiaTheme="minorEastAsia" w:cstheme="minorEastAsia"/>
          <w:color w:val="auto"/>
          <w:sz w:val="21"/>
          <w:szCs w:val="21"/>
          <w:highlight w:val="none"/>
        </w:rPr>
        <w:t>《中国政府采购网》（http://www.ccgp.gov.cn/）或</w:t>
      </w:r>
      <w:r>
        <w:rPr>
          <w:rFonts w:hint="eastAsia" w:asciiTheme="minorEastAsia" w:hAnsiTheme="minorEastAsia" w:eastAsiaTheme="minorEastAsia" w:cstheme="minorEastAsia"/>
          <w:color w:val="auto"/>
          <w:kern w:val="2"/>
          <w:sz w:val="21"/>
          <w:szCs w:val="21"/>
          <w:highlight w:val="none"/>
        </w:rPr>
        <w:t>西南大学采购与招投标管理中心网页</w:t>
      </w:r>
      <w:r>
        <w:rPr>
          <w:rFonts w:hint="eastAsia" w:asciiTheme="minorEastAsia" w:hAnsiTheme="minorEastAsia" w:eastAsiaTheme="minorEastAsia" w:cstheme="minorEastAsia"/>
          <w:b/>
          <w:bCs/>
          <w:color w:val="auto"/>
          <w:kern w:val="2"/>
          <w:sz w:val="21"/>
          <w:szCs w:val="21"/>
          <w:highlight w:val="none"/>
        </w:rPr>
        <w:t>（https://ecaigou.swu.edu.cn:30910/bid/index?redirect=%2F）</w:t>
      </w:r>
      <w:r>
        <w:rPr>
          <w:rFonts w:hint="eastAsia" w:asciiTheme="minorEastAsia" w:hAnsiTheme="minorEastAsia" w:eastAsiaTheme="minorEastAsia" w:cstheme="minorEastAsia"/>
          <w:color w:val="auto"/>
          <w:sz w:val="21"/>
          <w:szCs w:val="21"/>
          <w:highlight w:val="none"/>
        </w:rPr>
        <w:t>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相关资料，所产生的一切后果由投标人自行负责。</w:t>
      </w:r>
    </w:p>
    <w:p>
      <w:pPr>
        <w:snapToGrid w:val="0"/>
        <w:spacing w:line="360" w:lineRule="auto"/>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（二）招标文件公告期限（获取招标文件期限）：自招标公告发布之日</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2023</w:t>
      </w: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u w:val="single"/>
          <w:lang w:val="en-US" w:eastAsia="zh-CN"/>
        </w:rPr>
        <w:t>11</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lang w:val="en-US" w:eastAsia="zh-CN"/>
        </w:rPr>
        <w:t>13</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kern w:val="2"/>
          <w:sz w:val="21"/>
          <w:szCs w:val="21"/>
          <w:highlight w:val="none"/>
        </w:rPr>
        <w:t>起五个工作日</w:t>
      </w:r>
      <w:r>
        <w:rPr>
          <w:rFonts w:hint="eastAsia" w:asciiTheme="minorEastAsia" w:hAnsiTheme="minorEastAsia" w:eastAsiaTheme="minorEastAsia" w:cstheme="minorEastAsia"/>
          <w:b/>
          <w:bCs/>
          <w:color w:val="auto"/>
          <w:kern w:val="2"/>
          <w:sz w:val="21"/>
          <w:szCs w:val="21"/>
          <w:highlight w:val="none"/>
        </w:rPr>
        <w:t>。</w:t>
      </w:r>
    </w:p>
    <w:p>
      <w:pPr>
        <w:snapToGri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（三）招标文件资料费：400元/份，资料费收取后不予退还，可在线支付或现场扫描二维码支付。</w:t>
      </w:r>
    </w:p>
    <w:p>
      <w:pPr>
        <w:snapToGri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（1）在线支付</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微信扫下图二维码，关注“西南大学e采购”官方公众号，或微信公众号搜索“西南大学e采购”加关注。打开公众号右下角“关于我们”，点击“在线缴费”，根据缴费提示完成在线支付。</w:t>
      </w:r>
    </w:p>
    <w:p>
      <w:pPr>
        <w:pStyle w:val="16"/>
        <w:rPr>
          <w:rFonts w:asciiTheme="minorEastAsia" w:hAnsiTheme="minorEastAsia" w:eastAsiaTheme="minorEastAsia" w:cstheme="minorEastAsia"/>
          <w:color w:val="auto"/>
          <w:highlight w:val="none"/>
        </w:rPr>
      </w:pPr>
    </w:p>
    <w:p>
      <w:pPr>
        <w:tabs>
          <w:tab w:val="left" w:pos="8100"/>
          <w:tab w:val="left" w:pos="8280"/>
        </w:tabs>
        <w:spacing w:line="460" w:lineRule="exact"/>
        <w:ind w:left="360" w:firstLine="539"/>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left="360" w:firstLine="539"/>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0"/>
                    <a:stretch>
                      <a:fillRect/>
                    </a:stretch>
                  </pic:blipFill>
                  <pic:spPr>
                    <a:xfrm>
                      <a:off x="0" y="0"/>
                      <a:ext cx="1931670" cy="157099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1"/>
          <w:szCs w:val="21"/>
          <w:highlight w:val="none"/>
        </w:rPr>
        <w:drawing>
          <wp:anchor distT="0" distB="0" distL="114300" distR="114300" simplePos="0" relativeHeight="251659264" behindDoc="0" locked="0" layoutInCell="1" allowOverlap="1">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21"/>
                    <a:stretch>
                      <a:fillRect/>
                    </a:stretch>
                  </pic:blipFill>
                  <pic:spPr>
                    <a:xfrm>
                      <a:off x="0" y="0"/>
                      <a:ext cx="1447800" cy="1447800"/>
                    </a:xfrm>
                    <a:prstGeom prst="rect">
                      <a:avLst/>
                    </a:prstGeom>
                    <a:noFill/>
                    <a:ln>
                      <a:noFill/>
                    </a:ln>
                  </pic:spPr>
                </pic:pic>
              </a:graphicData>
            </a:graphic>
          </wp:anchor>
        </w:drawing>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采购与招投标管理中心官方公众号</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（2）现场扫描二维码支付</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通过西南大学采购与招投标管理中心提供的二维码现场扫码付款，并在“备注”栏填写采购项目编号和分包号。</w:t>
      </w:r>
    </w:p>
    <w:p>
      <w:pPr>
        <w:tabs>
          <w:tab w:val="left" w:pos="8100"/>
          <w:tab w:val="left" w:pos="8280"/>
        </w:tabs>
        <w:spacing w:line="4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发票索取：请准确填写“发票抬头”和“纳税人识别号”，并加入西南大学供应商群，向采购与招投标管理中心工作人员索取电子发票。</w:t>
      </w:r>
    </w:p>
    <w:p>
      <w:pPr>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2"/>
                    <a:stretch>
                      <a:fillRect/>
                    </a:stretch>
                  </pic:blipFill>
                  <pic:spPr>
                    <a:xfrm>
                      <a:off x="0" y="0"/>
                      <a:ext cx="2266950" cy="2381250"/>
                    </a:xfrm>
                    <a:prstGeom prst="rect">
                      <a:avLst/>
                    </a:prstGeom>
                    <a:noFill/>
                    <a:ln>
                      <a:noFill/>
                    </a:ln>
                  </pic:spPr>
                </pic:pic>
              </a:graphicData>
            </a:graphic>
          </wp:anchor>
        </w:drawing>
      </w:r>
      <w:r>
        <w:rPr>
          <w:rFonts w:hint="eastAsia" w:asciiTheme="minorEastAsia" w:hAnsiTheme="minorEastAsia" w:eastAsiaTheme="minorEastAsia" w:cstheme="minorEastAsia"/>
          <w:color w:val="auto"/>
          <w:sz w:val="21"/>
          <w:szCs w:val="21"/>
          <w:highlight w:val="none"/>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3"/>
                    <a:stretch>
                      <a:fillRect/>
                    </a:stretch>
                  </pic:blipFill>
                  <pic:spPr>
                    <a:xfrm>
                      <a:off x="0" y="0"/>
                      <a:ext cx="2223135" cy="2747010"/>
                    </a:xfrm>
                    <a:prstGeom prst="rect">
                      <a:avLst/>
                    </a:prstGeom>
                    <a:noFill/>
                    <a:ln>
                      <a:noFill/>
                    </a:ln>
                  </pic:spPr>
                </pic:pic>
              </a:graphicData>
            </a:graphic>
          </wp:inline>
        </w:drawing>
      </w:r>
    </w:p>
    <w:p>
      <w:pPr>
        <w:snapToGrid w:val="0"/>
        <w:spacing w:line="360" w:lineRule="exact"/>
        <w:ind w:left="240" w:leftChars="100" w:firstLine="210" w:firstLineChars="100"/>
        <w:textAlignment w:val="auto"/>
        <w:rPr>
          <w:rFonts w:asciiTheme="minorEastAsia" w:hAnsiTheme="minorEastAsia" w:eastAsiaTheme="minorEastAsia" w:cstheme="minorEastAsia"/>
          <w:color w:val="auto"/>
          <w:sz w:val="21"/>
          <w:szCs w:val="21"/>
          <w:highlight w:val="none"/>
        </w:rPr>
      </w:pPr>
    </w:p>
    <w:p>
      <w:pPr>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（四）投标文件递交起止时间：</w:t>
      </w:r>
      <w:r>
        <w:rPr>
          <w:rFonts w:hint="eastAsia" w:asciiTheme="minorEastAsia" w:hAnsiTheme="minorEastAsia" w:eastAsiaTheme="minorEastAsia" w:cstheme="minorEastAsia"/>
          <w:b/>
          <w:bCs/>
          <w:color w:val="auto"/>
          <w:sz w:val="21"/>
          <w:szCs w:val="21"/>
          <w:highlight w:val="none"/>
          <w:u w:val="single"/>
        </w:rPr>
        <w:t>2023</w:t>
      </w:r>
      <w:r>
        <w:rPr>
          <w:rFonts w:hint="eastAsia" w:asciiTheme="minorEastAsia" w:hAnsiTheme="minorEastAsia" w:eastAsiaTheme="minorEastAsia" w:cstheme="minorEastAsia"/>
          <w:b/>
          <w:bCs/>
          <w:color w:val="auto"/>
          <w:sz w:val="21"/>
          <w:szCs w:val="21"/>
          <w:highlight w:val="none"/>
        </w:rPr>
        <w:t xml:space="preserve"> 年</w:t>
      </w:r>
      <w:r>
        <w:rPr>
          <w:rFonts w:hint="eastAsia" w:asciiTheme="minorEastAsia" w:hAnsiTheme="minorEastAsia" w:eastAsiaTheme="minorEastAsia" w:cstheme="minorEastAsia"/>
          <w:b/>
          <w:bCs/>
          <w:color w:val="auto"/>
          <w:sz w:val="21"/>
          <w:szCs w:val="21"/>
          <w:highlight w:val="none"/>
          <w:u w:val="single"/>
          <w:lang w:val="en-US" w:eastAsia="zh-CN"/>
        </w:rPr>
        <w:t>12</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u w:val="single"/>
          <w:lang w:val="en-US" w:eastAsia="zh-CN"/>
        </w:rPr>
        <w:t>5</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u w:val="single"/>
        </w:rPr>
        <w:t>9</w:t>
      </w:r>
      <w:r>
        <w:rPr>
          <w:rFonts w:hint="eastAsia" w:asciiTheme="minorEastAsia" w:hAnsiTheme="minorEastAsia" w:eastAsiaTheme="minorEastAsia" w:cstheme="minorEastAsia"/>
          <w:b/>
          <w:bCs/>
          <w:color w:val="auto"/>
          <w:sz w:val="21"/>
          <w:szCs w:val="21"/>
          <w:highlight w:val="none"/>
        </w:rPr>
        <w:t>时</w:t>
      </w:r>
      <w:r>
        <w:rPr>
          <w:rFonts w:hint="eastAsia" w:asciiTheme="minorEastAsia" w:hAnsiTheme="minorEastAsia" w:eastAsiaTheme="minorEastAsia" w:cstheme="minorEastAsia"/>
          <w:b/>
          <w:bCs/>
          <w:color w:val="auto"/>
          <w:sz w:val="21"/>
          <w:szCs w:val="21"/>
          <w:highlight w:val="none"/>
          <w:u w:val="single"/>
        </w:rPr>
        <w:t>00</w:t>
      </w:r>
      <w:r>
        <w:rPr>
          <w:rFonts w:hint="eastAsia" w:asciiTheme="minorEastAsia" w:hAnsiTheme="minorEastAsia" w:eastAsiaTheme="minorEastAsia" w:cstheme="minorEastAsia"/>
          <w:b/>
          <w:bCs/>
          <w:color w:val="auto"/>
          <w:sz w:val="21"/>
          <w:szCs w:val="21"/>
          <w:highlight w:val="none"/>
        </w:rPr>
        <w:t>分至</w:t>
      </w:r>
      <w:r>
        <w:rPr>
          <w:rFonts w:hint="eastAsia" w:asciiTheme="minorEastAsia" w:hAnsiTheme="minorEastAsia" w:eastAsiaTheme="minorEastAsia" w:cstheme="minorEastAsia"/>
          <w:b/>
          <w:bCs/>
          <w:color w:val="auto"/>
          <w:sz w:val="21"/>
          <w:szCs w:val="21"/>
          <w:highlight w:val="none"/>
          <w:u w:val="single"/>
        </w:rPr>
        <w:t>2023</w:t>
      </w:r>
      <w:r>
        <w:rPr>
          <w:rFonts w:hint="eastAsia" w:asciiTheme="minorEastAsia" w:hAnsiTheme="minorEastAsia" w:eastAsiaTheme="minorEastAsia" w:cstheme="minorEastAsia"/>
          <w:b/>
          <w:bCs/>
          <w:color w:val="auto"/>
          <w:sz w:val="21"/>
          <w:szCs w:val="21"/>
          <w:highlight w:val="none"/>
        </w:rPr>
        <w:t xml:space="preserve"> 年</w:t>
      </w:r>
      <w:r>
        <w:rPr>
          <w:rFonts w:hint="eastAsia" w:asciiTheme="minorEastAsia" w:hAnsiTheme="minorEastAsia" w:eastAsiaTheme="minorEastAsia" w:cstheme="minorEastAsia"/>
          <w:b/>
          <w:bCs/>
          <w:color w:val="auto"/>
          <w:sz w:val="21"/>
          <w:szCs w:val="21"/>
          <w:highlight w:val="none"/>
          <w:u w:val="single"/>
          <w:lang w:val="en-US" w:eastAsia="zh-CN"/>
        </w:rPr>
        <w:t>12</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u w:val="single"/>
          <w:lang w:val="en-US" w:eastAsia="zh-CN"/>
        </w:rPr>
        <w:t>5</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u w:val="single"/>
        </w:rPr>
        <w:t>9</w:t>
      </w:r>
      <w:r>
        <w:rPr>
          <w:rFonts w:hint="eastAsia" w:asciiTheme="minorEastAsia" w:hAnsiTheme="minorEastAsia" w:eastAsiaTheme="minorEastAsia" w:cstheme="minorEastAsia"/>
          <w:b/>
          <w:bCs/>
          <w:color w:val="auto"/>
          <w:sz w:val="21"/>
          <w:szCs w:val="21"/>
          <w:highlight w:val="none"/>
        </w:rPr>
        <w:t>时</w:t>
      </w:r>
      <w:r>
        <w:rPr>
          <w:rFonts w:hint="eastAsia" w:asciiTheme="minorEastAsia" w:hAnsiTheme="minorEastAsia" w:eastAsiaTheme="minorEastAsia" w:cstheme="minorEastAsia"/>
          <w:b/>
          <w:bCs/>
          <w:color w:val="auto"/>
          <w:sz w:val="21"/>
          <w:szCs w:val="21"/>
          <w:highlight w:val="none"/>
          <w:u w:val="single"/>
        </w:rPr>
        <w:t>30</w:t>
      </w:r>
      <w:r>
        <w:rPr>
          <w:rFonts w:hint="eastAsia" w:asciiTheme="minorEastAsia" w:hAnsiTheme="minorEastAsia" w:eastAsiaTheme="minorEastAsia" w:cstheme="minorEastAsia"/>
          <w:b/>
          <w:bCs/>
          <w:color w:val="auto"/>
          <w:sz w:val="21"/>
          <w:szCs w:val="21"/>
          <w:highlight w:val="none"/>
        </w:rPr>
        <w:t>分</w:t>
      </w:r>
      <w:r>
        <w:rPr>
          <w:rFonts w:hint="eastAsia" w:asciiTheme="minorEastAsia" w:hAnsiTheme="minorEastAsia" w:eastAsiaTheme="minorEastAsia" w:cstheme="minorEastAsia"/>
          <w:color w:val="auto"/>
          <w:sz w:val="21"/>
          <w:szCs w:val="21"/>
          <w:highlight w:val="none"/>
        </w:rPr>
        <w:t>（北京时间，下同）接受投标文件。超过投标截止时间递交的投标文件，恕不接收。</w:t>
      </w:r>
    </w:p>
    <w:bookmarkEnd w:id="34"/>
    <w:bookmarkEnd w:id="35"/>
    <w:bookmarkEnd w:id="36"/>
    <w:bookmarkEnd w:id="37"/>
    <w:bookmarkEnd w:id="38"/>
    <w:p>
      <w:pPr>
        <w:snapToGrid w:val="0"/>
        <w:spacing w:line="360" w:lineRule="exact"/>
        <w:ind w:firstLine="420" w:firstLineChars="200"/>
        <w:textAlignment w:val="auto"/>
        <w:rPr>
          <w:rFonts w:asciiTheme="minorEastAsia" w:hAnsiTheme="minorEastAsia" w:eastAsiaTheme="minorEastAsia" w:cstheme="minorEastAsia"/>
          <w:color w:val="auto"/>
          <w:kern w:val="2"/>
          <w:sz w:val="21"/>
          <w:szCs w:val="21"/>
          <w:highlight w:val="none"/>
        </w:rPr>
      </w:pPr>
      <w:bookmarkStart w:id="39" w:name="_Toc180051014"/>
      <w:bookmarkStart w:id="40" w:name="_Toc184023106"/>
      <w:bookmarkStart w:id="41" w:name="_Toc186274103"/>
      <w:bookmarkStart w:id="42" w:name="_Toc174185151"/>
      <w:bookmarkStart w:id="43" w:name="_Toc184013607"/>
      <w:r>
        <w:rPr>
          <w:rFonts w:hint="eastAsia" w:asciiTheme="minorEastAsia" w:hAnsiTheme="minorEastAsia" w:eastAsiaTheme="minorEastAsia" w:cstheme="minorEastAsia"/>
          <w:color w:val="auto"/>
          <w:sz w:val="21"/>
          <w:szCs w:val="21"/>
          <w:highlight w:val="none"/>
        </w:rPr>
        <w:t>（五）递交投标文件截止时间和开标时间：</w:t>
      </w:r>
      <w:r>
        <w:rPr>
          <w:rFonts w:hint="eastAsia" w:asciiTheme="minorEastAsia" w:hAnsiTheme="minorEastAsia" w:eastAsiaTheme="minorEastAsia" w:cstheme="minorEastAsia"/>
          <w:b/>
          <w:bCs/>
          <w:color w:val="auto"/>
          <w:sz w:val="21"/>
          <w:szCs w:val="21"/>
          <w:highlight w:val="none"/>
          <w:u w:val="single"/>
        </w:rPr>
        <w:t>2023</w:t>
      </w:r>
      <w:r>
        <w:rPr>
          <w:rFonts w:hint="eastAsia" w:asciiTheme="minorEastAsia" w:hAnsiTheme="minorEastAsia" w:eastAsiaTheme="minorEastAsia" w:cstheme="minorEastAsia"/>
          <w:b/>
          <w:bCs/>
          <w:color w:val="auto"/>
          <w:sz w:val="21"/>
          <w:szCs w:val="21"/>
          <w:highlight w:val="none"/>
        </w:rPr>
        <w:t xml:space="preserve"> 年</w:t>
      </w:r>
      <w:r>
        <w:rPr>
          <w:rFonts w:hint="eastAsia" w:asciiTheme="minorEastAsia" w:hAnsiTheme="minorEastAsia" w:eastAsiaTheme="minorEastAsia" w:cstheme="minorEastAsia"/>
          <w:b/>
          <w:bCs/>
          <w:color w:val="auto"/>
          <w:sz w:val="21"/>
          <w:szCs w:val="21"/>
          <w:highlight w:val="none"/>
          <w:u w:val="single"/>
          <w:lang w:val="en-US" w:eastAsia="zh-CN"/>
        </w:rPr>
        <w:t>12</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u w:val="single"/>
          <w:lang w:val="en-US" w:eastAsia="zh-CN"/>
        </w:rPr>
        <w:t>5</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u w:val="single"/>
        </w:rPr>
        <w:t>9</w:t>
      </w:r>
      <w:r>
        <w:rPr>
          <w:rFonts w:hint="eastAsia" w:asciiTheme="minorEastAsia" w:hAnsiTheme="minorEastAsia" w:eastAsiaTheme="minorEastAsia" w:cstheme="minorEastAsia"/>
          <w:b/>
          <w:bCs/>
          <w:color w:val="auto"/>
          <w:sz w:val="21"/>
          <w:szCs w:val="21"/>
          <w:highlight w:val="none"/>
        </w:rPr>
        <w:t>时</w:t>
      </w:r>
      <w:r>
        <w:rPr>
          <w:rFonts w:hint="eastAsia" w:asciiTheme="minorEastAsia" w:hAnsiTheme="minorEastAsia" w:eastAsiaTheme="minorEastAsia" w:cstheme="minorEastAsia"/>
          <w:b/>
          <w:bCs/>
          <w:color w:val="auto"/>
          <w:sz w:val="21"/>
          <w:szCs w:val="21"/>
          <w:highlight w:val="none"/>
          <w:u w:val="single"/>
        </w:rPr>
        <w:t>30</w:t>
      </w:r>
      <w:r>
        <w:rPr>
          <w:rFonts w:hint="eastAsia" w:asciiTheme="minorEastAsia" w:hAnsiTheme="minorEastAsia" w:eastAsiaTheme="minorEastAsia" w:cstheme="minorEastAsia"/>
          <w:b/>
          <w:bCs/>
          <w:color w:val="auto"/>
          <w:sz w:val="21"/>
          <w:szCs w:val="21"/>
          <w:highlight w:val="none"/>
        </w:rPr>
        <w:t>分（北京时间）</w:t>
      </w:r>
      <w:r>
        <w:rPr>
          <w:rFonts w:hint="eastAsia" w:asciiTheme="minorEastAsia" w:hAnsiTheme="minorEastAsia" w:eastAsiaTheme="minorEastAsia" w:cstheme="minorEastAsia"/>
          <w:color w:val="auto"/>
          <w:sz w:val="21"/>
          <w:szCs w:val="21"/>
          <w:highlight w:val="none"/>
        </w:rPr>
        <w:t>。</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（六）投标人须满足以下要件，其投标才被接受：</w:t>
      </w:r>
    </w:p>
    <w:p>
      <w:pPr>
        <w:snapToGrid w:val="0"/>
        <w:spacing w:line="360" w:lineRule="exact"/>
        <w:ind w:firstLine="525" w:firstLineChars="25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1、按时递交了投标文件；</w:t>
      </w:r>
    </w:p>
    <w:p>
      <w:pPr>
        <w:snapToGrid w:val="0"/>
        <w:spacing w:line="360" w:lineRule="exact"/>
        <w:ind w:firstLine="525" w:firstLineChars="25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2、按时签到；</w:t>
      </w:r>
    </w:p>
    <w:p>
      <w:pPr>
        <w:snapToGrid w:val="0"/>
        <w:spacing w:line="360" w:lineRule="exact"/>
        <w:ind w:firstLine="525" w:firstLineChars="25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3、按招标文件要求进行密封的投标文件。</w:t>
      </w:r>
    </w:p>
    <w:p>
      <w:pPr>
        <w:tabs>
          <w:tab w:val="left" w:pos="2370"/>
        </w:tabs>
        <w:snapToGrid w:val="0"/>
        <w:spacing w:line="360" w:lineRule="exact"/>
        <w:ind w:firstLine="420" w:firstLineChars="200"/>
        <w:rPr>
          <w:rFonts w:asciiTheme="minorEastAsia" w:hAnsiTheme="minorEastAsia" w:eastAsiaTheme="minorEastAsia" w:cstheme="minorEastAsia"/>
          <w:bCs/>
          <w:color w:val="auto"/>
          <w:sz w:val="21"/>
          <w:szCs w:val="21"/>
          <w:highlight w:val="none"/>
        </w:rPr>
      </w:pPr>
      <w:bookmarkStart w:id="44" w:name="_Toc465262481"/>
      <w:r>
        <w:rPr>
          <w:rFonts w:hint="eastAsia" w:asciiTheme="minorEastAsia" w:hAnsiTheme="minorEastAsia" w:eastAsiaTheme="minorEastAsia" w:cstheme="minorEastAsia"/>
          <w:bCs/>
          <w:color w:val="auto"/>
          <w:sz w:val="21"/>
          <w:szCs w:val="21"/>
          <w:highlight w:val="none"/>
        </w:rPr>
        <w:t>（七）</w:t>
      </w:r>
      <w:r>
        <w:rPr>
          <w:rFonts w:hint="eastAsia" w:asciiTheme="minorEastAsia" w:hAnsiTheme="minorEastAsia" w:eastAsiaTheme="minorEastAsia" w:cstheme="minorEastAsia"/>
          <w:bCs/>
          <w:color w:val="auto"/>
          <w:kern w:val="2"/>
          <w:sz w:val="21"/>
          <w:szCs w:val="21"/>
          <w:highlight w:val="none"/>
        </w:rPr>
        <w:t>投标地点：</w:t>
      </w:r>
      <w:r>
        <w:rPr>
          <w:rFonts w:hint="eastAsia" w:asciiTheme="minorEastAsia" w:hAnsiTheme="minorEastAsia" w:eastAsiaTheme="minorEastAsia" w:cstheme="minorEastAsia"/>
          <w:color w:val="auto"/>
          <w:kern w:val="2"/>
          <w:sz w:val="21"/>
          <w:szCs w:val="21"/>
          <w:highlight w:val="none"/>
        </w:rPr>
        <w:t>重庆市北碚区天生路2号西南大学文俊楼(南区行政楼)二楼采购与招投标管理中心开标1室（西南大学二号门内400米处）。</w:t>
      </w:r>
    </w:p>
    <w:p>
      <w:pPr>
        <w:tabs>
          <w:tab w:val="left" w:pos="2370"/>
        </w:tabs>
        <w:snapToGrid w:val="0"/>
        <w:spacing w:line="360" w:lineRule="exact"/>
        <w:ind w:firstLine="420" w:firstLineChars="200"/>
        <w:rPr>
          <w:rFonts w:asciiTheme="minorEastAsia" w:hAnsiTheme="minorEastAsia" w:eastAsiaTheme="minorEastAsia" w:cstheme="minorEastAsia"/>
          <w:bCs/>
          <w:color w:val="auto"/>
          <w:kern w:val="2"/>
          <w:sz w:val="21"/>
          <w:szCs w:val="21"/>
          <w:highlight w:val="none"/>
        </w:rPr>
      </w:pPr>
      <w:r>
        <w:rPr>
          <w:rFonts w:hint="eastAsia" w:asciiTheme="minorEastAsia" w:hAnsiTheme="minorEastAsia" w:eastAsiaTheme="minorEastAsia" w:cstheme="minorEastAsia"/>
          <w:bCs/>
          <w:color w:val="auto"/>
          <w:sz w:val="21"/>
          <w:szCs w:val="21"/>
          <w:highlight w:val="none"/>
        </w:rPr>
        <w:t>（八）</w:t>
      </w:r>
      <w:r>
        <w:rPr>
          <w:rFonts w:hint="eastAsia" w:asciiTheme="minorEastAsia" w:hAnsiTheme="minorEastAsia" w:eastAsiaTheme="minorEastAsia" w:cstheme="minorEastAsia"/>
          <w:bCs/>
          <w:color w:val="auto"/>
          <w:kern w:val="2"/>
          <w:sz w:val="21"/>
          <w:szCs w:val="21"/>
          <w:highlight w:val="none"/>
        </w:rPr>
        <w:t>开标地点：同投标地点</w:t>
      </w:r>
    </w:p>
    <w:p>
      <w:pPr>
        <w:pStyle w:val="3"/>
        <w:snapToGrid w:val="0"/>
        <w:spacing w:before="0" w:after="0" w:line="360" w:lineRule="exact"/>
        <w:ind w:left="0" w:firstLine="422" w:firstLineChars="200"/>
        <w:rPr>
          <w:rFonts w:ascii="宋体" w:hAnsi="宋体"/>
          <w:color w:val="auto"/>
          <w:sz w:val="21"/>
          <w:szCs w:val="21"/>
          <w:highlight w:val="none"/>
        </w:rPr>
      </w:pPr>
      <w:r>
        <w:rPr>
          <w:rFonts w:hint="eastAsia" w:ascii="宋体" w:hAnsi="宋体"/>
          <w:color w:val="auto"/>
          <w:sz w:val="21"/>
          <w:szCs w:val="21"/>
          <w:highlight w:val="none"/>
        </w:rPr>
        <w:t>五、投标保证金</w:t>
      </w:r>
      <w:bookmarkEnd w:id="44"/>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bookmarkStart w:id="45" w:name="_Toc523826308"/>
      <w:bookmarkStart w:id="46" w:name="_Toc516249119"/>
      <w:bookmarkStart w:id="47" w:name="_Toc516648291"/>
      <w:bookmarkStart w:id="48" w:name="_Toc465262482"/>
      <w:r>
        <w:rPr>
          <w:rFonts w:hint="eastAsia" w:asciiTheme="minorEastAsia" w:hAnsiTheme="minorEastAsia" w:eastAsiaTheme="minorEastAsia" w:cstheme="minorEastAsia"/>
          <w:color w:val="auto"/>
          <w:kern w:val="2"/>
          <w:sz w:val="21"/>
          <w:szCs w:val="21"/>
          <w:highlight w:val="none"/>
        </w:rPr>
        <w:t>本项目不收取投标（响应）保证金，但投标人若存在以下情形的，将被列为西南大学失信行为人名单，视情节轻重，禁止失信行为人及其关联方3至5年内参加西南大学政府采购限额标准以下的任何采购项目：</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（一）在投标（响应）有效期内撤回投标（响应）文件的；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（二）无正当理由放弃中标（成交）资格的；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（三）不按规定提交履约担保或低价风险担保（如有）的；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（四）非不可抗力原因，拒不签订采购合同的；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（五）合同签订后拒绝履行合同义务的；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（六）弄虚作假，提供虚假材料的；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（七）存在围标、串标等违法行为的；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（八）其他严重扰乱采购程序的。</w:t>
      </w:r>
      <w:r>
        <w:rPr>
          <w:rFonts w:hint="eastAsia" w:asciiTheme="minorEastAsia" w:hAnsiTheme="minorEastAsia" w:eastAsiaTheme="minorEastAsia" w:cstheme="minorEastAsia"/>
          <w:color w:val="auto"/>
          <w:kern w:val="2"/>
          <w:sz w:val="21"/>
          <w:szCs w:val="21"/>
          <w:highlight w:val="none"/>
        </w:rPr>
        <w:br w:type="textWrapping"/>
      </w:r>
      <w:r>
        <w:rPr>
          <w:rFonts w:hint="eastAsia" w:asciiTheme="minorEastAsia" w:hAnsiTheme="minorEastAsia" w:eastAsiaTheme="minorEastAsia" w:cstheme="minorEastAsia"/>
          <w:color w:val="auto"/>
          <w:kern w:val="2"/>
          <w:sz w:val="21"/>
          <w:szCs w:val="21"/>
          <w:highlight w:val="none"/>
        </w:rPr>
        <w:t xml:space="preserve">    上述关联方是指单位负责人为同一人或存在直接控股、关联关系的不同供应商。</w:t>
      </w:r>
    </w:p>
    <w:p>
      <w:pPr>
        <w:pStyle w:val="3"/>
        <w:snapToGrid w:val="0"/>
        <w:spacing w:before="0" w:after="0" w:line="360" w:lineRule="exact"/>
        <w:ind w:left="0" w:firstLine="422" w:firstLineChars="200"/>
        <w:rPr>
          <w:rFonts w:ascii="宋体" w:hAnsi="宋体"/>
          <w:color w:val="auto"/>
          <w:sz w:val="21"/>
          <w:szCs w:val="21"/>
          <w:highlight w:val="none"/>
        </w:rPr>
      </w:pPr>
      <w:r>
        <w:rPr>
          <w:rFonts w:ascii="宋体" w:hAnsi="宋体"/>
          <w:color w:val="auto"/>
          <w:sz w:val="21"/>
          <w:szCs w:val="21"/>
          <w:highlight w:val="none"/>
        </w:rPr>
        <w:t>六、采购项目需落实的政府采购政策</w:t>
      </w:r>
    </w:p>
    <w:p>
      <w:pPr>
        <w:snapToGrid w:val="0"/>
        <w:spacing w:line="360" w:lineRule="exact"/>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spacing w:line="360" w:lineRule="exact"/>
        <w:ind w:firstLine="420" w:firstLineChars="200"/>
        <w:jc w:val="both"/>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二</w:t>
      </w:r>
      <w:r>
        <w:rPr>
          <w:rFonts w:ascii="宋体" w:hAnsi="宋体"/>
          <w:color w:val="auto"/>
          <w:sz w:val="21"/>
          <w:szCs w:val="21"/>
          <w:highlight w:val="none"/>
        </w:rPr>
        <w:t>）按照&lt;财政部 工业和信息化部关于印发《</w:t>
      </w:r>
      <w:r>
        <w:rPr>
          <w:rFonts w:hint="eastAsia" w:ascii="宋体" w:hAnsi="宋体"/>
          <w:color w:val="auto"/>
          <w:sz w:val="21"/>
          <w:szCs w:val="21"/>
          <w:highlight w:val="none"/>
        </w:rPr>
        <w:t>政府采购促进中小企业发展管理办法</w:t>
      </w:r>
      <w:r>
        <w:rPr>
          <w:rFonts w:ascii="宋体" w:hAnsi="宋体"/>
          <w:color w:val="auto"/>
          <w:sz w:val="21"/>
          <w:szCs w:val="21"/>
          <w:highlight w:val="none"/>
        </w:rPr>
        <w:t>》的通知&gt;（财库〔</w:t>
      </w:r>
      <w:r>
        <w:rPr>
          <w:rFonts w:hint="eastAsia" w:ascii="宋体" w:hAnsi="宋体"/>
          <w:color w:val="auto"/>
          <w:sz w:val="21"/>
          <w:szCs w:val="21"/>
          <w:highlight w:val="none"/>
        </w:rPr>
        <w:t>2020</w:t>
      </w:r>
      <w:r>
        <w:rPr>
          <w:rFonts w:ascii="宋体" w:hAnsi="宋体"/>
          <w:color w:val="auto"/>
          <w:sz w:val="21"/>
          <w:szCs w:val="21"/>
          <w:highlight w:val="none"/>
        </w:rPr>
        <w:t>〕</w:t>
      </w:r>
      <w:r>
        <w:rPr>
          <w:rFonts w:hint="eastAsia" w:ascii="宋体" w:hAnsi="宋体"/>
          <w:color w:val="auto"/>
          <w:sz w:val="21"/>
          <w:szCs w:val="21"/>
          <w:highlight w:val="none"/>
        </w:rPr>
        <w:t>46</w:t>
      </w:r>
      <w:r>
        <w:rPr>
          <w:rFonts w:ascii="宋体" w:hAnsi="宋体"/>
          <w:color w:val="auto"/>
          <w:sz w:val="21"/>
          <w:szCs w:val="21"/>
          <w:highlight w:val="none"/>
        </w:rPr>
        <w:t>号）</w:t>
      </w:r>
      <w:r>
        <w:rPr>
          <w:rFonts w:hint="eastAsia" w:ascii="宋体" w:hAnsi="宋体"/>
          <w:color w:val="auto"/>
          <w:kern w:val="2"/>
          <w:sz w:val="21"/>
          <w:szCs w:val="21"/>
          <w:highlight w:val="none"/>
        </w:rPr>
        <w:t>和财库（2</w:t>
      </w:r>
      <w:r>
        <w:rPr>
          <w:rFonts w:ascii="宋体" w:hAnsi="宋体"/>
          <w:color w:val="auto"/>
          <w:kern w:val="2"/>
          <w:sz w:val="21"/>
          <w:szCs w:val="21"/>
          <w:highlight w:val="none"/>
        </w:rPr>
        <w:t>022</w:t>
      </w:r>
      <w:r>
        <w:rPr>
          <w:rFonts w:hint="eastAsia" w:ascii="宋体" w:hAnsi="宋体"/>
          <w:color w:val="auto"/>
          <w:kern w:val="2"/>
          <w:sz w:val="21"/>
          <w:szCs w:val="21"/>
          <w:highlight w:val="none"/>
        </w:rPr>
        <w:t>）1</w:t>
      </w:r>
      <w:r>
        <w:rPr>
          <w:rFonts w:ascii="宋体" w:hAnsi="宋体"/>
          <w:color w:val="auto"/>
          <w:kern w:val="2"/>
          <w:sz w:val="21"/>
          <w:szCs w:val="21"/>
          <w:highlight w:val="none"/>
        </w:rPr>
        <w:t>9</w:t>
      </w:r>
      <w:r>
        <w:rPr>
          <w:rFonts w:hint="eastAsia" w:ascii="宋体" w:hAnsi="宋体"/>
          <w:color w:val="auto"/>
          <w:kern w:val="2"/>
          <w:sz w:val="21"/>
          <w:szCs w:val="21"/>
          <w:highlight w:val="none"/>
        </w:rPr>
        <w:t>号</w:t>
      </w:r>
      <w:r>
        <w:rPr>
          <w:rFonts w:ascii="宋体" w:hAnsi="宋体"/>
          <w:color w:val="auto"/>
          <w:sz w:val="21"/>
          <w:szCs w:val="21"/>
          <w:highlight w:val="none"/>
        </w:rPr>
        <w:t>的规定，落实促进中小企业发展政策。</w:t>
      </w:r>
    </w:p>
    <w:p>
      <w:pPr>
        <w:snapToGrid w:val="0"/>
        <w:spacing w:line="360" w:lineRule="exact"/>
        <w:ind w:firstLine="420" w:firstLineChars="200"/>
        <w:jc w:val="both"/>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三</w:t>
      </w:r>
      <w:r>
        <w:rPr>
          <w:rFonts w:ascii="宋体" w:hAnsi="宋体"/>
          <w:color w:val="auto"/>
          <w:sz w:val="21"/>
          <w:szCs w:val="21"/>
          <w:highlight w:val="none"/>
        </w:rPr>
        <w:t>）按照&lt;财政部、司法部关于政府采购支持监狱企业发展有关问题的通知&gt;（财库〔2014〕68号）的规定，落实支持监狱企业发展政策。</w:t>
      </w:r>
    </w:p>
    <w:p>
      <w:pPr>
        <w:snapToGrid w:val="0"/>
        <w:spacing w:line="360" w:lineRule="exact"/>
        <w:ind w:firstLine="420" w:firstLineChars="200"/>
        <w:jc w:val="both"/>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四</w:t>
      </w:r>
      <w:r>
        <w:rPr>
          <w:rFonts w:ascii="宋体" w:hAnsi="宋体"/>
          <w:color w:val="auto"/>
          <w:sz w:val="21"/>
          <w:szCs w:val="21"/>
          <w:highlight w:val="none"/>
        </w:rPr>
        <w:t>）按照《三部门联合发布关于促进残疾人就业政府采购政策的通知》（财库〔2017〕 141号）的规定，落实支持残疾人福利性单位发展政策。</w:t>
      </w:r>
    </w:p>
    <w:p>
      <w:pPr>
        <w:pStyle w:val="3"/>
        <w:snapToGrid w:val="0"/>
        <w:spacing w:before="0" w:after="0" w:line="360" w:lineRule="exact"/>
        <w:ind w:left="0"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七、</w:t>
      </w:r>
      <w:bookmarkEnd w:id="45"/>
      <w:bookmarkEnd w:id="46"/>
      <w:bookmarkEnd w:id="47"/>
      <w:bookmarkStart w:id="49" w:name="_Toc523826309"/>
      <w:bookmarkStart w:id="50" w:name="_Toc516648292"/>
      <w:bookmarkStart w:id="51" w:name="_Toc516249120"/>
      <w:r>
        <w:rPr>
          <w:rFonts w:hint="eastAsia" w:asciiTheme="minorEastAsia" w:hAnsiTheme="minorEastAsia" w:eastAsiaTheme="minorEastAsia" w:cstheme="minorEastAsia"/>
          <w:color w:val="auto"/>
          <w:sz w:val="21"/>
          <w:szCs w:val="21"/>
          <w:highlight w:val="none"/>
        </w:rPr>
        <w:t>投标有关规定</w:t>
      </w:r>
      <w:bookmarkEnd w:id="49"/>
      <w:bookmarkEnd w:id="50"/>
      <w:bookmarkEnd w:id="51"/>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（一）法定代表人为同一个人的两个及两个以上单位，母公司、全资子公司及其控股公司，不得对同一分包同时进行投标。 </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（二）单位负责人为同一人或者存在直接控股、管理关系的不同投标人，不得参加同一合同项（分包）下的政府采购活动。</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（三）为采购项目提供整体设计、规范编制或者项目管理、监理、检测等服务的投标人，不得再参加该采购项目的其他采购活动。</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（四）投标人不得向采购人/西南大学提供赠品、回扣或者与采购无关的其他商品、服务，一经发现，其投标人资格将被取消。</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（五）超过投标截止时间递交的投标文件，恕不接收。</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（六）投标费用：无论投标结果如何，投标人参与本项目投标的所有费用均应由投标人自行承担。采购人/采购组织机构/采购代理机构在任何情况下无义务也无责任承担这些费用。</w:t>
      </w:r>
    </w:p>
    <w:p>
      <w:pPr>
        <w:snapToGrid w:val="0"/>
        <w:spacing w:line="360" w:lineRule="exact"/>
        <w:ind w:firstLine="211" w:firstLineChars="1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（七）本项目不接受联合体投标。</w:t>
      </w:r>
    </w:p>
    <w:p>
      <w:pPr>
        <w:tabs>
          <w:tab w:val="left" w:pos="2370"/>
        </w:tabs>
        <w:spacing w:line="360" w:lineRule="exact"/>
        <w:ind w:firstLine="210" w:firstLineChars="1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（八）</w:t>
      </w:r>
      <w:bookmarkStart w:id="52" w:name="OLE_LINK1"/>
      <w:r>
        <w:rPr>
          <w:rFonts w:hint="eastAsia" w:asciiTheme="minorEastAsia" w:hAnsiTheme="minorEastAsia" w:eastAsiaTheme="minorEastAsia" w:cstheme="minorEastAsia"/>
          <w:color w:val="auto"/>
          <w:sz w:val="21"/>
          <w:szCs w:val="21"/>
          <w:highlight w:val="none"/>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52"/>
      <w:r>
        <w:rPr>
          <w:rFonts w:hint="eastAsia" w:asciiTheme="minorEastAsia" w:hAnsiTheme="minorEastAsia" w:eastAsiaTheme="minorEastAsia" w:cstheme="minorEastAsia"/>
          <w:color w:val="auto"/>
          <w:sz w:val="21"/>
          <w:szCs w:val="21"/>
          <w:highlight w:val="none"/>
        </w:rPr>
        <w:t>投标人，将拒绝其参与政府采购活动。</w:t>
      </w:r>
      <w:bookmarkStart w:id="53" w:name="_Toc446505900"/>
      <w:bookmarkStart w:id="54" w:name="_Toc480788291"/>
    </w:p>
    <w:p>
      <w:pPr>
        <w:tabs>
          <w:tab w:val="left" w:pos="2370"/>
        </w:tabs>
        <w:spacing w:line="360" w:lineRule="exact"/>
        <w:ind w:firstLine="210" w:firstLineChars="100"/>
        <w:jc w:val="both"/>
        <w:rPr>
          <w:rFonts w:ascii="黑体" w:hAnsi="黑体" w:cs="黑体"/>
          <w:color w:val="auto"/>
          <w:sz w:val="21"/>
          <w:szCs w:val="21"/>
          <w:highlight w:val="none"/>
        </w:rPr>
      </w:pPr>
      <w:r>
        <w:rPr>
          <w:rFonts w:hint="eastAsia" w:asciiTheme="minorEastAsia" w:hAnsiTheme="minorEastAsia" w:eastAsiaTheme="minorEastAsia" w:cstheme="minorEastAsia"/>
          <w:color w:val="auto"/>
          <w:sz w:val="21"/>
          <w:szCs w:val="21"/>
          <w:highlight w:val="none"/>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pPr>
        <w:pStyle w:val="3"/>
        <w:snapToGrid w:val="0"/>
        <w:spacing w:before="0" w:after="0" w:line="360" w:lineRule="exact"/>
        <w:ind w:left="0"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八、</w:t>
      </w:r>
      <w:bookmarkEnd w:id="53"/>
      <w:bookmarkEnd w:id="54"/>
      <w:bookmarkStart w:id="55" w:name="_Toc500253676"/>
      <w:bookmarkStart w:id="56" w:name="_Toc523826310"/>
      <w:bookmarkStart w:id="57" w:name="_Toc516249121"/>
      <w:bookmarkStart w:id="58" w:name="_Toc516648293"/>
      <w:r>
        <w:rPr>
          <w:rFonts w:hint="eastAsia" w:asciiTheme="minorEastAsia" w:hAnsiTheme="minorEastAsia" w:eastAsiaTheme="minorEastAsia" w:cstheme="minorEastAsia"/>
          <w:color w:val="auto"/>
          <w:sz w:val="21"/>
          <w:szCs w:val="21"/>
          <w:highlight w:val="none"/>
        </w:rPr>
        <w:t>发布公告的媒介</w:t>
      </w:r>
      <w:bookmarkEnd w:id="55"/>
      <w:bookmarkEnd w:id="56"/>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bookmarkStart w:id="59" w:name="_Toc519427126"/>
      <w:r>
        <w:rPr>
          <w:rFonts w:hint="eastAsia" w:asciiTheme="minorEastAsia" w:hAnsiTheme="minorEastAsia" w:eastAsiaTheme="minorEastAsia" w:cstheme="minorEastAsia"/>
          <w:color w:val="auto"/>
          <w:sz w:val="21"/>
          <w:szCs w:val="21"/>
          <w:highlight w:val="none"/>
        </w:rPr>
        <w:t>本项目招标公告将在</w:t>
      </w:r>
      <w:r>
        <w:rPr>
          <w:rFonts w:hint="eastAsia" w:asciiTheme="minorEastAsia" w:hAnsiTheme="minorEastAsia" w:eastAsiaTheme="minorEastAsia" w:cstheme="minorEastAsia"/>
          <w:color w:val="auto"/>
          <w:kern w:val="2"/>
          <w:sz w:val="21"/>
          <w:szCs w:val="21"/>
          <w:highlight w:val="none"/>
        </w:rPr>
        <w:t>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heme="minorEastAsia" w:hAnsiTheme="minorEastAsia" w:eastAsiaTheme="minorEastAsia" w:cstheme="minorEastAsia"/>
          <w:color w:val="auto"/>
          <w:kern w:val="2"/>
          <w:sz w:val="21"/>
          <w:szCs w:val="21"/>
          <w:highlight w:val="none"/>
        </w:rPr>
        <w:t>http://www.ccgp.gov.cn</w:t>
      </w:r>
      <w:r>
        <w:rPr>
          <w:rFonts w:hint="eastAsia" w:asciiTheme="minorEastAsia" w:hAnsiTheme="minorEastAsia" w:eastAsiaTheme="minorEastAsia" w:cstheme="minorEastAsia"/>
          <w:color w:val="auto"/>
          <w:kern w:val="2"/>
          <w:sz w:val="21"/>
          <w:szCs w:val="21"/>
          <w:highlight w:val="none"/>
        </w:rPr>
        <w:fldChar w:fldCharType="end"/>
      </w:r>
      <w:r>
        <w:rPr>
          <w:rFonts w:hint="eastAsia" w:asciiTheme="minorEastAsia" w:hAnsiTheme="minorEastAsia" w:eastAsiaTheme="minorEastAsia" w:cstheme="minorEastAsia"/>
          <w:color w:val="auto"/>
          <w:kern w:val="2"/>
          <w:sz w:val="21"/>
          <w:szCs w:val="21"/>
          <w:highlight w:val="none"/>
        </w:rPr>
        <w:t>）和西南大学采购与招投标管理中心网页（https://ecaigou.swu.edu.cn:30910/bid/index?redirect=%2F）</w:t>
      </w:r>
      <w:r>
        <w:rPr>
          <w:rFonts w:hint="eastAsia" w:asciiTheme="minorEastAsia" w:hAnsiTheme="minorEastAsia" w:eastAsiaTheme="minorEastAsia" w:cstheme="minorEastAsia"/>
          <w:color w:val="auto"/>
          <w:sz w:val="21"/>
          <w:szCs w:val="21"/>
          <w:highlight w:val="none"/>
        </w:rPr>
        <w:t>上同时发布。</w:t>
      </w:r>
      <w:bookmarkEnd w:id="59"/>
    </w:p>
    <w:p>
      <w:pPr>
        <w:pStyle w:val="3"/>
        <w:snapToGrid w:val="0"/>
        <w:spacing w:before="0" w:after="0" w:line="360" w:lineRule="exact"/>
        <w:ind w:left="0" w:firstLine="422" w:firstLineChars="200"/>
        <w:rPr>
          <w:rFonts w:asciiTheme="minorEastAsia" w:hAnsiTheme="minorEastAsia" w:eastAsiaTheme="minorEastAsia" w:cstheme="minorEastAsia"/>
          <w:color w:val="auto"/>
          <w:sz w:val="21"/>
          <w:szCs w:val="21"/>
          <w:highlight w:val="none"/>
        </w:rPr>
      </w:pPr>
      <w:bookmarkStart w:id="60" w:name="_Toc523826311"/>
      <w:r>
        <w:rPr>
          <w:rFonts w:hint="eastAsia" w:asciiTheme="minorEastAsia" w:hAnsiTheme="minorEastAsia" w:eastAsiaTheme="minorEastAsia" w:cstheme="minorEastAsia"/>
          <w:color w:val="auto"/>
          <w:sz w:val="21"/>
          <w:szCs w:val="21"/>
          <w:highlight w:val="none"/>
        </w:rPr>
        <w:t>九、联系方式</w:t>
      </w:r>
      <w:bookmarkEnd w:id="57"/>
      <w:bookmarkEnd w:id="58"/>
      <w:bookmarkEnd w:id="60"/>
    </w:p>
    <w:p>
      <w:pPr>
        <w:spacing w:line="40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（一）采购人：</w:t>
      </w:r>
      <w:r>
        <w:rPr>
          <w:rFonts w:hint="eastAsia" w:asciiTheme="minorEastAsia" w:hAnsiTheme="minorEastAsia" w:eastAsiaTheme="minorEastAsia" w:cstheme="minorEastAsia"/>
          <w:color w:val="auto"/>
          <w:sz w:val="21"/>
          <w:highlight w:val="none"/>
        </w:rPr>
        <w:t>西南大学</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（二）采购组织机构：西南大学采购与招投标管理中心</w:t>
      </w:r>
    </w:p>
    <w:p>
      <w:pPr>
        <w:snapToGrid w:val="0"/>
        <w:spacing w:line="360" w:lineRule="exact"/>
        <w:ind w:firstLine="840" w:firstLineChars="4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联系人：</w:t>
      </w:r>
      <w:r>
        <w:rPr>
          <w:rFonts w:hint="eastAsia" w:ascii="宋体" w:hAnsi="宋体" w:eastAsiaTheme="minorEastAsia"/>
          <w:color w:val="auto"/>
          <w:sz w:val="21"/>
          <w:szCs w:val="21"/>
          <w:highlight w:val="none"/>
          <w:lang w:val="en-US" w:eastAsia="zh-CN"/>
        </w:rPr>
        <w:t>柳</w:t>
      </w:r>
      <w:r>
        <w:rPr>
          <w:rFonts w:hint="eastAsia" w:ascii="宋体" w:hAnsi="宋体"/>
          <w:color w:val="auto"/>
          <w:sz w:val="21"/>
          <w:szCs w:val="21"/>
          <w:highlight w:val="none"/>
        </w:rPr>
        <w:t>老师</w:t>
      </w:r>
      <w:r>
        <w:rPr>
          <w:rFonts w:hint="eastAsia" w:asciiTheme="minorEastAsia" w:hAnsiTheme="minorEastAsia" w:eastAsiaTheme="minorEastAsia" w:cstheme="minorEastAsia"/>
          <w:color w:val="auto"/>
          <w:sz w:val="21"/>
          <w:szCs w:val="21"/>
          <w:highlight w:val="none"/>
        </w:rPr>
        <w:t xml:space="preserve">   袁老师</w:t>
      </w:r>
    </w:p>
    <w:p>
      <w:pPr>
        <w:snapToGrid w:val="0"/>
        <w:spacing w:line="360" w:lineRule="exact"/>
        <w:ind w:firstLine="844" w:firstLineChars="4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  话：</w:t>
      </w:r>
      <w:r>
        <w:rPr>
          <w:rFonts w:hint="eastAsia" w:ascii="宋体" w:hAnsi="宋体" w:eastAsiaTheme="minorEastAsia"/>
          <w:color w:val="auto"/>
          <w:sz w:val="21"/>
          <w:szCs w:val="21"/>
          <w:highlight w:val="none"/>
          <w:lang w:val="en-US" w:eastAsia="zh-CN"/>
        </w:rPr>
        <w:t xml:space="preserve">023-68250945  </w:t>
      </w:r>
      <w:r>
        <w:rPr>
          <w:rFonts w:hint="eastAsia" w:asciiTheme="minorEastAsia" w:hAnsiTheme="minorEastAsia" w:eastAsiaTheme="minorEastAsia" w:cstheme="minorEastAsia"/>
          <w:color w:val="auto"/>
          <w:sz w:val="21"/>
          <w:szCs w:val="21"/>
          <w:highlight w:val="none"/>
        </w:rPr>
        <w:t xml:space="preserve"> 023-68252007</w:t>
      </w:r>
      <w:r>
        <w:rPr>
          <w:rFonts w:hint="eastAsia" w:ascii="宋体" w:hAnsi="宋体" w:eastAsiaTheme="minorEastAsia"/>
          <w:color w:val="auto"/>
          <w:sz w:val="21"/>
          <w:szCs w:val="21"/>
          <w:highlight w:val="none"/>
          <w:lang w:val="en-US" w:eastAsia="zh-CN"/>
        </w:rPr>
        <w:t xml:space="preserve"> </w:t>
      </w:r>
      <w:r>
        <w:rPr>
          <w:rFonts w:hint="eastAsia" w:ascii="宋体" w:hAnsi="宋体"/>
          <w:color w:val="auto"/>
          <w:sz w:val="21"/>
          <w:szCs w:val="21"/>
          <w:highlight w:val="none"/>
        </w:rPr>
        <w:t xml:space="preserve"> </w:t>
      </w:r>
    </w:p>
    <w:p>
      <w:pPr>
        <w:snapToGrid w:val="0"/>
        <w:spacing w:line="360" w:lineRule="exact"/>
        <w:ind w:firstLine="844" w:firstLineChars="4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  址：重庆市北碚区天生路2号</w:t>
      </w:r>
    </w:p>
    <w:p>
      <w:pPr>
        <w:snapToGrid w:val="0"/>
        <w:spacing w:line="360" w:lineRule="exact"/>
        <w:ind w:firstLine="840" w:firstLineChars="4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位  置：西南大学2号门内进入直行约400米，南区文俊楼（南区行政楼）二楼右侧。</w:t>
      </w:r>
    </w:p>
    <w:p>
      <w:pPr>
        <w:snapToGrid w:val="0"/>
        <w:spacing w:line="360" w:lineRule="exact"/>
        <w:ind w:firstLine="210" w:firstLineChars="100"/>
        <w:rPr>
          <w:rFonts w:ascii="宋体" w:hAnsi="宋体"/>
          <w:color w:val="auto"/>
          <w:sz w:val="21"/>
          <w:szCs w:val="21"/>
          <w:highlight w:val="none"/>
        </w:rPr>
      </w:pPr>
      <w:r>
        <w:rPr>
          <w:rFonts w:hint="eastAsia" w:asciiTheme="minorEastAsia" w:hAnsiTheme="minorEastAsia" w:eastAsiaTheme="minorEastAsia" w:cstheme="minorEastAsia"/>
          <w:color w:val="auto"/>
          <w:sz w:val="21"/>
          <w:szCs w:val="21"/>
          <w:highlight w:val="none"/>
        </w:rPr>
        <w:t>（三）</w:t>
      </w:r>
      <w:r>
        <w:rPr>
          <w:rFonts w:ascii="宋体" w:hAnsi="宋体"/>
          <w:color w:val="auto"/>
          <w:sz w:val="21"/>
          <w:szCs w:val="21"/>
          <w:highlight w:val="none"/>
        </w:rPr>
        <w:t>采购代理机构：</w:t>
      </w:r>
      <w:r>
        <w:rPr>
          <w:rFonts w:hint="eastAsia" w:ascii="宋体" w:hAnsi="宋体"/>
          <w:color w:val="auto"/>
          <w:sz w:val="21"/>
          <w:szCs w:val="21"/>
          <w:highlight w:val="none"/>
        </w:rPr>
        <w:t>中招国际招标有限公司重庆分公司</w:t>
      </w:r>
    </w:p>
    <w:p>
      <w:pPr>
        <w:snapToGrid w:val="0"/>
        <w:spacing w:line="360" w:lineRule="exact"/>
        <w:ind w:firstLine="844" w:firstLineChars="402"/>
        <w:rPr>
          <w:rFonts w:ascii="宋体" w:hAnsi="宋体"/>
          <w:color w:val="auto"/>
          <w:sz w:val="21"/>
          <w:szCs w:val="21"/>
          <w:highlight w:val="none"/>
        </w:rPr>
      </w:pPr>
      <w:r>
        <w:rPr>
          <w:rFonts w:ascii="宋体" w:hAnsi="宋体"/>
          <w:color w:val="auto"/>
          <w:sz w:val="21"/>
          <w:szCs w:val="21"/>
          <w:highlight w:val="none"/>
        </w:rPr>
        <w:t>联系人：</w:t>
      </w:r>
      <w:r>
        <w:rPr>
          <w:rFonts w:hint="eastAsia" w:ascii="宋体" w:hAnsi="宋体"/>
          <w:color w:val="auto"/>
          <w:sz w:val="21"/>
          <w:szCs w:val="21"/>
          <w:highlight w:val="none"/>
        </w:rPr>
        <w:t>秦佑琼、雷九红</w:t>
      </w:r>
    </w:p>
    <w:p>
      <w:pPr>
        <w:snapToGrid w:val="0"/>
        <w:spacing w:line="360" w:lineRule="exact"/>
        <w:ind w:firstLine="844" w:firstLineChars="402"/>
        <w:rPr>
          <w:rFonts w:ascii="宋体" w:hAnsi="宋体"/>
          <w:color w:val="auto"/>
          <w:sz w:val="21"/>
          <w:szCs w:val="21"/>
          <w:highlight w:val="none"/>
        </w:rPr>
      </w:pPr>
      <w:r>
        <w:rPr>
          <w:rFonts w:ascii="宋体" w:hAnsi="宋体"/>
          <w:color w:val="auto"/>
          <w:sz w:val="21"/>
          <w:szCs w:val="21"/>
          <w:highlight w:val="none"/>
        </w:rPr>
        <w:t>电  话：</w:t>
      </w:r>
      <w:r>
        <w:rPr>
          <w:rFonts w:hint="eastAsia" w:ascii="宋体" w:hAnsi="宋体"/>
          <w:color w:val="auto"/>
          <w:sz w:val="21"/>
          <w:szCs w:val="21"/>
          <w:highlight w:val="none"/>
        </w:rPr>
        <w:t>023-68881331</w:t>
      </w:r>
      <w:r>
        <w:rPr>
          <w:rFonts w:ascii="宋体" w:hAnsi="宋体"/>
          <w:color w:val="auto"/>
          <w:sz w:val="21"/>
          <w:szCs w:val="21"/>
          <w:highlight w:val="none"/>
        </w:rPr>
        <w:t>-90</w:t>
      </w:r>
      <w:r>
        <w:rPr>
          <w:rFonts w:hint="eastAsia" w:ascii="宋体" w:hAnsi="宋体"/>
          <w:color w:val="auto"/>
          <w:sz w:val="21"/>
          <w:szCs w:val="21"/>
          <w:highlight w:val="none"/>
        </w:rPr>
        <w:t>71、18502305170</w:t>
      </w:r>
    </w:p>
    <w:p>
      <w:pPr>
        <w:snapToGrid w:val="0"/>
        <w:spacing w:line="360" w:lineRule="exact"/>
        <w:ind w:firstLine="844" w:firstLineChars="402"/>
        <w:rPr>
          <w:rFonts w:ascii="宋体" w:hAnsi="宋体"/>
          <w:color w:val="auto"/>
          <w:sz w:val="21"/>
          <w:szCs w:val="21"/>
          <w:highlight w:val="none"/>
        </w:rPr>
      </w:pPr>
      <w:r>
        <w:rPr>
          <w:rFonts w:ascii="宋体" w:hAnsi="宋体"/>
          <w:color w:val="auto"/>
          <w:sz w:val="21"/>
          <w:szCs w:val="21"/>
          <w:highlight w:val="none"/>
        </w:rPr>
        <w:t>传  真：</w:t>
      </w:r>
      <w:r>
        <w:rPr>
          <w:rFonts w:hint="eastAsia" w:ascii="宋体" w:hAnsi="宋体"/>
          <w:color w:val="auto"/>
          <w:sz w:val="21"/>
          <w:szCs w:val="21"/>
          <w:highlight w:val="none"/>
        </w:rPr>
        <w:t>023-68696636</w:t>
      </w:r>
    </w:p>
    <w:p>
      <w:pPr>
        <w:spacing w:line="400" w:lineRule="exact"/>
        <w:ind w:firstLine="840" w:firstLineChars="400"/>
        <w:rPr>
          <w:rFonts w:asciiTheme="minorEastAsia" w:hAnsiTheme="minorEastAsia" w:eastAsiaTheme="minorEastAsia" w:cstheme="minorEastAsia"/>
          <w:color w:val="auto"/>
          <w:sz w:val="21"/>
          <w:szCs w:val="21"/>
          <w:highlight w:val="none"/>
        </w:rPr>
      </w:pPr>
      <w:r>
        <w:rPr>
          <w:rFonts w:ascii="宋体" w:hAnsi="宋体"/>
          <w:color w:val="auto"/>
          <w:sz w:val="21"/>
          <w:szCs w:val="21"/>
          <w:highlight w:val="none"/>
        </w:rPr>
        <w:t>地  址：</w:t>
      </w:r>
      <w:r>
        <w:rPr>
          <w:rFonts w:hint="eastAsia" w:ascii="宋体" w:hAnsi="宋体"/>
          <w:color w:val="auto"/>
          <w:sz w:val="21"/>
          <w:szCs w:val="21"/>
          <w:highlight w:val="none"/>
        </w:rPr>
        <w:t>重庆市渝北区黄山大道中段5</w:t>
      </w:r>
      <w:r>
        <w:rPr>
          <w:rFonts w:ascii="宋体" w:hAnsi="宋体"/>
          <w:color w:val="auto"/>
          <w:sz w:val="21"/>
          <w:szCs w:val="21"/>
          <w:highlight w:val="none"/>
        </w:rPr>
        <w:t>3</w:t>
      </w:r>
      <w:r>
        <w:rPr>
          <w:rFonts w:hint="eastAsia" w:ascii="宋体" w:hAnsi="宋体"/>
          <w:color w:val="auto"/>
          <w:sz w:val="21"/>
          <w:szCs w:val="21"/>
          <w:highlight w:val="none"/>
        </w:rPr>
        <w:t>号5</w:t>
      </w:r>
      <w:r>
        <w:rPr>
          <w:rFonts w:ascii="宋体" w:hAnsi="宋体"/>
          <w:color w:val="auto"/>
          <w:sz w:val="21"/>
          <w:szCs w:val="21"/>
          <w:highlight w:val="none"/>
        </w:rPr>
        <w:t>-1</w:t>
      </w:r>
      <w:r>
        <w:rPr>
          <w:rFonts w:hint="eastAsia" w:ascii="宋体" w:hAnsi="宋体"/>
          <w:color w:val="auto"/>
          <w:sz w:val="21"/>
          <w:szCs w:val="21"/>
          <w:highlight w:val="none"/>
        </w:rPr>
        <w:t>（双鱼A座5楼）</w:t>
      </w:r>
    </w:p>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（四）技术交流人：</w:t>
      </w:r>
      <w:r>
        <w:rPr>
          <w:rFonts w:hint="eastAsia" w:asciiTheme="minorEastAsia" w:hAnsiTheme="minorEastAsia" w:eastAsiaTheme="minorEastAsia" w:cstheme="minorEastAsia"/>
          <w:color w:val="auto"/>
          <w:sz w:val="21"/>
          <w:szCs w:val="21"/>
          <w:highlight w:val="none"/>
          <w:lang w:val="en-US" w:eastAsia="zh-CN"/>
        </w:rPr>
        <w:t>张</w:t>
      </w:r>
      <w:r>
        <w:rPr>
          <w:rFonts w:hint="eastAsia" w:asciiTheme="minorEastAsia" w:hAnsiTheme="minorEastAsia" w:eastAsiaTheme="minorEastAsia" w:cstheme="minorEastAsia"/>
          <w:color w:val="auto"/>
          <w:sz w:val="21"/>
          <w:szCs w:val="21"/>
          <w:highlight w:val="none"/>
        </w:rPr>
        <w:t xml:space="preserve">老师   </w:t>
      </w:r>
    </w:p>
    <w:p>
      <w:pPr>
        <w:snapToGrid w:val="0"/>
        <w:spacing w:line="360" w:lineRule="exact"/>
        <w:ind w:firstLine="1050" w:firstLineChars="50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电   话：</w:t>
      </w:r>
      <w:r>
        <w:rPr>
          <w:rFonts w:hint="eastAsia" w:asciiTheme="minorEastAsia" w:hAnsiTheme="minorEastAsia" w:eastAsiaTheme="minorEastAsia" w:cstheme="minorEastAsia"/>
          <w:color w:val="auto"/>
          <w:sz w:val="21"/>
          <w:szCs w:val="21"/>
          <w:highlight w:val="none"/>
          <w:lang w:val="en-US" w:eastAsia="zh-CN"/>
        </w:rPr>
        <w:t>13752930198</w:t>
      </w:r>
    </w:p>
    <w:p>
      <w:pPr>
        <w:snapToGrid w:val="0"/>
        <w:spacing w:line="360" w:lineRule="exact"/>
        <w:ind w:left="839" w:leftChars="87" w:hanging="630" w:hangingChars="3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（五）询问、质疑受理人：杨老师</w:t>
      </w:r>
      <w:r>
        <w:rPr>
          <w:rFonts w:hint="eastAsia" w:asciiTheme="minorEastAsia" w:hAnsiTheme="minorEastAsia" w:eastAsiaTheme="minorEastAsia" w:cstheme="minorEastAsia"/>
          <w:color w:val="auto"/>
          <w:sz w:val="21"/>
          <w:szCs w:val="21"/>
          <w:highlight w:val="none"/>
        </w:rPr>
        <w:br w:type="textWrapping"/>
      </w:r>
      <w:r>
        <w:rPr>
          <w:rFonts w:hint="eastAsia" w:asciiTheme="minorEastAsia" w:hAnsiTheme="minorEastAsia" w:eastAsiaTheme="minorEastAsia" w:cstheme="minorEastAsia"/>
          <w:color w:val="auto"/>
          <w:sz w:val="21"/>
          <w:szCs w:val="21"/>
          <w:highlight w:val="none"/>
        </w:rPr>
        <w:t>电  话：023-68251032</w:t>
      </w:r>
      <w:r>
        <w:rPr>
          <w:rFonts w:hint="eastAsia" w:asciiTheme="minorEastAsia" w:hAnsiTheme="minorEastAsia" w:eastAsiaTheme="minorEastAsia" w:cstheme="minorEastAsia"/>
          <w:color w:val="auto"/>
          <w:sz w:val="21"/>
          <w:szCs w:val="21"/>
          <w:highlight w:val="none"/>
        </w:rPr>
        <w:br w:type="textWrapping"/>
      </w:r>
      <w:r>
        <w:rPr>
          <w:rFonts w:hint="eastAsia" w:asciiTheme="minorEastAsia" w:hAnsiTheme="minorEastAsia" w:eastAsiaTheme="minorEastAsia" w:cstheme="minorEastAsia"/>
          <w:color w:val="auto"/>
          <w:sz w:val="21"/>
          <w:szCs w:val="21"/>
          <w:highlight w:val="none"/>
        </w:rPr>
        <w:t>邮  箱：yangm@swu.edu.cn</w:t>
      </w:r>
      <w:r>
        <w:rPr>
          <w:rFonts w:hint="eastAsia" w:asciiTheme="minorEastAsia" w:hAnsiTheme="minorEastAsia" w:eastAsiaTheme="minorEastAsia" w:cstheme="minorEastAsia"/>
          <w:color w:val="auto"/>
          <w:sz w:val="21"/>
          <w:szCs w:val="21"/>
          <w:highlight w:val="none"/>
        </w:rPr>
        <w:br w:type="textWrapping"/>
      </w:r>
      <w:r>
        <w:rPr>
          <w:rFonts w:hint="eastAsia" w:asciiTheme="minorEastAsia" w:hAnsiTheme="minorEastAsia" w:eastAsiaTheme="minorEastAsia" w:cstheme="minorEastAsia"/>
          <w:color w:val="auto"/>
          <w:sz w:val="21"/>
          <w:szCs w:val="21"/>
          <w:highlight w:val="none"/>
        </w:rPr>
        <w:t>地  址：重庆市北碚区天生路2号</w:t>
      </w:r>
      <w:r>
        <w:rPr>
          <w:rFonts w:hint="eastAsia" w:asciiTheme="minorEastAsia" w:hAnsiTheme="minorEastAsia" w:eastAsiaTheme="minorEastAsia" w:cstheme="minorEastAsia"/>
          <w:color w:val="auto"/>
          <w:sz w:val="21"/>
          <w:szCs w:val="21"/>
          <w:highlight w:val="none"/>
        </w:rPr>
        <w:br w:type="textWrapping"/>
      </w:r>
      <w:r>
        <w:rPr>
          <w:rFonts w:hint="eastAsia" w:asciiTheme="minorEastAsia" w:hAnsiTheme="minorEastAsia" w:eastAsiaTheme="minorEastAsia" w:cstheme="minorEastAsia"/>
          <w:color w:val="auto"/>
          <w:sz w:val="21"/>
          <w:szCs w:val="21"/>
          <w:highlight w:val="none"/>
        </w:rPr>
        <w:t>位  置：西南大学2号门内进入直行约400米，南区文俊楼（南区行政楼）二楼右侧。</w:t>
      </w:r>
    </w:p>
    <w:p>
      <w:pPr>
        <w:tabs>
          <w:tab w:val="left" w:pos="2370"/>
        </w:tabs>
        <w:snapToGrid w:val="0"/>
        <w:spacing w:line="360" w:lineRule="exact"/>
        <w:ind w:firstLine="422" w:firstLineChars="200"/>
        <w:rPr>
          <w:rFonts w:asciiTheme="minorEastAsia" w:hAnsiTheme="minorEastAsia" w:eastAsiaTheme="minorEastAsia" w:cstheme="minorEastAsia"/>
          <w:b/>
          <w:bCs/>
          <w:color w:val="auto"/>
          <w:sz w:val="21"/>
          <w:szCs w:val="21"/>
          <w:highlight w:val="none"/>
        </w:rPr>
      </w:pPr>
    </w:p>
    <w:p>
      <w:pPr>
        <w:pStyle w:val="3"/>
        <w:snapToGrid w:val="0"/>
        <w:spacing w:before="0" w:after="0" w:line="360" w:lineRule="exact"/>
        <w:ind w:left="0" w:firstLine="422" w:firstLineChars="200"/>
        <w:rPr>
          <w:rFonts w:ascii="宋体" w:hAnsi="宋体"/>
          <w:color w:val="auto"/>
          <w:sz w:val="21"/>
          <w:szCs w:val="21"/>
          <w:highlight w:val="none"/>
        </w:rPr>
      </w:pPr>
      <w:r>
        <w:rPr>
          <w:rFonts w:hint="eastAsia" w:ascii="宋体" w:hAnsi="宋体"/>
          <w:color w:val="auto"/>
          <w:sz w:val="21"/>
          <w:szCs w:val="21"/>
          <w:highlight w:val="none"/>
        </w:rPr>
        <w:t>十、其他</w:t>
      </w:r>
    </w:p>
    <w:p>
      <w:pPr>
        <w:spacing w:line="42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pPr>
        <w:spacing w:line="420" w:lineRule="exact"/>
        <w:ind w:firstLine="493" w:firstLineChars="235"/>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现场踏勘联系人：</w:t>
      </w:r>
      <w:r>
        <w:rPr>
          <w:rFonts w:hint="eastAsia" w:ascii="宋体" w:hAnsi="宋体"/>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张</w:t>
      </w:r>
      <w:r>
        <w:rPr>
          <w:rFonts w:hint="eastAsia" w:asciiTheme="minorEastAsia" w:hAnsiTheme="minorEastAsia" w:eastAsiaTheme="minorEastAsia" w:cstheme="minorEastAsia"/>
          <w:color w:val="auto"/>
          <w:sz w:val="21"/>
          <w:szCs w:val="21"/>
          <w:highlight w:val="none"/>
        </w:rPr>
        <w:t>老师</w:t>
      </w:r>
      <w:r>
        <w:rPr>
          <w:rFonts w:hint="eastAsia" w:ascii="宋体" w:hAnsi="宋体"/>
          <w:color w:val="auto"/>
          <w:sz w:val="21"/>
          <w:szCs w:val="21"/>
          <w:highlight w:val="none"/>
        </w:rPr>
        <w:t>，电话：</w:t>
      </w:r>
      <w:r>
        <w:rPr>
          <w:rFonts w:hint="eastAsia" w:asciiTheme="minorEastAsia" w:hAnsiTheme="minorEastAsia" w:eastAsiaTheme="minorEastAsia" w:cstheme="minorEastAsia"/>
          <w:color w:val="auto"/>
          <w:sz w:val="21"/>
          <w:szCs w:val="21"/>
          <w:highlight w:val="none"/>
          <w:lang w:val="en-US" w:eastAsia="zh-CN"/>
        </w:rPr>
        <w:t>13752930198</w:t>
      </w:r>
    </w:p>
    <w:p>
      <w:pPr>
        <w:snapToGrid w:val="0"/>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(二)进校人员要求：</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1、人员出入</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需持有效身份证在校门通过人行门禁由门岗工作人员核验身份证、采集信息后，可出入校园。</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2、车辆出入</w:t>
      </w:r>
    </w:p>
    <w:p>
      <w:pPr>
        <w:pStyle w:val="20"/>
        <w:shd w:val="clear" w:color="auto" w:fill="FFFFFF"/>
        <w:spacing w:before="0" w:beforeAutospacing="0" w:after="0" w:afterAutospacing="0" w:line="420" w:lineRule="exact"/>
        <w:ind w:firstLine="64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校外车辆来校实行预约报备制，需提前至少一天通过“西南大学保卫处”微信公众号提交《校外车辆进校申请》（</w:t>
      </w:r>
      <w:r>
        <w:rPr>
          <w:rFonts w:hint="eastAsia" w:ascii="黑体" w:hAnsi="黑体" w:cs="黑体"/>
          <w:color w:val="auto"/>
          <w:sz w:val="21"/>
          <w:szCs w:val="21"/>
          <w:highlight w:val="none"/>
        </w:rPr>
        <w:t>具体流程及方式：请微信关注公众号“西南大学保卫处”-“校园服务”-“校外车辆进校申请”），</w:t>
      </w:r>
      <w:r>
        <w:rPr>
          <w:rFonts w:hint="eastAsia" w:asciiTheme="minorEastAsia" w:hAnsiTheme="minorEastAsia" w:eastAsiaTheme="minorEastAsia" w:cstheme="minorEastAsia"/>
          <w:color w:val="auto"/>
          <w:sz w:val="21"/>
          <w:szCs w:val="21"/>
          <w:highlight w:val="none"/>
        </w:rPr>
        <w:t>由校内对接单位在“数智西大”平台审核、保卫处审批通过后，方可出入校园。信息填写要求详见西南大学采招中心网页（</w:t>
      </w:r>
      <w:r>
        <w:rPr>
          <w:color w:val="auto"/>
          <w:highlight w:val="none"/>
        </w:rPr>
        <w:fldChar w:fldCharType="begin"/>
      </w:r>
      <w:r>
        <w:rPr>
          <w:color w:val="auto"/>
          <w:highlight w:val="none"/>
        </w:rPr>
        <w:instrText xml:space="preserve"> HYPERLINK "https://ecaigou.swu.edu.cn:30910/bid/detail?id=9157" </w:instrText>
      </w:r>
      <w:r>
        <w:rPr>
          <w:color w:val="auto"/>
          <w:highlight w:val="none"/>
        </w:rPr>
        <w:fldChar w:fldCharType="separate"/>
      </w:r>
      <w:r>
        <w:rPr>
          <w:rFonts w:hint="eastAsia" w:asciiTheme="minorEastAsia" w:hAnsiTheme="minorEastAsia" w:eastAsiaTheme="minorEastAsia" w:cstheme="minorEastAsia"/>
          <w:color w:val="auto"/>
          <w:sz w:val="21"/>
          <w:szCs w:val="21"/>
          <w:highlight w:val="none"/>
        </w:rPr>
        <w:t>https://ecaigou.swu.edu.cn:30910/bid/detail?id=9157</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）所述。项目单位联系人与现场踏勘联系人相同。</w:t>
      </w:r>
    </w:p>
    <w:p>
      <w:pPr>
        <w:pStyle w:val="10"/>
        <w:spacing w:line="42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有发热、干咳、乏力、咽痛、嗅（味）觉减退、流涕、肌肉酸痛、腹泻等症状的人员不得进校。</w:t>
      </w:r>
    </w:p>
    <w:bookmarkEnd w:id="48"/>
    <w:p>
      <w:pPr>
        <w:rPr>
          <w:rFonts w:asciiTheme="minorEastAsia" w:hAnsiTheme="minorEastAsia" w:eastAsiaTheme="minorEastAsia" w:cstheme="minorEastAsia"/>
          <w:color w:val="auto"/>
          <w:highlight w:val="none"/>
        </w:rPr>
        <w:sectPr>
          <w:headerReference r:id="rId9" w:type="first"/>
          <w:footerReference r:id="rId10" w:type="default"/>
          <w:pgSz w:w="11906" w:h="16838"/>
          <w:pgMar w:top="1418" w:right="1247" w:bottom="1247" w:left="1418" w:header="851" w:footer="992" w:gutter="0"/>
          <w:cols w:space="720" w:num="1"/>
          <w:docGrid w:linePitch="312" w:charSpace="0"/>
        </w:sectPr>
      </w:pPr>
    </w:p>
    <w:bookmarkEnd w:id="39"/>
    <w:bookmarkEnd w:id="40"/>
    <w:bookmarkEnd w:id="41"/>
    <w:bookmarkEnd w:id="42"/>
    <w:bookmarkEnd w:id="43"/>
    <w:p>
      <w:pPr>
        <w:pStyle w:val="2"/>
        <w:spacing w:before="120" w:after="120"/>
        <w:ind w:left="0" w:firstLine="0"/>
        <w:jc w:val="center"/>
        <w:rPr>
          <w:rFonts w:asciiTheme="minorEastAsia" w:hAnsiTheme="minorEastAsia" w:eastAsiaTheme="minorEastAsia" w:cstheme="minorEastAsia"/>
          <w:color w:val="auto"/>
          <w:highlight w:val="none"/>
        </w:rPr>
      </w:pPr>
      <w:bookmarkStart w:id="61" w:name="_Toc174185152"/>
      <w:bookmarkStart w:id="62" w:name="_Toc138929557"/>
      <w:bookmarkStart w:id="63" w:name="OLE_LINK6"/>
      <w:bookmarkStart w:id="64" w:name="OLE_LINK5"/>
      <w:r>
        <w:rPr>
          <w:rFonts w:hint="eastAsia" w:asciiTheme="minorEastAsia" w:hAnsiTheme="minorEastAsia" w:eastAsiaTheme="minorEastAsia" w:cstheme="minorEastAsia"/>
          <w:color w:val="auto"/>
          <w:highlight w:val="none"/>
        </w:rPr>
        <w:t xml:space="preserve">第二篇 </w:t>
      </w:r>
      <w:bookmarkEnd w:id="61"/>
      <w:bookmarkEnd w:id="62"/>
      <w:r>
        <w:rPr>
          <w:rFonts w:hint="eastAsia" w:ascii="宋体" w:hAnsi="宋体"/>
          <w:color w:val="auto"/>
          <w:highlight w:val="none"/>
        </w:rPr>
        <w:t>采购需求</w:t>
      </w:r>
    </w:p>
    <w:p>
      <w:pPr>
        <w:autoSpaceDE w:val="0"/>
        <w:autoSpaceDN w:val="0"/>
        <w:spacing w:line="360" w:lineRule="auto"/>
        <w:rPr>
          <w:rFonts w:asciiTheme="minorEastAsia" w:hAnsiTheme="minorEastAsia" w:eastAsiaTheme="minorEastAsia" w:cstheme="minorEastAsia"/>
          <w:b/>
          <w:color w:val="auto"/>
          <w:sz w:val="21"/>
          <w:szCs w:val="21"/>
          <w:highlight w:val="none"/>
        </w:rPr>
      </w:pPr>
      <w:bookmarkStart w:id="65" w:name="_Toc535418619"/>
      <w:bookmarkStart w:id="66" w:name="_Toc498417024"/>
    </w:p>
    <w:p>
      <w:pPr>
        <w:pStyle w:val="3"/>
        <w:snapToGrid w:val="0"/>
        <w:spacing w:before="0" w:after="0" w:line="360" w:lineRule="exact"/>
        <w:ind w:left="0" w:firstLine="422"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一、货物名称、数量：</w:t>
      </w:r>
    </w:p>
    <w:p>
      <w:pPr>
        <w:pStyle w:val="3"/>
        <w:snapToGrid w:val="0"/>
        <w:spacing w:before="0" w:after="0" w:line="360" w:lineRule="exact"/>
        <w:ind w:left="0" w:firstLine="420" w:firstLineChars="200"/>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1、货物名称：热场发射扫描电镜</w:t>
      </w:r>
    </w:p>
    <w:p>
      <w:pPr>
        <w:pStyle w:val="3"/>
        <w:snapToGrid w:val="0"/>
        <w:spacing w:before="0" w:after="0" w:line="360" w:lineRule="exact"/>
        <w:ind w:left="0" w:firstLine="420" w:firstLineChars="200"/>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2、数量：1套</w:t>
      </w:r>
    </w:p>
    <w:p>
      <w:pPr>
        <w:pStyle w:val="3"/>
        <w:snapToGrid w:val="0"/>
        <w:spacing w:before="0" w:after="0" w:line="360" w:lineRule="exact"/>
        <w:ind w:left="0" w:firstLine="482" w:firstLineChars="200"/>
        <w:rPr>
          <w:rFonts w:asciiTheme="minorEastAsia" w:hAnsiTheme="minorEastAsia" w:eastAsiaTheme="minorEastAsia"/>
          <w:color w:val="auto"/>
          <w:sz w:val="21"/>
          <w:szCs w:val="21"/>
          <w:highlight w:val="none"/>
        </w:rPr>
      </w:pPr>
      <w:r>
        <w:rPr>
          <w:rFonts w:hint="eastAsia" w:ascii="宋体" w:hAnsi="宋体" w:cs="宋体"/>
          <w:color w:val="auto"/>
          <w:szCs w:val="24"/>
          <w:highlight w:val="none"/>
        </w:rPr>
        <w:t>*</w:t>
      </w:r>
      <w:r>
        <w:rPr>
          <w:rFonts w:hint="eastAsia" w:asciiTheme="minorEastAsia" w:hAnsiTheme="minorEastAsia" w:eastAsiaTheme="minorEastAsia"/>
          <w:color w:val="auto"/>
          <w:sz w:val="21"/>
          <w:szCs w:val="21"/>
          <w:highlight w:val="none"/>
        </w:rPr>
        <w:t>二、功能及用途：</w:t>
      </w:r>
      <w:r>
        <w:rPr>
          <w:rFonts w:hint="eastAsia" w:asciiTheme="minorEastAsia" w:hAnsiTheme="minorEastAsia" w:eastAsiaTheme="minorEastAsia" w:cstheme="minorEastAsia"/>
          <w:bCs w:val="0"/>
          <w:color w:val="auto"/>
          <w:sz w:val="21"/>
          <w:szCs w:val="21"/>
          <w:highlight w:val="none"/>
        </w:rPr>
        <w:t>（本条为实质性要求，投标人须提供满足要求的承诺书，未提供承诺书或承诺内容不满足要求的，其投标无效）</w:t>
      </w:r>
    </w:p>
    <w:p>
      <w:pPr>
        <w:pStyle w:val="7"/>
        <w:ind w:firstLine="420" w:firstLineChars="200"/>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热场发射扫描电镜主要用于观察和检测金属和非金属，导电和不导电样品的表面形貌特征，获取高倍数、高分辨扫描图像；配置</w:t>
      </w: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 HYPERLINK "http://www.91yiqi.com/sell/list-859.html" \t "_blank"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eastAsia" w:ascii="Times New Roman" w:hAnsi="Times New Roman" w:eastAsia="宋体" w:cs="Times New Roman"/>
          <w:color w:val="auto"/>
          <w:sz w:val="21"/>
          <w:szCs w:val="21"/>
          <w:highlight w:val="none"/>
          <w:lang w:val="en-US" w:eastAsia="zh-CN" w:bidi="ar-SA"/>
        </w:rPr>
        <w:t>能谱仪</w:t>
      </w:r>
      <w:r>
        <w:rPr>
          <w:rFonts w:hint="eastAsia" w:ascii="Times New Roman" w:hAnsi="Times New Roman" w:eastAsia="宋体" w:cs="Times New Roman"/>
          <w:color w:val="auto"/>
          <w:sz w:val="21"/>
          <w:szCs w:val="21"/>
          <w:highlight w:val="none"/>
          <w:lang w:val="en-US" w:eastAsia="zh-CN" w:bidi="ar-SA"/>
        </w:rPr>
        <w:fldChar w:fldCharType="end"/>
      </w:r>
      <w:r>
        <w:rPr>
          <w:rFonts w:hint="eastAsia" w:ascii="Times New Roman" w:hAnsi="Times New Roman" w:eastAsia="宋体" w:cs="Times New Roman"/>
          <w:color w:val="auto"/>
          <w:sz w:val="21"/>
          <w:szCs w:val="21"/>
          <w:highlight w:val="none"/>
          <w:lang w:val="en-US" w:eastAsia="zh-CN" w:bidi="ar-SA"/>
        </w:rPr>
        <w:t>能同时进行样品表面微区元素的定性、定量分析，具有结构形貌、化学组分综合分析能力。</w:t>
      </w:r>
    </w:p>
    <w:p>
      <w:pPr>
        <w:pStyle w:val="3"/>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baseline"/>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三、具体技术要求</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电子光学系统</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1.1 电子源：肖特基热场发射电子枪；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镜筒：电磁/静电复合物镜设计，实现镜筒无漏磁，可对铁磁性、易磁性样品进行2mm内短距离底片倍率高于200,000倍的高分辨成像；</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1.3 二次电子分辨率：≤0.90 nm @ 15kV，≤1.35 nm @ 1kV</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物镜光阑：7孔电磁切换光阑；</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加速电压范围（非着陆电压）：20V－30kV，步进10V，连续可调；</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最大探针电流：≥20.0 nA，稳定性≤0.2%/h；</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放大倍率范围：10X－1,000,000X(底片放大倍率，非显示器放大倍率)，连续可调；</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配置能谱仪使用时，在35°最佳出射角分析时，分析工作距离≤10.0mm；</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样品室、样品台系统</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样品室尺寸：内部直径≥360mm；</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配备抽屉式门，抽屉式门预留3个独立接口，方便后期原位功能拓展。</w:t>
      </w:r>
    </w:p>
    <w:p>
      <w:pPr>
        <w:spacing w:line="360" w:lineRule="auto"/>
        <w:ind w:firstLine="210" w:firstLineChars="100"/>
        <w:rPr>
          <w:rFonts w:hint="eastAsia" w:ascii="宋体" w:hAnsi="宋体" w:eastAsia="宋体" w:cs="宋体"/>
          <w:color w:val="auto"/>
          <w:sz w:val="21"/>
          <w:szCs w:val="21"/>
          <w:highlight w:val="none"/>
        </w:rPr>
      </w:pPr>
      <w:bookmarkStart w:id="67" w:name="_Hlk68350383"/>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2.</w:t>
      </w:r>
      <w:bookmarkEnd w:id="67"/>
      <w:r>
        <w:rPr>
          <w:rFonts w:hint="eastAsia" w:ascii="宋体" w:hAnsi="宋体" w:eastAsia="宋体" w:cs="宋体"/>
          <w:color w:val="auto"/>
          <w:sz w:val="21"/>
          <w:szCs w:val="21"/>
          <w:highlight w:val="none"/>
        </w:rPr>
        <w:t>3 五轴电动样品台移动范围：X轴：≥110mm；Y轴：≥100mm；Z轴：≥40mm，T轴：-5°~ +70°；R轴：360°连续；</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最大样品尺寸：直径≥200mm；</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信号探测系统：配置真空样品室门上的导航相机。</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真空系统：配置机械泵，分子泵，离子泵，机械泵抽速：≥10m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/h；涡轮分子泵抽速：≥260L/s；样品室真空度：≤3.0×10</w:t>
      </w:r>
      <w:r>
        <w:rPr>
          <w:rFonts w:hint="eastAsia" w:ascii="宋体" w:hAnsi="宋体" w:eastAsia="宋体" w:cs="宋体"/>
          <w:color w:val="auto"/>
          <w:sz w:val="21"/>
          <w:szCs w:val="21"/>
          <w:highlight w:val="none"/>
          <w:vertAlign w:val="superscript"/>
        </w:rPr>
        <w:t>-4</w:t>
      </w:r>
      <w:r>
        <w:rPr>
          <w:rFonts w:hint="eastAsia" w:ascii="宋体" w:hAnsi="宋体" w:eastAsia="宋体" w:cs="宋体"/>
          <w:color w:val="auto"/>
          <w:sz w:val="21"/>
          <w:szCs w:val="21"/>
          <w:highlight w:val="none"/>
        </w:rPr>
        <w:t xml:space="preserve"> Pa；</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图像系统：最大图像显示像素：≥1024×768像素；最大图像单次抓取储存像素：≥32k×24k 像素（非叠加后）；</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控制系统：</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电镜专业用户操作面板：电子光学调整旋钮和键盘在同一面板上面；配置双操作杆样品台控制器，符合人体工学设计；</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电镜新手用户操作面板：采用触摸屏幕设计，该面板需支持多种语言，包括中文软件界面。</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应用能力</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预留光电关联精准定位升级接口，升级后可与光学显微镜关联定位，电镜和光镜能共用一套控制软件。同时配备多点定位硬件接口可快速穿梭于可见光光学系统和电子光学系统，并且带有≥3个高精度定位点。</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样品室设计：高度≥270mm，可以扩展拉伸台，加热台，冷冻台等原位设备。</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8.能谱探头</w:t>
      </w:r>
    </w:p>
    <w:p>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探测器：分析型SDD硅漂移电制冷探测器，晶体有效面积≥40mm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，高分子超薄窗设计；封闭式真空系统，无需借助SEM抽放真空；</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重元素能量分辨率：Mn Ka ≥ 127eV（@计数率130,000cps）； </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 元素分析范围: Be4～Cf98；</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探测器可软件控制，自动伸缩；具备元素实时刷新显示功能：可实时观测样品区域变化或者形态转变时，谱图的动态变化过程。在谱图实时采集时，动态显示的定量分析结果，以含量、原子比或氧化物百分比呈现；具备零峰修正功能, 开机后无需重新修正峰位；</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9.专用喷金器</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腔室尺寸：≥120mm(d)*120mm(h)；</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靶材：配置铂靶；</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 样品台：可以同时装载≥6个样品，最大高度可调范围≥60mm；</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 溅射控制：微处理器控制，安全互锁，可调（10、20、30、40mA），程序化数字控制；</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专用辉光放电器</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泵组：配直流电机静音油泵；抽速：&gt;2m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/h；极限真空：&lt; 10 Pa；</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射频源：靶源尺寸≥ Ø 80 mm；</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射频功率：可调功率工作范围：5-50 W，13.56 MHz；</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操作方式：触摸屏控制，一键式操作；</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11.不间断电源: 功率：6KVA；时间≥60min。</w:t>
      </w:r>
    </w:p>
    <w:p>
      <w:pPr>
        <w:pageBreakBefore w:val="0"/>
        <w:widowControl w:val="0"/>
        <w:kinsoku/>
        <w:wordWrap/>
        <w:overflowPunct/>
        <w:topLinePunct w:val="0"/>
        <w:autoSpaceDE/>
        <w:autoSpaceDN/>
        <w:bidi w:val="0"/>
        <w:adjustRightInd w:val="0"/>
        <w:spacing w:line="360" w:lineRule="auto"/>
        <w:textAlignment w:val="baseline"/>
        <w:rPr>
          <w:rFonts w:ascii="Times New Roman" w:hAnsi="Times New Roman" w:eastAsia="宋体" w:cs="Times New Roman"/>
          <w:color w:val="auto"/>
          <w:sz w:val="21"/>
          <w:szCs w:val="21"/>
          <w:highlight w:val="none"/>
        </w:rPr>
      </w:pPr>
    </w:p>
    <w:p>
      <w:pPr>
        <w:pStyle w:val="3"/>
        <w:pageBreakBefore w:val="0"/>
        <w:widowControl w:val="0"/>
        <w:kinsoku/>
        <w:wordWrap/>
        <w:overflowPunct/>
        <w:topLinePunct w:val="0"/>
        <w:autoSpaceDE/>
        <w:autoSpaceDN/>
        <w:bidi w:val="0"/>
        <w:adjustRightInd w:val="0"/>
        <w:snapToGrid w:val="0"/>
        <w:spacing w:before="0" w:after="0" w:line="360" w:lineRule="auto"/>
        <w:ind w:left="0" w:firstLine="482" w:firstLineChars="200"/>
        <w:textAlignment w:val="baseline"/>
        <w:rPr>
          <w:rFonts w:asciiTheme="minorEastAsia" w:hAnsiTheme="minorEastAsia" w:eastAsiaTheme="minorEastAsia"/>
          <w:color w:val="auto"/>
          <w:sz w:val="21"/>
          <w:szCs w:val="21"/>
          <w:highlight w:val="none"/>
        </w:rPr>
      </w:pPr>
      <w:r>
        <w:rPr>
          <w:rFonts w:hint="eastAsia" w:ascii="宋体" w:hAnsi="宋体" w:cs="宋体"/>
          <w:color w:val="auto"/>
          <w:szCs w:val="24"/>
          <w:highlight w:val="none"/>
        </w:rPr>
        <w:t>*</w:t>
      </w:r>
      <w:r>
        <w:rPr>
          <w:rFonts w:hint="eastAsia" w:asciiTheme="minorEastAsia" w:hAnsiTheme="minorEastAsia" w:eastAsiaTheme="minorEastAsia"/>
          <w:color w:val="auto"/>
          <w:sz w:val="21"/>
          <w:szCs w:val="21"/>
          <w:highlight w:val="none"/>
        </w:rPr>
        <w:t>四、</w:t>
      </w:r>
      <w:r>
        <w:rPr>
          <w:rFonts w:asciiTheme="minorEastAsia" w:hAnsiTheme="minorEastAsia" w:eastAsiaTheme="minorEastAsia"/>
          <w:color w:val="auto"/>
          <w:sz w:val="21"/>
          <w:szCs w:val="21"/>
          <w:highlight w:val="none"/>
        </w:rPr>
        <w:t>配置</w:t>
      </w:r>
    </w:p>
    <w:p>
      <w:pPr>
        <w:pStyle w:val="3"/>
        <w:pageBreakBefore w:val="0"/>
        <w:widowControl w:val="0"/>
        <w:kinsoku/>
        <w:wordWrap/>
        <w:overflowPunct/>
        <w:topLinePunct w:val="0"/>
        <w:autoSpaceDE/>
        <w:autoSpaceDN/>
        <w:bidi w:val="0"/>
        <w:adjustRightInd w:val="0"/>
        <w:snapToGrid w:val="0"/>
        <w:spacing w:before="0" w:after="0" w:line="360" w:lineRule="auto"/>
        <w:ind w:left="0" w:firstLine="420" w:firstLineChars="200"/>
        <w:textAlignment w:val="baseline"/>
        <w:rPr>
          <w:rFonts w:hint="eastAsia" w:eastAsia="宋体" w:asciiTheme="minorEastAsia" w:hAnsiTheme="minorEastAsia"/>
          <w:color w:val="auto"/>
          <w:sz w:val="21"/>
          <w:szCs w:val="21"/>
          <w:highlight w:val="none"/>
          <w:lang w:eastAsia="zh-CN"/>
        </w:rPr>
      </w:pPr>
      <w:r>
        <w:rPr>
          <w:rFonts w:ascii="宋体" w:hAnsi="宋体" w:cs="宋体"/>
          <w:b w:val="0"/>
          <w:bCs w:val="0"/>
          <w:color w:val="auto"/>
          <w:sz w:val="21"/>
          <w:szCs w:val="21"/>
          <w:highlight w:val="none"/>
        </w:rPr>
        <w:t>包含</w:t>
      </w:r>
      <w:r>
        <w:rPr>
          <w:rFonts w:hint="eastAsia" w:ascii="宋体" w:hAnsi="宋体" w:cs="宋体"/>
          <w:b w:val="0"/>
          <w:bCs w:val="0"/>
          <w:color w:val="auto"/>
          <w:sz w:val="21"/>
          <w:szCs w:val="21"/>
          <w:highlight w:val="none"/>
        </w:rPr>
        <w:t>或</w:t>
      </w:r>
      <w:r>
        <w:rPr>
          <w:rFonts w:ascii="宋体" w:hAnsi="宋体" w:cs="宋体"/>
          <w:b w:val="0"/>
          <w:bCs w:val="0"/>
          <w:color w:val="auto"/>
          <w:sz w:val="21"/>
          <w:szCs w:val="21"/>
          <w:highlight w:val="none"/>
        </w:rPr>
        <w:t>不限于以下配置，以实现本</w:t>
      </w:r>
      <w:r>
        <w:rPr>
          <w:rFonts w:hint="eastAsia" w:ascii="宋体" w:hAnsi="宋体" w:cs="宋体"/>
          <w:b w:val="0"/>
          <w:bCs w:val="0"/>
          <w:color w:val="auto"/>
          <w:sz w:val="21"/>
          <w:szCs w:val="21"/>
          <w:highlight w:val="none"/>
        </w:rPr>
        <w:t>招标</w:t>
      </w:r>
      <w:r>
        <w:rPr>
          <w:rFonts w:ascii="宋体" w:hAnsi="宋体" w:cs="宋体"/>
          <w:b w:val="0"/>
          <w:bCs w:val="0"/>
          <w:color w:val="auto"/>
          <w:sz w:val="21"/>
          <w:szCs w:val="21"/>
          <w:highlight w:val="none"/>
        </w:rPr>
        <w:t>文件要求的技术指标、功能和性能为准，且</w:t>
      </w:r>
      <w:r>
        <w:rPr>
          <w:rFonts w:hint="eastAsia" w:ascii="宋体" w:hAnsi="宋体" w:cs="宋体"/>
          <w:b w:val="0"/>
          <w:bCs w:val="0"/>
          <w:color w:val="auto"/>
          <w:sz w:val="21"/>
          <w:szCs w:val="21"/>
          <w:highlight w:val="none"/>
        </w:rPr>
        <w:t>投标</w:t>
      </w:r>
      <w:r>
        <w:rPr>
          <w:rFonts w:ascii="宋体" w:hAnsi="宋体" w:cs="宋体"/>
          <w:b w:val="0"/>
          <w:bCs w:val="0"/>
          <w:color w:val="auto"/>
          <w:sz w:val="21"/>
          <w:szCs w:val="21"/>
          <w:highlight w:val="none"/>
        </w:rPr>
        <w:t>文件须明确报出配置及配件的数量、品牌、规格型号</w:t>
      </w:r>
      <w:r>
        <w:rPr>
          <w:rFonts w:hint="eastAsia" w:asciiTheme="minorEastAsia" w:hAnsiTheme="minorEastAsia"/>
          <w:color w:val="auto"/>
          <w:sz w:val="21"/>
          <w:szCs w:val="21"/>
          <w:highlight w:val="none"/>
          <w:lang w:eastAsia="zh-CN"/>
        </w:rPr>
        <w:t>（</w:t>
      </w:r>
      <w:r>
        <w:rPr>
          <w:rFonts w:hint="eastAsia" w:asciiTheme="minorEastAsia" w:hAnsiTheme="minorEastAsia"/>
          <w:color w:val="auto"/>
          <w:sz w:val="21"/>
          <w:szCs w:val="21"/>
          <w:highlight w:val="none"/>
          <w:lang w:val="en-US" w:eastAsia="zh-CN"/>
        </w:rPr>
        <w:t>本条为实质性要求，</w:t>
      </w:r>
      <w:r>
        <w:rPr>
          <w:rFonts w:hint="eastAsia" w:asciiTheme="minorEastAsia" w:hAnsiTheme="minorEastAsia"/>
          <w:color w:val="auto"/>
          <w:sz w:val="21"/>
          <w:szCs w:val="21"/>
          <w:highlight w:val="none"/>
        </w:rPr>
        <w:t>不满足要求的，为无效标</w:t>
      </w:r>
      <w:r>
        <w:rPr>
          <w:rFonts w:hint="eastAsia" w:asciiTheme="minorEastAsia" w:hAnsiTheme="minorEastAsia"/>
          <w:color w:val="auto"/>
          <w:sz w:val="21"/>
          <w:szCs w:val="21"/>
          <w:highlight w:val="none"/>
          <w:lang w:eastAsia="zh-CN"/>
        </w:rPr>
        <w:t>）。</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热场发射扫描电镜主机1台</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镜筒内二次电子探测器1个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样品室二次电子探测器1个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样品室气动伸缩式背散射电子探测器1个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样品室CCD探测器1个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样品电流监测器1个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能谱探头1个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电镜专业用户操作软件1套</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真空样品室门上的导航摄像头 2套</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专用喷金器1个</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耗材（包含九孔样品座1个，双面碳导电胶带2卷，银导电胶2盒，镊子2个，标准小样品座100个）1套</w:t>
      </w:r>
    </w:p>
    <w:p>
      <w:pPr>
        <w:pStyle w:val="31"/>
        <w:spacing w:line="520" w:lineRule="exact"/>
        <w:ind w:left="567" w:firstLine="0" w:firstLineChars="0"/>
        <w:rPr>
          <w:rFonts w:ascii="宋体" w:hAnsi="宋体"/>
          <w:b/>
          <w:color w:val="auto"/>
          <w:sz w:val="24"/>
          <w:szCs w:val="24"/>
          <w:highlight w:val="none"/>
        </w:rPr>
      </w:pPr>
    </w:p>
    <w:p>
      <w:pPr>
        <w:pStyle w:val="3"/>
        <w:snapToGrid w:val="0"/>
        <w:spacing w:before="0" w:after="0" w:line="360" w:lineRule="exact"/>
        <w:ind w:left="0" w:firstLine="422"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五、提供技术支持文件要求</w:t>
      </w:r>
    </w:p>
    <w:p>
      <w:pPr>
        <w:snapToGrid w:val="0"/>
        <w:spacing w:line="420" w:lineRule="exact"/>
        <w:ind w:firstLine="422" w:firstLineChars="200"/>
        <w:rPr>
          <w:rFonts w:hint="eastAsia" w:asciiTheme="minorEastAsia" w:hAnsiTheme="minorEastAsia" w:cstheme="minorEastAsia"/>
          <w:b/>
          <w:color w:val="auto"/>
          <w:sz w:val="21"/>
          <w:szCs w:val="21"/>
          <w:highlight w:val="none"/>
        </w:rPr>
      </w:pPr>
      <w:r>
        <w:rPr>
          <w:rFonts w:hint="eastAsia" w:asciiTheme="minorEastAsia" w:hAnsiTheme="minorEastAsia" w:cstheme="minorEastAsia"/>
          <w:b/>
          <w:color w:val="auto"/>
          <w:sz w:val="21"/>
          <w:szCs w:val="21"/>
          <w:highlight w:val="none"/>
        </w:rPr>
        <w:t>1.</w:t>
      </w:r>
      <w:r>
        <w:rPr>
          <w:rFonts w:hint="eastAsia" w:cs="Times New Roman" w:asciiTheme="minorEastAsia" w:hAnsiTheme="minorEastAsia" w:eastAsiaTheme="minorEastAsia"/>
          <w:b/>
          <w:bCs/>
          <w:color w:val="auto"/>
          <w:sz w:val="21"/>
          <w:szCs w:val="21"/>
          <w:highlight w:val="none"/>
          <w:lang w:val="en-US" w:eastAsia="zh-CN" w:bidi="ar-SA"/>
        </w:rPr>
        <w:t>本篇所有“*”标注项均为实质性要求，对其做负偏离的，将被判为投标无效。</w:t>
      </w:r>
    </w:p>
    <w:p>
      <w:pPr>
        <w:snapToGrid w:val="0"/>
        <w:spacing w:line="42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cstheme="minorEastAsia"/>
          <w:b/>
          <w:color w:val="auto"/>
          <w:sz w:val="21"/>
          <w:szCs w:val="21"/>
          <w:highlight w:val="none"/>
          <w:lang w:val="en-US" w:eastAsia="zh-CN"/>
        </w:rPr>
        <w:t>2</w:t>
      </w:r>
      <w:r>
        <w:rPr>
          <w:rFonts w:hint="eastAsia" w:asciiTheme="minorEastAsia" w:hAnsiTheme="minorEastAsia" w:cstheme="minorEastAsia"/>
          <w:b/>
          <w:color w:val="auto"/>
          <w:sz w:val="21"/>
          <w:szCs w:val="21"/>
          <w:highlight w:val="none"/>
        </w:rPr>
        <w:t>.投标人应对本篇“▲”和“</w:t>
      </w:r>
      <w:r>
        <w:rPr>
          <w:rFonts w:hint="eastAsia" w:asciiTheme="minorEastAsia" w:hAnsiTheme="minorEastAsia" w:cstheme="minorEastAsia"/>
          <w:b/>
          <w:color w:val="auto"/>
          <w:kern w:val="24"/>
          <w:sz w:val="21"/>
          <w:szCs w:val="21"/>
          <w:highlight w:val="none"/>
        </w:rPr>
        <w:t>★</w:t>
      </w:r>
      <w:r>
        <w:rPr>
          <w:rFonts w:hint="eastAsia" w:asciiTheme="minorEastAsia" w:hAnsiTheme="minorEastAsia" w:cstheme="minorEastAsia"/>
          <w:b/>
          <w:color w:val="auto"/>
          <w:sz w:val="21"/>
          <w:szCs w:val="21"/>
          <w:highlight w:val="none"/>
        </w:rPr>
        <w:t>”标注</w:t>
      </w:r>
      <w:r>
        <w:rPr>
          <w:rFonts w:hint="eastAsia" w:asciiTheme="minorEastAsia" w:hAnsiTheme="minorEastAsia" w:cstheme="minorEastAsia"/>
          <w:b/>
          <w:bCs/>
          <w:color w:val="auto"/>
          <w:sz w:val="21"/>
          <w:szCs w:val="21"/>
          <w:highlight w:val="none"/>
        </w:rPr>
        <w:t>技术规格参数响应情况</w:t>
      </w:r>
      <w:r>
        <w:rPr>
          <w:rFonts w:hint="eastAsia" w:asciiTheme="minorEastAsia" w:hAnsiTheme="minorEastAsia" w:cstheme="minorEastAsia"/>
          <w:b/>
          <w:color w:val="auto"/>
          <w:sz w:val="21"/>
          <w:szCs w:val="21"/>
          <w:highlight w:val="none"/>
        </w:rPr>
        <w:t>提供有效的佐证材料，</w:t>
      </w:r>
      <w:r>
        <w:rPr>
          <w:rFonts w:hint="eastAsia" w:asciiTheme="minorEastAsia" w:hAnsiTheme="minorEastAsia" w:cstheme="minorEastAsia"/>
          <w:bCs/>
          <w:color w:val="auto"/>
          <w:sz w:val="21"/>
          <w:szCs w:val="21"/>
          <w:highlight w:val="none"/>
        </w:rPr>
        <w:t>包括但不限于列有技术参数且完整的厂家产品彩页，或厂家官方网站公布的截图，或厂家产品说明书，或第三方机构出具的检测报告，或经厂家确认的证明材料等（</w:t>
      </w:r>
      <w:r>
        <w:rPr>
          <w:rFonts w:hint="eastAsia" w:asciiTheme="minorEastAsia" w:hAnsiTheme="minorEastAsia" w:cstheme="minorEastAsia"/>
          <w:b/>
          <w:color w:val="auto"/>
          <w:sz w:val="21"/>
          <w:szCs w:val="21"/>
          <w:highlight w:val="none"/>
        </w:rPr>
        <w:t>本篇第三条具体技术要求里有明确的技术文件规定的</w:t>
      </w:r>
      <w:r>
        <w:rPr>
          <w:rFonts w:hint="eastAsia" w:asciiTheme="minorEastAsia" w:hAnsiTheme="minorEastAsia" w:cstheme="minorEastAsia"/>
          <w:bCs/>
          <w:color w:val="auto"/>
          <w:sz w:val="21"/>
          <w:szCs w:val="21"/>
          <w:highlight w:val="none"/>
        </w:rPr>
        <w:t>，</w:t>
      </w:r>
      <w:r>
        <w:rPr>
          <w:rFonts w:hint="eastAsia" w:asciiTheme="minorEastAsia" w:hAnsiTheme="minorEastAsia" w:cstheme="minorEastAsia"/>
          <w:b/>
          <w:color w:val="auto"/>
          <w:sz w:val="21"/>
          <w:szCs w:val="21"/>
          <w:highlight w:val="none"/>
        </w:rPr>
        <w:t>从其规定）</w:t>
      </w:r>
      <w:r>
        <w:rPr>
          <w:rFonts w:hint="eastAsia" w:asciiTheme="minorEastAsia" w:hAnsiTheme="minorEastAsia" w:cstheme="minorEastAsia"/>
          <w:bCs/>
          <w:color w:val="auto"/>
          <w:sz w:val="21"/>
          <w:szCs w:val="21"/>
          <w:highlight w:val="none"/>
        </w:rPr>
        <w:t>，以佐证所投产品的相应的技术参数及功能，</w:t>
      </w:r>
      <w:r>
        <w:rPr>
          <w:rFonts w:hint="eastAsia" w:asciiTheme="minorEastAsia" w:hAnsiTheme="minorEastAsia" w:cstheme="minorEastAsia"/>
          <w:b/>
          <w:color w:val="auto"/>
          <w:sz w:val="21"/>
          <w:szCs w:val="21"/>
          <w:highlight w:val="none"/>
        </w:rPr>
        <w:t>如上述资料未能体现采购要求的“▲”和“</w:t>
      </w:r>
      <w:r>
        <w:rPr>
          <w:rFonts w:hint="eastAsia" w:asciiTheme="minorEastAsia" w:hAnsiTheme="minorEastAsia" w:cstheme="minorEastAsia"/>
          <w:b/>
          <w:color w:val="auto"/>
          <w:kern w:val="24"/>
          <w:sz w:val="21"/>
          <w:szCs w:val="21"/>
          <w:highlight w:val="none"/>
        </w:rPr>
        <w:t>★</w:t>
      </w:r>
      <w:r>
        <w:rPr>
          <w:rFonts w:hint="eastAsia" w:asciiTheme="minorEastAsia" w:hAnsiTheme="minorEastAsia" w:cstheme="minorEastAsia"/>
          <w:b/>
          <w:color w:val="auto"/>
          <w:sz w:val="21"/>
          <w:szCs w:val="21"/>
          <w:highlight w:val="none"/>
        </w:rPr>
        <w:t>”标注参数的</w:t>
      </w:r>
      <w:r>
        <w:rPr>
          <w:rFonts w:hint="eastAsia" w:asciiTheme="minorEastAsia" w:hAnsiTheme="minorEastAsia" w:cstheme="minorEastAsia"/>
          <w:bCs/>
          <w:color w:val="auto"/>
          <w:sz w:val="21"/>
          <w:szCs w:val="21"/>
          <w:highlight w:val="none"/>
        </w:rPr>
        <w:t>，则相应的技术参数响应</w:t>
      </w:r>
      <w:r>
        <w:rPr>
          <w:rFonts w:hint="eastAsia" w:asciiTheme="minorEastAsia" w:hAnsiTheme="minorEastAsia" w:cstheme="minorEastAsia"/>
          <w:b/>
          <w:color w:val="auto"/>
          <w:sz w:val="21"/>
          <w:szCs w:val="21"/>
          <w:highlight w:val="none"/>
        </w:rPr>
        <w:t>将被视为负偏离。</w:t>
      </w:r>
    </w:p>
    <w:p>
      <w:pPr>
        <w:snapToGrid w:val="0"/>
        <w:spacing w:line="420" w:lineRule="exact"/>
        <w:ind w:firstLine="422" w:firstLineChars="200"/>
        <w:rPr>
          <w:rFonts w:asciiTheme="minorEastAsia" w:hAnsiTheme="minorEastAsia" w:eastAsiaTheme="minorEastAsia" w:cstheme="minorEastAsia"/>
          <w:b/>
          <w:color w:val="auto"/>
          <w:sz w:val="21"/>
          <w:szCs w:val="21"/>
          <w:highlight w:val="none"/>
        </w:rPr>
      </w:pPr>
    </w:p>
    <w:p>
      <w:pPr>
        <w:pStyle w:val="3"/>
        <w:snapToGrid w:val="0"/>
        <w:spacing w:before="0" w:after="0" w:line="360" w:lineRule="exact"/>
        <w:ind w:left="0" w:firstLine="422"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六、标准附件、专用工具和消耗品</w:t>
      </w:r>
    </w:p>
    <w:p>
      <w:pPr>
        <w:snapToGrid w:val="0"/>
        <w:spacing w:line="420" w:lineRule="exact"/>
        <w:ind w:firstLine="420" w:firstLineChars="200"/>
        <w:rPr>
          <w:rFonts w:asciiTheme="minorEastAsia" w:hAnsiTheme="minorEastAsia" w:cstheme="minorEastAsia"/>
          <w:bCs/>
          <w:color w:val="auto"/>
          <w:sz w:val="21"/>
          <w:szCs w:val="21"/>
          <w:highlight w:val="none"/>
        </w:rPr>
      </w:pPr>
      <w:r>
        <w:rPr>
          <w:rFonts w:hint="eastAsia" w:asciiTheme="minorEastAsia" w:hAnsiTheme="minorEastAsia" w:cstheme="minorEastAsia"/>
          <w:bCs/>
          <w:color w:val="auto"/>
          <w:sz w:val="21"/>
          <w:szCs w:val="21"/>
          <w:highlight w:val="none"/>
        </w:rPr>
        <w:t>除技术要求中指定的附件和专用工具外，投标人应提供仪器设备的正常运行和常规保养所需的全套标准附件、专用工具和消耗品（若有）。投标人在投标文件中需列出这些附件和工具的数量和单价的清单，这些附件和工具的报价的总值需计入投标总价中。</w:t>
      </w:r>
    </w:p>
    <w:p>
      <w:pPr>
        <w:pStyle w:val="7"/>
        <w:rPr>
          <w:rFonts w:asciiTheme="minorEastAsia" w:hAnsiTheme="minorEastAsia" w:eastAsiaTheme="minorEastAsia"/>
          <w:color w:val="auto"/>
          <w:sz w:val="21"/>
          <w:szCs w:val="21"/>
          <w:highlight w:val="none"/>
        </w:rPr>
      </w:pPr>
    </w:p>
    <w:p>
      <w:pPr>
        <w:pStyle w:val="3"/>
        <w:snapToGrid w:val="0"/>
        <w:spacing w:before="0" w:after="0" w:line="360" w:lineRule="exact"/>
        <w:ind w:left="0" w:firstLine="422"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七、其他附件：</w:t>
      </w:r>
    </w:p>
    <w:p>
      <w:pPr>
        <w:pStyle w:val="16"/>
        <w:ind w:firstLine="420" w:firstLineChars="200"/>
        <w:rPr>
          <w:rFonts w:asciiTheme="minorEastAsia" w:hAnsiTheme="minorEastAsia" w:cstheme="minorEastAsia"/>
          <w:bCs/>
          <w:color w:val="auto"/>
          <w:highlight w:val="none"/>
        </w:rPr>
      </w:pPr>
      <w:r>
        <w:rPr>
          <w:rFonts w:hint="eastAsia" w:asciiTheme="minorEastAsia" w:hAnsiTheme="minorEastAsia" w:cstheme="minorEastAsia"/>
          <w:bCs/>
          <w:color w:val="auto"/>
          <w:highlight w:val="none"/>
        </w:rPr>
        <w:t>对于具体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pPr>
        <w:autoSpaceDE w:val="0"/>
        <w:autoSpaceDN w:val="0"/>
        <w:spacing w:line="400" w:lineRule="exact"/>
        <w:rPr>
          <w:rFonts w:asciiTheme="minorEastAsia" w:hAnsiTheme="minorEastAsia" w:eastAsiaTheme="minorEastAsia" w:cstheme="minorEastAsia"/>
          <w:b/>
          <w:color w:val="auto"/>
          <w:sz w:val="21"/>
          <w:szCs w:val="21"/>
          <w:highlight w:val="none"/>
        </w:rPr>
      </w:pPr>
    </w:p>
    <w:p>
      <w:pPr>
        <w:pStyle w:val="3"/>
        <w:snapToGrid w:val="0"/>
        <w:spacing w:before="0" w:after="0" w:line="360" w:lineRule="exact"/>
        <w:ind w:left="0" w:firstLine="422"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八、说明</w:t>
      </w:r>
    </w:p>
    <w:p>
      <w:pPr>
        <w:snapToGrid w:val="0"/>
        <w:spacing w:line="42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投标人应按招标文件要求如实填写技术规格/要求偏离表。投标人须对照招标文件技术规格要求，将自己所投的所有货物的功能、技术性能、配置、用途等内容按照技术规格/要求偏离表格式逐条填写，说明所提供货物和服务已对招标文件的技术规格做出了实质性响应，并申明与技术规格条文的偏差和例外。</w:t>
      </w:r>
      <w:r>
        <w:rPr>
          <w:rFonts w:hint="eastAsia" w:asciiTheme="minorEastAsia" w:hAnsiTheme="minorEastAsia" w:eastAsiaTheme="minorEastAsia" w:cstheme="minorEastAsia"/>
          <w:b/>
          <w:color w:val="auto"/>
          <w:kern w:val="2"/>
          <w:sz w:val="21"/>
          <w:szCs w:val="21"/>
          <w:highlight w:val="none"/>
        </w:rPr>
        <w:t>凡未填写技术规格/要求偏离表或未作出应答的</w:t>
      </w:r>
      <w:r>
        <w:rPr>
          <w:rFonts w:hint="eastAsia" w:asciiTheme="minorEastAsia" w:hAnsiTheme="minorEastAsia" w:eastAsiaTheme="minorEastAsia" w:cstheme="minorEastAsia"/>
          <w:color w:val="auto"/>
          <w:kern w:val="2"/>
          <w:sz w:val="21"/>
          <w:szCs w:val="21"/>
          <w:highlight w:val="none"/>
        </w:rPr>
        <w:t>，将视为</w:t>
      </w:r>
      <w:r>
        <w:rPr>
          <w:rFonts w:hint="eastAsia" w:asciiTheme="minorEastAsia" w:hAnsiTheme="minorEastAsia" w:eastAsiaTheme="minorEastAsia" w:cstheme="minorEastAsia"/>
          <w:b/>
          <w:color w:val="auto"/>
          <w:kern w:val="2"/>
          <w:sz w:val="21"/>
          <w:szCs w:val="21"/>
          <w:highlight w:val="none"/>
        </w:rPr>
        <w:t>无效响应</w:t>
      </w:r>
      <w:r>
        <w:rPr>
          <w:rFonts w:hint="eastAsia" w:asciiTheme="minorEastAsia" w:hAnsiTheme="minorEastAsia" w:eastAsiaTheme="minorEastAsia" w:cstheme="minorEastAsia"/>
          <w:color w:val="auto"/>
          <w:kern w:val="2"/>
          <w:sz w:val="21"/>
          <w:szCs w:val="21"/>
          <w:highlight w:val="none"/>
        </w:rPr>
        <w:t>。</w:t>
      </w:r>
    </w:p>
    <w:p>
      <w:pPr>
        <w:snapToGrid w:val="0"/>
        <w:spacing w:line="420" w:lineRule="exact"/>
        <w:ind w:firstLine="420" w:firstLineChars="200"/>
        <w:jc w:val="both"/>
        <w:textAlignment w:val="auto"/>
        <w:rPr>
          <w:rFonts w:asciiTheme="minorEastAsia" w:hAnsiTheme="minorEastAsia" w:eastAsiaTheme="minorEastAsia" w:cstheme="minorEastAsia"/>
          <w:color w:val="auto"/>
          <w:sz w:val="21"/>
          <w:szCs w:val="21"/>
          <w:highlight w:val="none"/>
        </w:rPr>
        <w:sectPr>
          <w:pgSz w:w="11906" w:h="16838"/>
          <w:pgMar w:top="1418" w:right="1247" w:bottom="1247" w:left="1418" w:header="851" w:footer="851" w:gutter="0"/>
          <w:cols w:space="720" w:num="1"/>
          <w:docGrid w:linePitch="326" w:charSpace="0"/>
        </w:sectPr>
      </w:pPr>
      <w:r>
        <w:rPr>
          <w:rFonts w:hint="eastAsia" w:asciiTheme="minorEastAsia" w:hAnsiTheme="minorEastAsia" w:eastAsiaTheme="minorEastAsia" w:cstheme="minorEastAsia"/>
          <w:color w:val="auto"/>
          <w:kern w:val="2"/>
          <w:sz w:val="21"/>
          <w:szCs w:val="21"/>
          <w:highlight w:val="none"/>
        </w:rPr>
        <w:t>2、对于有区间值要求的指标项，如标示为“≤”某指标值的，评审时以“=”该指标值的判定为满足，“＜”该指标值的判定为优于；同样，如标示为“≥”某指标值的，评审时以“=”该指标值的判定为满足，“＞该指标值的判定为优于</w:t>
      </w:r>
      <w:r>
        <w:rPr>
          <w:rFonts w:hint="eastAsia" w:asciiTheme="minorEastAsia" w:hAnsiTheme="minorEastAsia" w:eastAsiaTheme="minorEastAsia" w:cstheme="minorEastAsia"/>
          <w:color w:val="auto"/>
          <w:sz w:val="21"/>
          <w:szCs w:val="21"/>
          <w:highlight w:val="none"/>
        </w:rPr>
        <w:t>。</w:t>
      </w:r>
    </w:p>
    <w:bookmarkEnd w:id="63"/>
    <w:bookmarkEnd w:id="64"/>
    <w:bookmarkEnd w:id="65"/>
    <w:bookmarkEnd w:id="66"/>
    <w:p>
      <w:pPr>
        <w:pStyle w:val="2"/>
        <w:spacing w:before="120" w:after="120"/>
        <w:ind w:left="0" w:firstLine="2209" w:firstLineChars="500"/>
        <w:jc w:val="both"/>
        <w:rPr>
          <w:rFonts w:asciiTheme="minorEastAsia" w:hAnsiTheme="minorEastAsia" w:eastAsiaTheme="minorEastAsia" w:cstheme="minorEastAsia"/>
          <w:color w:val="auto"/>
          <w:highlight w:val="none"/>
        </w:rPr>
      </w:pPr>
      <w:bookmarkStart w:id="68" w:name="_Toc138929558"/>
      <w:bookmarkStart w:id="69" w:name="_Toc418512116"/>
      <w:bookmarkStart w:id="70" w:name="_Toc178828113"/>
      <w:r>
        <w:rPr>
          <w:rFonts w:hint="eastAsia" w:asciiTheme="minorEastAsia" w:hAnsiTheme="minorEastAsia" w:eastAsiaTheme="minorEastAsia" w:cstheme="minorEastAsia"/>
          <w:color w:val="auto"/>
          <w:highlight w:val="none"/>
        </w:rPr>
        <w:t>第三篇  项目商务要求</w:t>
      </w:r>
      <w:bookmarkEnd w:id="68"/>
    </w:p>
    <w:bookmarkEnd w:id="69"/>
    <w:bookmarkEnd w:id="70"/>
    <w:p>
      <w:pPr>
        <w:spacing w:line="360" w:lineRule="auto"/>
        <w:ind w:firstLine="442" w:firstLineChars="200"/>
        <w:rPr>
          <w:rFonts w:asciiTheme="minorEastAsia" w:hAnsiTheme="minorEastAsia" w:eastAsiaTheme="minorEastAsia" w:cstheme="minorEastAsia"/>
          <w:b/>
          <w:color w:val="auto"/>
          <w:sz w:val="22"/>
          <w:highlight w:val="none"/>
        </w:rPr>
      </w:pPr>
      <w:r>
        <w:rPr>
          <w:rFonts w:hint="eastAsia" w:asciiTheme="minorEastAsia" w:hAnsiTheme="minorEastAsia" w:eastAsiaTheme="minorEastAsia" w:cstheme="minorEastAsia"/>
          <w:b/>
          <w:color w:val="auto"/>
          <w:sz w:val="22"/>
          <w:highlight w:val="none"/>
        </w:rPr>
        <w:t>一.通用条款</w:t>
      </w:r>
    </w:p>
    <w:p>
      <w:pPr>
        <w:spacing w:line="360" w:lineRule="auto"/>
        <w:ind w:firstLine="519" w:firstLineChars="235"/>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进口设备：详见进口设备合同模版</w:t>
      </w:r>
    </w:p>
    <w:p>
      <w:pPr>
        <w:spacing w:line="360" w:lineRule="auto"/>
        <w:ind w:firstLine="519" w:firstLineChars="235"/>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国产设备：详见国产设备合同模版</w:t>
      </w:r>
    </w:p>
    <w:p>
      <w:pPr>
        <w:spacing w:line="360" w:lineRule="auto"/>
        <w:ind w:firstLine="389" w:firstLineChars="176"/>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二.专用条款</w:t>
      </w:r>
    </w:p>
    <w:p>
      <w:pPr>
        <w:spacing w:line="360" w:lineRule="auto"/>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 xml:space="preserve">   </w:t>
      </w: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bCs/>
          <w:color w:val="auto"/>
          <w:sz w:val="22"/>
          <w:highlight w:val="none"/>
        </w:rPr>
        <w:t>（一）交货时间：</w:t>
      </w:r>
    </w:p>
    <w:p>
      <w:pPr>
        <w:autoSpaceDE w:val="0"/>
        <w:autoSpaceDN w:val="0"/>
        <w:spacing w:line="420" w:lineRule="exact"/>
        <w:ind w:firstLine="420"/>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1.关境内货物：关境内货物为合同签订后30个工作日内所有设备到货。</w:t>
      </w:r>
    </w:p>
    <w:p>
      <w:pPr>
        <w:autoSpaceDE w:val="0"/>
        <w:autoSpaceDN w:val="0"/>
        <w:spacing w:line="420" w:lineRule="exact"/>
        <w:ind w:firstLine="420"/>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关境外货物：关境外货物为L/C开出后180日内到货。</w:t>
      </w:r>
    </w:p>
    <w:p>
      <w:pPr>
        <w:autoSpaceDE w:val="0"/>
        <w:autoSpaceDN w:val="0"/>
        <w:spacing w:line="420" w:lineRule="exact"/>
        <w:ind w:firstLine="42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供应商应保证在要求时间内完成全部货物的供货、安装、调试和培训工作，符合国家标准、行业规范和合同等相关文件的要求。</w:t>
      </w:r>
    </w:p>
    <w:p>
      <w:pPr>
        <w:spacing w:line="42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2.供方应在交货前至少提前三天以书面或电子文件形式通知需方准备收货。</w:t>
      </w:r>
    </w:p>
    <w:p>
      <w:pPr>
        <w:spacing w:line="420" w:lineRule="exact"/>
        <w:ind w:firstLine="517" w:firstLineChars="235"/>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需方指定收货人：</w:t>
      </w:r>
      <w:r>
        <w:rPr>
          <w:rFonts w:hint="eastAsia" w:asciiTheme="minorEastAsia" w:hAnsiTheme="minorEastAsia" w:eastAsiaTheme="minorEastAsia" w:cstheme="minorEastAsia"/>
          <w:color w:val="auto"/>
          <w:sz w:val="22"/>
          <w:highlight w:val="none"/>
          <w:lang w:val="en-US" w:eastAsia="zh-CN"/>
        </w:rPr>
        <w:t>张</w:t>
      </w:r>
      <w:r>
        <w:rPr>
          <w:rFonts w:hint="eastAsia" w:asciiTheme="minorEastAsia" w:hAnsiTheme="minorEastAsia" w:eastAsiaTheme="minorEastAsia" w:cstheme="minorEastAsia"/>
          <w:color w:val="auto"/>
          <w:sz w:val="22"/>
          <w:highlight w:val="none"/>
        </w:rPr>
        <w:t>老师，电话：</w:t>
      </w:r>
      <w:r>
        <w:rPr>
          <w:rFonts w:hint="eastAsia" w:asciiTheme="minorEastAsia" w:hAnsiTheme="minorEastAsia" w:eastAsiaTheme="minorEastAsia" w:cstheme="minorEastAsia"/>
          <w:color w:val="auto"/>
          <w:sz w:val="21"/>
          <w:szCs w:val="21"/>
          <w:highlight w:val="none"/>
          <w:lang w:val="en-US" w:eastAsia="zh-CN"/>
        </w:rPr>
        <w:t>13752930198</w:t>
      </w:r>
    </w:p>
    <w:p>
      <w:pPr>
        <w:widowControl/>
        <w:tabs>
          <w:tab w:val="left" w:pos="1134"/>
        </w:tabs>
        <w:spacing w:line="400" w:lineRule="exact"/>
        <w:ind w:firstLine="480" w:firstLineChars="200"/>
        <w:rPr>
          <w:rFonts w:asciiTheme="minorEastAsia" w:hAnsiTheme="minorEastAsia" w:eastAsiaTheme="minorEastAsia" w:cstheme="minorEastAsia"/>
          <w:b/>
          <w:color w:val="auto"/>
          <w:sz w:val="22"/>
          <w:highlight w:val="none"/>
        </w:rPr>
      </w:pPr>
      <w:bookmarkStart w:id="71" w:name="_Toc453513146"/>
      <w:bookmarkStart w:id="72" w:name="_Toc453512847"/>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highlight w:val="none"/>
        </w:rPr>
        <w:t>（二）交货地点：</w:t>
      </w:r>
      <w:r>
        <w:rPr>
          <w:rFonts w:hint="eastAsia" w:asciiTheme="minorEastAsia" w:hAnsiTheme="minorEastAsia" w:eastAsiaTheme="minorEastAsia" w:cstheme="minorEastAsia"/>
          <w:color w:val="auto"/>
          <w:sz w:val="21"/>
          <w:szCs w:val="21"/>
          <w:highlight w:val="none"/>
          <w:lang w:val="en-US" w:eastAsia="zh-CN"/>
        </w:rPr>
        <w:t>西南大学北碚校区内指定地点。</w:t>
      </w:r>
    </w:p>
    <w:p>
      <w:pPr>
        <w:autoSpaceDE w:val="0"/>
        <w:autoSpaceDN w:val="0"/>
        <w:spacing w:line="460" w:lineRule="exact"/>
        <w:ind w:firstLine="422" w:firstLineChars="176"/>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highlight w:val="none"/>
        </w:rPr>
        <w:t>（三）包装和运输要求：</w:t>
      </w:r>
      <w:r>
        <w:rPr>
          <w:rFonts w:hint="eastAsia" w:asciiTheme="minorEastAsia" w:hAnsiTheme="minorEastAsia" w:eastAsiaTheme="minorEastAsia" w:cstheme="minorEastAsia"/>
          <w:color w:val="auto"/>
          <w:sz w:val="22"/>
          <w:highlight w:val="none"/>
        </w:rPr>
        <w:t>供方应提供原厂包装的货物。关境外货物须按进口通用标准包装全部货物，保证货物的包装符合整个运输过程的要求，由于包装不良所发生的损失，或由于采用不充分或不妥善的防护措施而造成的任何损害，应由供方承担由此产生的所有费用和损失。</w:t>
      </w:r>
    </w:p>
    <w:p>
      <w:pPr>
        <w:autoSpaceDE w:val="0"/>
        <w:autoSpaceDN w:val="0"/>
        <w:spacing w:line="460" w:lineRule="exact"/>
        <w:ind w:firstLine="389" w:firstLineChars="176"/>
        <w:rPr>
          <w:rFonts w:asciiTheme="minorEastAsia" w:hAnsiTheme="minorEastAsia" w:eastAsiaTheme="minorEastAsia" w:cstheme="minorEastAsia"/>
          <w:b/>
          <w:bCs/>
          <w:color w:val="auto"/>
          <w:sz w:val="22"/>
          <w:highlight w:val="none"/>
        </w:rPr>
      </w:pPr>
      <w:r>
        <w:rPr>
          <w:rFonts w:hint="eastAsia" w:asciiTheme="minorEastAsia" w:hAnsiTheme="minorEastAsia" w:eastAsiaTheme="minorEastAsia" w:cstheme="minorEastAsia"/>
          <w:b/>
          <w:bCs/>
          <w:color w:val="auto"/>
          <w:sz w:val="22"/>
          <w:highlight w:val="none"/>
        </w:rPr>
        <w:t>*（四）货物安装调试、培训与验收</w:t>
      </w:r>
    </w:p>
    <w:p>
      <w:pPr>
        <w:autoSpaceDE w:val="0"/>
        <w:autoSpaceDN w:val="0"/>
        <w:spacing w:line="460" w:lineRule="exact"/>
        <w:ind w:firstLine="387" w:firstLineChars="176"/>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1.</w:t>
      </w:r>
      <w:r>
        <w:rPr>
          <w:color w:val="auto"/>
          <w:spacing w:val="-4"/>
          <w:sz w:val="22"/>
          <w:highlight w:val="none"/>
        </w:rPr>
        <w:t>供方应在合同生效后30天内向用户提供详细的安装准备条件及安装计划，</w:t>
      </w:r>
      <w:r>
        <w:rPr>
          <w:color w:val="auto"/>
          <w:sz w:val="22"/>
          <w:highlight w:val="none"/>
        </w:rPr>
        <w:t>并于交货时派专业的工程师就安装场地，环境，电气排水条件等进行确认。</w:t>
      </w:r>
    </w:p>
    <w:p>
      <w:pPr>
        <w:autoSpaceDE w:val="0"/>
        <w:autoSpaceDN w:val="0"/>
        <w:spacing w:line="460" w:lineRule="exact"/>
        <w:ind w:firstLine="373" w:firstLineChars="176"/>
        <w:rPr>
          <w:rFonts w:asciiTheme="minorEastAsia" w:hAnsiTheme="minorEastAsia" w:eastAsiaTheme="minorEastAsia" w:cstheme="minorEastAsia"/>
          <w:color w:val="auto"/>
          <w:sz w:val="22"/>
          <w:highlight w:val="none"/>
        </w:rPr>
      </w:pPr>
      <w:r>
        <w:rPr>
          <w:rFonts w:hint="eastAsia"/>
          <w:bCs/>
          <w:color w:val="auto"/>
          <w:spacing w:val="-4"/>
          <w:sz w:val="22"/>
          <w:highlight w:val="none"/>
        </w:rPr>
        <w:t xml:space="preserve">2.货物到达指定地点之日起 </w:t>
      </w:r>
      <w:r>
        <w:rPr>
          <w:rFonts w:hint="eastAsia"/>
          <w:bCs/>
          <w:color w:val="auto"/>
          <w:spacing w:val="-4"/>
          <w:sz w:val="22"/>
          <w:highlight w:val="none"/>
          <w:lang w:val="en-US" w:eastAsia="zh-CN"/>
        </w:rPr>
        <w:t>10</w:t>
      </w:r>
      <w:r>
        <w:rPr>
          <w:rFonts w:hint="eastAsia"/>
          <w:bCs/>
          <w:color w:val="auto"/>
          <w:spacing w:val="-4"/>
          <w:sz w:val="22"/>
          <w:highlight w:val="none"/>
        </w:rPr>
        <w:t>个工作日内，由供货商与需方用户共同开箱，检查仪器设备及随机附件是否全新、完好无损；技术资料与图纸 （供方在交货时应向需方提供与本合同项下货物相符且最新的完整的技术资料 ）是否与需方的要求相符，并填写开箱记录。</w:t>
      </w:r>
      <w:r>
        <w:rPr>
          <w:rFonts w:hint="eastAsia"/>
          <w:b/>
          <w:color w:val="auto"/>
          <w:spacing w:val="-4"/>
          <w:sz w:val="22"/>
          <w:highlight w:val="none"/>
        </w:rPr>
        <w:t xml:space="preserve">进口货物提供报关单等证明材料 </w:t>
      </w:r>
      <w:r>
        <w:rPr>
          <w:rFonts w:hint="eastAsia" w:asciiTheme="minorEastAsia" w:hAnsiTheme="minorEastAsia" w:eastAsiaTheme="minorEastAsia" w:cstheme="minorEastAsia"/>
          <w:color w:val="auto"/>
          <w:sz w:val="22"/>
          <w:highlight w:val="none"/>
        </w:rPr>
        <w:t>。</w:t>
      </w:r>
    </w:p>
    <w:p>
      <w:pPr>
        <w:autoSpaceDE w:val="0"/>
        <w:autoSpaceDN w:val="0"/>
        <w:spacing w:line="460" w:lineRule="exact"/>
        <w:ind w:firstLine="387" w:firstLineChars="176"/>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bCs/>
          <w:color w:val="auto"/>
          <w:kern w:val="24"/>
          <w:sz w:val="22"/>
          <w:szCs w:val="22"/>
          <w:highlight w:val="none"/>
        </w:rPr>
        <w:t>3.</w:t>
      </w:r>
      <w:r>
        <w:rPr>
          <w:rFonts w:hint="eastAsia"/>
          <w:bCs/>
          <w:color w:val="auto"/>
          <w:spacing w:val="-4"/>
          <w:sz w:val="22"/>
          <w:highlight w:val="none"/>
        </w:rPr>
        <w:t>供方应在开箱后</w:t>
      </w:r>
      <w:r>
        <w:rPr>
          <w:rFonts w:hint="eastAsia"/>
          <w:b/>
          <w:color w:val="auto"/>
          <w:spacing w:val="-4"/>
          <w:sz w:val="22"/>
          <w:highlight w:val="none"/>
          <w:lang w:val="en-US" w:eastAsia="zh-CN"/>
        </w:rPr>
        <w:t>10</w:t>
      </w:r>
      <w:r>
        <w:rPr>
          <w:rFonts w:hint="eastAsia"/>
          <w:b/>
          <w:color w:val="auto"/>
          <w:spacing w:val="-4"/>
          <w:sz w:val="22"/>
          <w:highlight w:val="none"/>
        </w:rPr>
        <w:t>个工作日</w:t>
      </w:r>
      <w:r>
        <w:rPr>
          <w:rFonts w:hint="eastAsia"/>
          <w:bCs/>
          <w:color w:val="auto"/>
          <w:spacing w:val="-4"/>
          <w:sz w:val="22"/>
          <w:highlight w:val="none"/>
        </w:rPr>
        <w:t>内完成全部货物的安装调试</w:t>
      </w:r>
      <w:r>
        <w:rPr>
          <w:rFonts w:hint="eastAsia" w:asciiTheme="minorEastAsia" w:hAnsiTheme="minorEastAsia" w:eastAsiaTheme="minorEastAsia" w:cstheme="minorEastAsia"/>
          <w:bCs/>
          <w:color w:val="auto"/>
          <w:kern w:val="24"/>
          <w:sz w:val="22"/>
          <w:szCs w:val="22"/>
          <w:highlight w:val="none"/>
        </w:rPr>
        <w:t>，</w:t>
      </w:r>
      <w:r>
        <w:rPr>
          <w:rFonts w:hint="eastAsia" w:asciiTheme="minorEastAsia" w:hAnsiTheme="minorEastAsia" w:eastAsiaTheme="minorEastAsia" w:cstheme="minorEastAsia"/>
          <w:color w:val="auto"/>
          <w:sz w:val="22"/>
          <w:highlight w:val="none"/>
        </w:rPr>
        <w:t>供方安装人员应对现场安装安全负责。安装调试费用（包括但不限于供方人员的人工费、差旅费、食宿及其它费用）由供方承担。</w:t>
      </w:r>
    </w:p>
    <w:p>
      <w:pPr>
        <w:autoSpaceDE w:val="0"/>
        <w:autoSpaceDN w:val="0"/>
        <w:spacing w:line="460" w:lineRule="exact"/>
        <w:ind w:firstLine="42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4.</w:t>
      </w:r>
      <w:r>
        <w:rPr>
          <w:rFonts w:hint="eastAsia"/>
          <w:color w:val="auto"/>
          <w:sz w:val="22"/>
          <w:highlight w:val="none"/>
        </w:rPr>
        <w:t>设备在需方现场的安装调试和培训工作由供方派技术熟练的专家进行，供方自备安装调试工具。</w:t>
      </w:r>
    </w:p>
    <w:p>
      <w:pPr>
        <w:autoSpaceDE w:val="0"/>
        <w:autoSpaceDN w:val="0"/>
        <w:spacing w:line="460" w:lineRule="exact"/>
        <w:ind w:firstLine="42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5.安装调试完成后10日内，供方应负责对需方指定的技术人员和操作人员在需方处进行免费现场操作培训。此外，在客户熟悉仪器后，供方还需要提供高级应用培训，培训费用（包括但不限于培训费、差旅费、食宿及其它费用）由供方承担。</w:t>
      </w:r>
    </w:p>
    <w:p>
      <w:pPr>
        <w:autoSpaceDE w:val="0"/>
        <w:autoSpaceDN w:val="0"/>
        <w:spacing w:line="460" w:lineRule="exact"/>
        <w:ind w:firstLine="387" w:firstLineChars="176"/>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5.1现场操作培训：应包括合同货物的安全事项、工作原理、操作技能（包括按需方提供的实物进行现场操作培训）、日常维护和常规故障检修等内容，确保培训结束后需方受训人员能独立进行操作（包括能获取正确数据）、维护和常规故障的检修，培训人数由需方确定。</w:t>
      </w:r>
    </w:p>
    <w:p>
      <w:pPr>
        <w:autoSpaceDE w:val="0"/>
        <w:autoSpaceDN w:val="0"/>
        <w:spacing w:line="460" w:lineRule="exact"/>
        <w:ind w:firstLine="387" w:firstLineChars="176"/>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5.2高级应用培训：在客户熟悉仪器后，根据使用情况，</w:t>
      </w:r>
      <w:r>
        <w:rPr>
          <w:rFonts w:hint="eastAsia" w:asciiTheme="minorEastAsia" w:hAnsiTheme="minorEastAsia" w:cstheme="minorEastAsia"/>
          <w:color w:val="auto"/>
          <w:sz w:val="22"/>
          <w:highlight w:val="none"/>
        </w:rPr>
        <w:t>质保期内</w:t>
      </w:r>
      <w:r>
        <w:rPr>
          <w:rFonts w:hint="eastAsia" w:asciiTheme="minorEastAsia" w:hAnsiTheme="minorEastAsia" w:eastAsiaTheme="minorEastAsia" w:cstheme="minorEastAsia"/>
          <w:color w:val="auto"/>
          <w:sz w:val="22"/>
          <w:highlight w:val="none"/>
        </w:rPr>
        <w:t>需提供至少两次且每次至少五个工作日的用户现场高级应用培训。仪器最终验收合格后正常运行的</w:t>
      </w:r>
      <w:r>
        <w:rPr>
          <w:rFonts w:hint="eastAsia" w:asciiTheme="minorEastAsia" w:hAnsiTheme="minorEastAsia" w:eastAsiaTheme="minorEastAsia" w:cstheme="minorEastAsia"/>
          <w:color w:val="auto"/>
          <w:sz w:val="22"/>
          <w:highlight w:val="none"/>
          <w:lang w:val="en-US" w:eastAsia="zh-CN"/>
        </w:rPr>
        <w:t>五</w:t>
      </w:r>
      <w:r>
        <w:rPr>
          <w:rFonts w:hint="eastAsia" w:asciiTheme="minorEastAsia" w:hAnsiTheme="minorEastAsia" w:eastAsiaTheme="minorEastAsia" w:cstheme="minorEastAsia"/>
          <w:color w:val="auto"/>
          <w:sz w:val="22"/>
          <w:highlight w:val="none"/>
        </w:rPr>
        <w:t>年内，供方应安排应用工程师每年至少一次针对附件功能进行现场培训。</w:t>
      </w:r>
    </w:p>
    <w:p>
      <w:pPr>
        <w:autoSpaceDE w:val="0"/>
        <w:autoSpaceDN w:val="0"/>
        <w:spacing w:line="460" w:lineRule="exact"/>
        <w:ind w:firstLine="387" w:firstLineChars="176"/>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color w:val="auto"/>
          <w:sz w:val="22"/>
          <w:highlight w:val="none"/>
        </w:rPr>
        <w:t>6.在合同约定的全部货物到齐（包括试剂耗材，技术资料），供应商完成安装、调试和现场培训后，设备和项目进入试运行期。</w:t>
      </w:r>
      <w:r>
        <w:rPr>
          <w:rFonts w:hint="eastAsia" w:asciiTheme="minorEastAsia" w:hAnsiTheme="minorEastAsia" w:eastAsiaTheme="minorEastAsia" w:cstheme="minorEastAsia"/>
          <w:bCs/>
          <w:color w:val="auto"/>
          <w:kern w:val="24"/>
          <w:sz w:val="22"/>
          <w:szCs w:val="22"/>
          <w:highlight w:val="none"/>
        </w:rPr>
        <w:t>设备和项目正常运行</w:t>
      </w:r>
      <w:r>
        <w:rPr>
          <w:rFonts w:hint="eastAsia" w:asciiTheme="minorEastAsia" w:hAnsiTheme="minorEastAsia" w:eastAsiaTheme="minorEastAsia" w:cstheme="minorEastAsia"/>
          <w:b/>
          <w:color w:val="auto"/>
          <w:kern w:val="24"/>
          <w:sz w:val="22"/>
          <w:szCs w:val="22"/>
          <w:highlight w:val="none"/>
        </w:rPr>
        <w:t>30个工作日</w:t>
      </w:r>
      <w:r>
        <w:rPr>
          <w:rFonts w:hint="eastAsia" w:asciiTheme="minorEastAsia" w:hAnsiTheme="minorEastAsia" w:eastAsiaTheme="minorEastAsia" w:cstheme="minorEastAsia"/>
          <w:bCs/>
          <w:color w:val="auto"/>
          <w:kern w:val="24"/>
          <w:sz w:val="22"/>
          <w:szCs w:val="22"/>
          <w:highlight w:val="none"/>
        </w:rPr>
        <w:t>后，</w:t>
      </w:r>
      <w:r>
        <w:rPr>
          <w:rFonts w:hint="eastAsia"/>
          <w:bCs/>
          <w:color w:val="auto"/>
          <w:spacing w:val="-4"/>
          <w:sz w:val="22"/>
          <w:highlight w:val="none"/>
        </w:rPr>
        <w:t>由供货商提出书面验收申请，需方受理申请且资料完整后 15 日内组织验收小组，验收小组将根据采购文件、投标文件、合同等项目文件约定内容对项目和设备进行质量性能的综合运行验收。在约定验收的日期前供方必须协助需方用户完成各项指标和功能的测试，现场验收时供方提供必要的技术支持，否则验收延误由供方负责。通过技术性能验收后，需方将出具验收合格证明</w:t>
      </w:r>
      <w:r>
        <w:rPr>
          <w:rFonts w:hint="eastAsia" w:asciiTheme="minorEastAsia" w:hAnsiTheme="minorEastAsia" w:eastAsiaTheme="minorEastAsia" w:cstheme="minorEastAsia"/>
          <w:bCs/>
          <w:color w:val="auto"/>
          <w:kern w:val="24"/>
          <w:sz w:val="22"/>
          <w:szCs w:val="22"/>
          <w:highlight w:val="none"/>
        </w:rPr>
        <w:t>。</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7.</w:t>
      </w:r>
      <w:r>
        <w:rPr>
          <w:rFonts w:hint="eastAsia"/>
          <w:bCs/>
          <w:color w:val="auto"/>
          <w:spacing w:val="-4"/>
          <w:sz w:val="22"/>
          <w:highlight w:val="none"/>
        </w:rPr>
        <w:t>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r>
        <w:rPr>
          <w:rFonts w:hint="eastAsia" w:asciiTheme="minorEastAsia" w:hAnsiTheme="minorEastAsia" w:eastAsiaTheme="minorEastAsia" w:cstheme="minorEastAsia"/>
          <w:bCs/>
          <w:color w:val="auto"/>
          <w:kern w:val="24"/>
          <w:sz w:val="22"/>
          <w:szCs w:val="22"/>
          <w:highlight w:val="none"/>
        </w:rPr>
        <w:t>。</w:t>
      </w:r>
    </w:p>
    <w:p>
      <w:pPr>
        <w:autoSpaceDE w:val="0"/>
        <w:autoSpaceDN w:val="0"/>
        <w:spacing w:line="460" w:lineRule="exact"/>
        <w:ind w:firstLine="440" w:firstLineChars="200"/>
        <w:rPr>
          <w:rFonts w:asciiTheme="minorEastAsia" w:hAnsiTheme="minorEastAsia" w:eastAsiaTheme="minorEastAsia" w:cstheme="minorEastAsia"/>
          <w:color w:val="auto"/>
          <w:sz w:val="22"/>
          <w:highlight w:val="none"/>
        </w:rPr>
      </w:pPr>
    </w:p>
    <w:p>
      <w:pPr>
        <w:tabs>
          <w:tab w:val="left" w:pos="540"/>
        </w:tabs>
        <w:snapToGrid w:val="0"/>
        <w:spacing w:after="120" w:afterLines="50" w:line="400" w:lineRule="exact"/>
        <w:ind w:firstLine="480" w:firstLineChars="200"/>
        <w:rPr>
          <w:rFonts w:asciiTheme="minorEastAsia" w:hAnsiTheme="minorEastAsia" w:eastAsiaTheme="minorEastAsia" w:cstheme="minorEastAsia"/>
          <w:b/>
          <w:color w:val="auto"/>
          <w:sz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highlight w:val="none"/>
        </w:rPr>
        <w:t>（五）付款方式及履约保证金</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1.关境外供货：</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及等额正式发票向银行申请解付剩余的 10%货款。</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2.关境内供货</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（1）质量性能验收合格后3个工作日内，供方向需方交纳合同总价的5%作履约保证金；需方收到履约保证金后7工作日内，向供方支付100%的合同总价款。</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（2）质量性能验收合格之日起1年内若无遗留问题，需方将履约保证金本金全额无息退还供方；若有尚未解决的遗留问题，暂不予退还。</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（3）需方每次向供方付款前，供方应该先行向需方提供增值税专用发票。货款及履约保证金均以银行转账方式支付。</w:t>
      </w:r>
    </w:p>
    <w:p>
      <w:pPr>
        <w:autoSpaceDE w:val="0"/>
        <w:autoSpaceDN w:val="0"/>
        <w:spacing w:line="460" w:lineRule="exact"/>
        <w:ind w:firstLine="420"/>
        <w:rPr>
          <w:rFonts w:asciiTheme="minorEastAsia" w:hAnsiTheme="minorEastAsia" w:eastAsiaTheme="minorEastAsia" w:cstheme="minorEastAsia"/>
          <w:bCs/>
          <w:color w:val="auto"/>
          <w:kern w:val="24"/>
          <w:sz w:val="22"/>
          <w:szCs w:val="22"/>
          <w:highlight w:val="none"/>
        </w:rPr>
      </w:pPr>
      <w:r>
        <w:rPr>
          <w:rFonts w:hint="eastAsia" w:asciiTheme="minorEastAsia" w:hAnsiTheme="minorEastAsia" w:eastAsiaTheme="minorEastAsia" w:cstheme="minorEastAsia"/>
          <w:bCs/>
          <w:color w:val="auto"/>
          <w:kern w:val="24"/>
          <w:sz w:val="22"/>
          <w:szCs w:val="22"/>
          <w:highlight w:val="none"/>
        </w:rPr>
        <w:t>3.关境外货物的进口清关及进口免税手续（若能享受免税政策）由采购人指定的外贸公司负责办理。进口代理费标准：合同金额小于人民币200万元的，按0.25%计收；合同金额大于等于200万元人民币小于500万元人民币的，按0.1%计收；合同金额大于等于500万元人民币，按0.05%计收。其他费用的收费标准按各外贸公司与西南大学签订的进口仪器设备外贸代理服务合同执行。</w:t>
      </w:r>
    </w:p>
    <w:p>
      <w:pPr>
        <w:autoSpaceDE w:val="0"/>
        <w:autoSpaceDN w:val="0"/>
        <w:spacing w:line="460" w:lineRule="exact"/>
        <w:ind w:firstLine="420"/>
        <w:rPr>
          <w:rFonts w:cs="宋体" w:asciiTheme="minorEastAsia" w:hAnsiTheme="minorEastAsia" w:eastAsiaTheme="minorEastAsia"/>
          <w:b/>
          <w:bCs/>
          <w:color w:val="auto"/>
          <w:sz w:val="22"/>
          <w:szCs w:val="22"/>
          <w:highlight w:val="none"/>
        </w:rPr>
      </w:pPr>
      <w:r>
        <w:rPr>
          <w:rFonts w:cs="宋体" w:asciiTheme="minorEastAsia" w:hAnsiTheme="minorEastAsia" w:eastAsiaTheme="minorEastAsia"/>
          <w:b/>
          <w:bCs/>
          <w:color w:val="auto"/>
          <w:sz w:val="22"/>
          <w:szCs w:val="22"/>
          <w:highlight w:val="none"/>
        </w:rPr>
        <w:t>我校所购进口产品，必须通过我校指定的外贸代理公司报关进入，不接受之前已报关进入</w:t>
      </w:r>
      <w:r>
        <w:rPr>
          <w:rFonts w:hint="eastAsia" w:cs="宋体" w:asciiTheme="minorEastAsia" w:hAnsiTheme="minorEastAsia" w:eastAsiaTheme="minorEastAsia"/>
          <w:b/>
          <w:bCs/>
          <w:color w:val="auto"/>
          <w:sz w:val="22"/>
          <w:szCs w:val="22"/>
          <w:highlight w:val="none"/>
        </w:rPr>
        <w:t>关境内</w:t>
      </w:r>
      <w:r>
        <w:rPr>
          <w:rFonts w:cs="宋体" w:asciiTheme="minorEastAsia" w:hAnsiTheme="minorEastAsia" w:eastAsiaTheme="minorEastAsia"/>
          <w:b/>
          <w:bCs/>
          <w:color w:val="auto"/>
          <w:sz w:val="22"/>
          <w:szCs w:val="22"/>
          <w:highlight w:val="none"/>
        </w:rPr>
        <w:t>的产品</w:t>
      </w:r>
      <w:r>
        <w:rPr>
          <w:rFonts w:hint="eastAsia" w:cs="宋体" w:asciiTheme="minorEastAsia" w:hAnsiTheme="minorEastAsia" w:eastAsiaTheme="minorEastAsia"/>
          <w:b/>
          <w:bCs/>
          <w:color w:val="auto"/>
          <w:sz w:val="22"/>
          <w:szCs w:val="22"/>
          <w:highlight w:val="none"/>
        </w:rPr>
        <w:t>。</w:t>
      </w:r>
    </w:p>
    <w:p>
      <w:pPr>
        <w:widowControl/>
        <w:tabs>
          <w:tab w:val="left" w:pos="1134"/>
        </w:tabs>
        <w:spacing w:line="420" w:lineRule="exact"/>
        <w:ind w:firstLine="220" w:firstLineChars="1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需方银行账号信息：</w:t>
      </w:r>
    </w:p>
    <w:tbl>
      <w:tblPr>
        <w:tblStyle w:val="24"/>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开户名称：</w:t>
            </w:r>
          </w:p>
        </w:tc>
        <w:tc>
          <w:tcPr>
            <w:tcW w:w="2282" w:type="dxa"/>
            <w:tcBorders>
              <w:top w:val="nil"/>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西南大学</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银行账号：</w:t>
            </w:r>
          </w:p>
        </w:tc>
        <w:tc>
          <w:tcPr>
            <w:tcW w:w="2818" w:type="dxa"/>
            <w:tcBorders>
              <w:top w:val="nil"/>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开户银行：</w:t>
            </w:r>
          </w:p>
        </w:tc>
        <w:tc>
          <w:tcPr>
            <w:tcW w:w="2282"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工行重庆朝阳支行</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统一社会信用代码：</w:t>
            </w:r>
          </w:p>
        </w:tc>
        <w:tc>
          <w:tcPr>
            <w:tcW w:w="2818"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银行行号：</w:t>
            </w:r>
          </w:p>
        </w:tc>
        <w:tc>
          <w:tcPr>
            <w:tcW w:w="2282"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102653000474</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2818" w:type="dxa"/>
            <w:tcBorders>
              <w:left w:val="nil"/>
              <w:right w:val="nil"/>
            </w:tcBorders>
          </w:tcPr>
          <w:p>
            <w:pPr>
              <w:spacing w:line="420" w:lineRule="exac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重庆市北碚区天生路2号</w:t>
            </w:r>
          </w:p>
        </w:tc>
      </w:tr>
    </w:tbl>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highlight w:val="none"/>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w:t>
      </w:r>
      <w:bookmarkEnd w:id="71"/>
      <w:bookmarkEnd w:id="72"/>
      <w:r>
        <w:rPr>
          <w:rFonts w:hint="eastAsia" w:asciiTheme="minorEastAsia" w:hAnsiTheme="minorEastAsia" w:eastAsiaTheme="minorEastAsia" w:cstheme="minorEastAsia"/>
          <w:b/>
          <w:color w:val="auto"/>
          <w:sz w:val="22"/>
          <w:szCs w:val="22"/>
          <w:highlight w:val="none"/>
        </w:rPr>
        <w:t>六）售后服务要求和质量保证要求</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highlight w:val="none"/>
        </w:rPr>
      </w:pPr>
      <w:r>
        <w:rPr>
          <w:color w:val="auto"/>
          <w:sz w:val="22"/>
          <w:highlight w:val="none"/>
        </w:rPr>
        <w:t>制造商对产品提供终身技术支持，无论保修期内或保修期外，制造商均需提供优质高效的售后服务</w:t>
      </w:r>
      <w:r>
        <w:rPr>
          <w:rFonts w:hint="eastAsia" w:asciiTheme="minorEastAsia" w:hAnsiTheme="minorEastAsia" w:eastAsiaTheme="minorEastAsia" w:cstheme="minorEastAsia"/>
          <w:color w:val="auto"/>
          <w:sz w:val="22"/>
          <w:highlight w:val="none"/>
        </w:rPr>
        <w:t>。</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*1.</w:t>
      </w:r>
      <w:r>
        <w:rPr>
          <w:rFonts w:hint="eastAsia"/>
          <w:bCs/>
          <w:color w:val="auto"/>
          <w:spacing w:val="-4"/>
          <w:sz w:val="22"/>
          <w:highlight w:val="none"/>
        </w:rPr>
        <w:t>供需双方签订终验收合格报告之日起</w:t>
      </w:r>
      <w:r>
        <w:rPr>
          <w:rFonts w:hint="eastAsia"/>
          <w:b/>
          <w:bCs/>
          <w:color w:val="auto"/>
          <w:spacing w:val="-4"/>
          <w:sz w:val="22"/>
          <w:highlight w:val="none"/>
        </w:rPr>
        <w:t>整机免费质保</w:t>
      </w:r>
      <w:r>
        <w:rPr>
          <w:rFonts w:hint="eastAsia"/>
          <w:b/>
          <w:color w:val="auto"/>
          <w:sz w:val="22"/>
          <w:highlight w:val="none"/>
        </w:rPr>
        <w:t>1年</w:t>
      </w:r>
      <w:r>
        <w:rPr>
          <w:rFonts w:hint="eastAsia"/>
          <w:b/>
          <w:bCs/>
          <w:color w:val="auto"/>
          <w:spacing w:val="-4"/>
          <w:sz w:val="22"/>
          <w:highlight w:val="none"/>
        </w:rPr>
        <w:t>（进口货物须由制造商提供免费质保，并提供相关证明材料）</w:t>
      </w:r>
      <w:r>
        <w:rPr>
          <w:rFonts w:hint="eastAsia" w:asciiTheme="minorEastAsia" w:hAnsiTheme="minorEastAsia" w:eastAsiaTheme="minorEastAsia" w:cstheme="minorEastAsia"/>
          <w:color w:val="auto"/>
          <w:sz w:val="22"/>
          <w:highlight w:val="none"/>
        </w:rPr>
        <w:t>，在不增加模块的情况下，软件终身免费授权与升级。</w:t>
      </w:r>
      <w:r>
        <w:rPr>
          <w:rFonts w:hint="eastAsia"/>
          <w:color w:val="auto"/>
          <w:sz w:val="22"/>
          <w:highlight w:val="none"/>
        </w:rPr>
        <w:t>免费质量保证期从货物供货、安装、调试正常且经采购人综合运行并签订终验收合格报告之日起开始计算。免费质量保证期以整个项目为单位进行响应。质保期内，若货物出现故障，故障件的质保期从故障排除之日起重新起计；质保期内，故障时间累计超过1个月，整机保修期顺延3个月</w:t>
      </w:r>
      <w:r>
        <w:rPr>
          <w:rFonts w:hint="eastAsia" w:asciiTheme="minorEastAsia" w:hAnsiTheme="minorEastAsia" w:eastAsiaTheme="minorEastAsia" w:cstheme="minorEastAsia"/>
          <w:color w:val="auto"/>
          <w:sz w:val="22"/>
          <w:highlight w:val="none"/>
        </w:rPr>
        <w:t>。</w:t>
      </w:r>
    </w:p>
    <w:p>
      <w:pPr>
        <w:autoSpaceDE w:val="0"/>
        <w:autoSpaceDN w:val="0"/>
        <w:spacing w:line="400" w:lineRule="exact"/>
        <w:ind w:firstLine="42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*2.质量保证期内服务</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2.1</w:t>
      </w:r>
      <w:r>
        <w:rPr>
          <w:rFonts w:hint="eastAsia"/>
          <w:color w:val="auto"/>
          <w:sz w:val="22"/>
          <w:highlight w:val="none"/>
        </w:rPr>
        <w:t>正常使用条件下，供方须对设备出现的故障提供全免费维修，零部件损坏须及时免费更换，供方自备安装调试及维修用工具</w:t>
      </w:r>
      <w:r>
        <w:rPr>
          <w:rFonts w:hint="eastAsia" w:asciiTheme="minorEastAsia" w:hAnsiTheme="minorEastAsia" w:eastAsiaTheme="minorEastAsia" w:cstheme="minorEastAsia"/>
          <w:color w:val="auto"/>
          <w:sz w:val="22"/>
          <w:highlight w:val="none"/>
        </w:rPr>
        <w:t>。</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2.2</w:t>
      </w:r>
      <w:r>
        <w:rPr>
          <w:rFonts w:hint="eastAsia"/>
          <w:color w:val="auto"/>
          <w:sz w:val="22"/>
          <w:highlight w:val="none"/>
        </w:rPr>
        <w:t>提供 7*24 小时技术响应服务；接到客户的信息反馈或咨询后，应在4小时电话响应，提出解决方案；如需现场服务，应安排就近工程师到达，一般性问题应在到达后48小时内解决；对于在48小时内无法解决的其它较大的问题，应在72小时内给以解决，重大问题或其他无法立刻解决的问题，供方应在一周内解决或提出明确的解决方案，得到用户的认可后，在预定的期限内解决问题。设备保修期满前一个月，应进行一次全面的检查、维护，并写出正式报告，如发现潜在问题，应负责排除</w:t>
      </w:r>
      <w:r>
        <w:rPr>
          <w:rFonts w:hint="eastAsia" w:asciiTheme="minorEastAsia" w:hAnsiTheme="minorEastAsia" w:eastAsiaTheme="minorEastAsia" w:cstheme="minorEastAsia"/>
          <w:color w:val="auto"/>
          <w:sz w:val="22"/>
          <w:highlight w:val="none"/>
        </w:rPr>
        <w:t>。</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2.3</w:t>
      </w:r>
      <w:r>
        <w:rPr>
          <w:rFonts w:hint="eastAsia"/>
          <w:color w:val="auto"/>
          <w:sz w:val="22"/>
          <w:highlight w:val="none"/>
        </w:rPr>
        <w:t>供应商应每年上门对设备进行全面免费检修。制造商售后工程师每年至少免费回访、维护两次，解决需方用户使用中遇到问题和了解设备运行状况</w:t>
      </w:r>
      <w:r>
        <w:rPr>
          <w:rFonts w:hint="eastAsia" w:asciiTheme="minorEastAsia" w:hAnsiTheme="minorEastAsia" w:eastAsiaTheme="minorEastAsia" w:cstheme="minorEastAsia"/>
          <w:color w:val="auto"/>
          <w:sz w:val="22"/>
          <w:highlight w:val="none"/>
        </w:rPr>
        <w:t>。</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*3.质量保证期后服务</w:t>
      </w:r>
    </w:p>
    <w:p>
      <w:pPr>
        <w:widowControl/>
        <w:autoSpaceDE w:val="0"/>
        <w:autoSpaceDN w:val="0"/>
        <w:spacing w:line="400" w:lineRule="exact"/>
        <w:ind w:firstLine="440" w:firstLineChars="200"/>
        <w:rPr>
          <w:color w:val="auto"/>
          <w:sz w:val="22"/>
          <w:highlight w:val="none"/>
        </w:rPr>
      </w:pPr>
      <w:r>
        <w:rPr>
          <w:rFonts w:hint="eastAsia" w:asciiTheme="minorEastAsia" w:hAnsiTheme="minorEastAsia" w:eastAsiaTheme="minorEastAsia" w:cstheme="minorEastAsia"/>
          <w:color w:val="auto"/>
          <w:sz w:val="22"/>
          <w:highlight w:val="none"/>
        </w:rPr>
        <w:t xml:space="preserve">3.1 </w:t>
      </w:r>
      <w:r>
        <w:rPr>
          <w:rFonts w:hint="eastAsia"/>
          <w:color w:val="auto"/>
          <w:sz w:val="22"/>
          <w:highlight w:val="none"/>
        </w:rPr>
        <w:t>供方的响应、到达现场及排除故障时限与质保期内相同。</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3.2 </w:t>
      </w:r>
      <w:r>
        <w:rPr>
          <w:rFonts w:hint="eastAsia" w:hAnsi="宋体" w:cs="宋体"/>
          <w:color w:val="auto"/>
          <w:sz w:val="22"/>
          <w:highlight w:val="none"/>
        </w:rPr>
        <w:t>质量保证期后，供方提供有偿服务，适当收取零配件和服务费。供方收取的零配件价款或服务费不得高于同类产品或服务的市场通行价格。在设备硬件允许下，终身免费提供软件升级服务</w:t>
      </w:r>
      <w:r>
        <w:rPr>
          <w:rFonts w:hint="eastAsia" w:asciiTheme="minorEastAsia" w:hAnsiTheme="minorEastAsia" w:eastAsiaTheme="minorEastAsia" w:cstheme="minorEastAsia"/>
          <w:color w:val="auto"/>
          <w:sz w:val="22"/>
          <w:highlight w:val="none"/>
        </w:rPr>
        <w:t>。</w:t>
      </w:r>
    </w:p>
    <w:p>
      <w:pPr>
        <w:widowControl/>
        <w:autoSpaceDE w:val="0"/>
        <w:autoSpaceDN w:val="0"/>
        <w:spacing w:line="400" w:lineRule="exact"/>
        <w:ind w:firstLine="440" w:firstLineChars="200"/>
        <w:rPr>
          <w:rFonts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xml:space="preserve">3.3 </w:t>
      </w:r>
      <w:r>
        <w:rPr>
          <w:rFonts w:hint="eastAsia" w:hAnsi="宋体" w:cs="宋体"/>
          <w:color w:val="auto"/>
          <w:sz w:val="22"/>
          <w:highlight w:val="none"/>
        </w:rPr>
        <w:t>制造商应保证零配件的终身供应。供方在售后服务中维修使用的备品备件及易损件应为原厂配件，未经采购人同意不得使用非原厂配件</w:t>
      </w:r>
      <w:r>
        <w:rPr>
          <w:rFonts w:hint="eastAsia" w:asciiTheme="minorEastAsia" w:hAnsiTheme="minorEastAsia" w:eastAsiaTheme="minorEastAsia" w:cstheme="minorEastAsia"/>
          <w:color w:val="auto"/>
          <w:sz w:val="22"/>
          <w:highlight w:val="none"/>
        </w:rPr>
        <w:t>。</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*（七）风险承担</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1.货物毁损、灭失的风险，在货物送达指定地点并经采购人接收以前由供方承担，在货物经采购人接收以后由采购人承担。 </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2.采购人因货物质量不符合约定的质量要求而拒绝接受货物或解除合同的，在采购人规定的期限内未收回其货物的，货物毁损、灭失的风险由供方承担。 </w:t>
      </w:r>
    </w:p>
    <w:p>
      <w:pPr>
        <w:autoSpaceDE w:val="0"/>
        <w:autoSpaceDN w:val="0"/>
        <w:spacing w:line="400" w:lineRule="exact"/>
        <w:ind w:firstLine="42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由供方承担货物毁损、灭失风险的，如货物毁损或灭失的，供方应于30天内（关境内供货）或</w:t>
      </w:r>
      <w:r>
        <w:rPr>
          <w:rFonts w:hint="eastAsia" w:asciiTheme="minorEastAsia" w:hAnsiTheme="minorEastAsia" w:eastAsiaTheme="minorEastAsia" w:cstheme="minorEastAsia"/>
          <w:color w:val="auto"/>
          <w:sz w:val="21"/>
          <w:szCs w:val="21"/>
          <w:highlight w:val="none"/>
          <w:u w:val="single"/>
        </w:rPr>
        <w:t>90</w:t>
      </w:r>
      <w:r>
        <w:rPr>
          <w:rFonts w:hint="eastAsia" w:asciiTheme="minorEastAsia" w:hAnsiTheme="minorEastAsia" w:eastAsiaTheme="minorEastAsia" w:cstheme="minorEastAsia"/>
          <w:color w:val="auto"/>
          <w:sz w:val="21"/>
          <w:szCs w:val="21"/>
          <w:highlight w:val="none"/>
        </w:rPr>
        <w:t>天内（关境外供货）重新提供符合合同规定的货物，否则，视为供方逾期交货。</w:t>
      </w:r>
    </w:p>
    <w:p>
      <w:pPr>
        <w:tabs>
          <w:tab w:val="left" w:pos="2370"/>
        </w:tabs>
        <w:spacing w:line="380" w:lineRule="exact"/>
        <w:ind w:firstLine="420"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4. 由采购人承担货物毁损、灭失风险的，则采购人不能免除给付货款的义务。</w:t>
      </w:r>
    </w:p>
    <w:p>
      <w:pPr>
        <w:tabs>
          <w:tab w:val="left" w:pos="540"/>
        </w:tabs>
        <w:snapToGrid w:val="0"/>
        <w:spacing w:after="120" w:afterLines="50" w:line="400" w:lineRule="exact"/>
        <w:ind w:firstLine="480"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Cs/>
          <w:color w:val="auto"/>
          <w:kern w:val="24"/>
          <w:highlight w:val="none"/>
        </w:rPr>
        <w:t>*</w:t>
      </w:r>
      <w:r>
        <w:rPr>
          <w:rFonts w:hint="eastAsia" w:asciiTheme="minorEastAsia" w:hAnsiTheme="minorEastAsia" w:eastAsiaTheme="minorEastAsia" w:cstheme="minorEastAsia"/>
          <w:b/>
          <w:color w:val="auto"/>
          <w:sz w:val="22"/>
          <w:szCs w:val="22"/>
          <w:highlight w:val="none"/>
        </w:rPr>
        <w:t>（八）知识产权</w:t>
      </w:r>
    </w:p>
    <w:p>
      <w:pPr>
        <w:tabs>
          <w:tab w:val="left" w:pos="2370"/>
        </w:tabs>
        <w:spacing w:line="380" w:lineRule="exact"/>
        <w:ind w:firstLine="440"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采购人在中华人民共和国境内使用供应商提供的货物及服务时免受第三方提出的侵犯其专利权或其它知识产权的起诉。如果第三方提出侵权指控，供应商应承担由此而引起的一切法律责任和费用。</w:t>
      </w:r>
    </w:p>
    <w:p>
      <w:pPr>
        <w:tabs>
          <w:tab w:val="left" w:pos="540"/>
        </w:tabs>
        <w:snapToGrid w:val="0"/>
        <w:spacing w:after="120" w:afterLines="50" w:line="400" w:lineRule="exact"/>
        <w:ind w:firstLine="482" w:firstLineChars="200"/>
        <w:rPr>
          <w:rFonts w:asciiTheme="minorEastAsia" w:hAnsiTheme="minorEastAsia" w:eastAsiaTheme="minorEastAsia" w:cstheme="minorEastAsia"/>
          <w:b/>
          <w:color w:val="auto"/>
          <w:highlight w:val="none"/>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三、其他</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（一）本篇“*”标注条款为实质性要求，一条不满足的，为无效标</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二）专用条款优先于通用条款，专用条款和通用条款在相同内容上表述不一致的，以专用条款为准；专用条款所述内容为通用条款未涉及的，应作为通用条款的补充内容；专用条款未述及的内容，按通用条款执行。</w:t>
      </w:r>
    </w:p>
    <w:p>
      <w:pPr>
        <w:tabs>
          <w:tab w:val="left" w:pos="540"/>
        </w:tabs>
        <w:snapToGrid w:val="0"/>
        <w:spacing w:after="120" w:afterLines="50" w:line="40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（三）供应商应在投标文件中明确列出以上条款和服务承诺，对响应及偏离情况在商务偏离表中进行说明。</w:t>
      </w:r>
      <w:r>
        <w:rPr>
          <w:rFonts w:hint="eastAsia" w:asciiTheme="minorEastAsia" w:hAnsiTheme="minorEastAsia" w:eastAsiaTheme="minorEastAsia" w:cstheme="minorEastAsia"/>
          <w:b/>
          <w:color w:val="auto"/>
          <w:sz w:val="22"/>
          <w:szCs w:val="22"/>
          <w:highlight w:val="none"/>
        </w:rPr>
        <w:t>未提供商务偏离表的，为无效标</w:t>
      </w:r>
      <w:r>
        <w:rPr>
          <w:rFonts w:hint="eastAsia" w:asciiTheme="minorEastAsia" w:hAnsiTheme="minorEastAsia" w:eastAsiaTheme="minorEastAsia" w:cstheme="minorEastAsia"/>
          <w:color w:val="auto"/>
          <w:sz w:val="22"/>
          <w:szCs w:val="22"/>
          <w:highlight w:val="none"/>
        </w:rPr>
        <w:t>。</w:t>
      </w:r>
    </w:p>
    <w:p>
      <w:pPr>
        <w:tabs>
          <w:tab w:val="left" w:pos="2370"/>
        </w:tabs>
        <w:spacing w:line="3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（四）未尽事宜由供需双方在采购合同中详细约定。</w:t>
      </w: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color w:val="auto"/>
          <w:highlight w:val="none"/>
        </w:rPr>
        <w:sectPr>
          <w:headerReference r:id="rId13" w:type="first"/>
          <w:footerReference r:id="rId16" w:type="first"/>
          <w:headerReference r:id="rId11" w:type="default"/>
          <w:footerReference r:id="rId14" w:type="default"/>
          <w:headerReference r:id="rId12" w:type="even"/>
          <w:footerReference r:id="rId15" w:type="even"/>
          <w:pgSz w:w="11906" w:h="16838"/>
          <w:pgMar w:top="1134" w:right="1134" w:bottom="1134" w:left="1134" w:header="851" w:footer="851" w:gutter="0"/>
          <w:cols w:space="720" w:num="1"/>
          <w:docGrid w:linePitch="326" w:charSpace="0"/>
        </w:sectPr>
      </w:pPr>
    </w:p>
    <w:p>
      <w:pPr>
        <w:rPr>
          <w:color w:val="auto"/>
          <w:highlight w:val="none"/>
        </w:rPr>
      </w:pPr>
    </w:p>
    <w:p>
      <w:pPr>
        <w:pStyle w:val="2"/>
        <w:spacing w:before="120" w:after="120"/>
        <w:ind w:left="0" w:firstLine="2209" w:firstLineChars="5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第四篇  资格审查及评标办法</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p>
    <w:p>
      <w:pPr>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评审分两个阶段，资格审查阶段和评标阶段。</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一、资格审查阶段：</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资格性审查是依据法律法规和招标文件的规定，对投标文件中的资格证明、信用信息记录等进行审查，以确定投标人是否具备投标资格。</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或采购代理机构负责投标人的资格审查工作，即审查投标人资格条件是否满足要求及其提供的证明材料是否齐全和有效，只有满足招标文件投标人资格要求的投标人才是合格投标人。被认定为不合格投标人的，不得进入符合性审查。合格投标人不足3家的，不得进入评标阶段。</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资格性审查资料表如下：</w:t>
      </w:r>
    </w:p>
    <w:p>
      <w:pPr>
        <w:snapToGrid w:val="0"/>
        <w:spacing w:line="360" w:lineRule="exact"/>
        <w:ind w:firstLine="422" w:firstLineChars="200"/>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资格性检查资料表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2835" w:type="dxa"/>
            <w:gridSpan w:val="2"/>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检查因素</w:t>
            </w:r>
          </w:p>
        </w:tc>
        <w:tc>
          <w:tcPr>
            <w:tcW w:w="5812"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p>
        </w:tc>
        <w:tc>
          <w:tcPr>
            <w:tcW w:w="709" w:type="dxa"/>
            <w:vMerge w:val="restart"/>
            <w:vAlign w:val="center"/>
          </w:tcPr>
          <w:p>
            <w:pPr>
              <w:snapToGrid w:val="0"/>
              <w:spacing w:line="360" w:lineRule="exact"/>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投标人应符合的基本资格条件</w:t>
            </w: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1）具有独立承担民事责任的能力</w:t>
            </w:r>
          </w:p>
        </w:tc>
        <w:tc>
          <w:tcPr>
            <w:tcW w:w="5812" w:type="dxa"/>
            <w:vAlign w:val="center"/>
          </w:tcPr>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提供投标人法人营业执照或事业单位法人证书或个体工商户营业执照或有效的自然人身份证明或社会团体法人登记证书（提供复印件）；</w:t>
            </w:r>
          </w:p>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投标人法定代表人（单位负责人）身份证明和法定代表人（单位负责人）授权书。</w:t>
            </w:r>
          </w:p>
          <w:p>
            <w:pPr>
              <w:spacing w:line="240" w:lineRule="exact"/>
              <w:rPr>
                <w:rFonts w:asciiTheme="minorEastAsia" w:hAnsiTheme="minorEastAsia" w:eastAsiaTheme="minorEastAsia" w:cstheme="minorEastAsia"/>
                <w:color w:val="auto"/>
                <w:sz w:val="21"/>
                <w:szCs w:val="21"/>
                <w:highlight w:val="none"/>
              </w:rPr>
            </w:pPr>
          </w:p>
          <w:p>
            <w:pPr>
              <w:snapToGrid w:val="0"/>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不具有独立承担民事责任的的分公司、办事处等主体未经具有独立承担民事责任的主体授权的，不能参加投标。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2）具有良好的商业信誉和健全的财务会计制度</w:t>
            </w:r>
          </w:p>
        </w:tc>
        <w:tc>
          <w:tcPr>
            <w:tcW w:w="5812" w:type="dxa"/>
            <w:vMerge w:val="restart"/>
            <w:vAlign w:val="center"/>
          </w:tcPr>
          <w:p>
            <w:pPr>
              <w:snapToGrid w:val="0"/>
              <w:spacing w:line="360" w:lineRule="exact"/>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提供“投标人的资格声明”（详见第七部分）。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3）具有履行合同所必需的设备和专业技术能力</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4）有依法缴纳税收和社会保障资金的良好记录</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rPr>
              <w:t>5）参加政府采购活动前三年内，在经营活动中没有重大违法记录</w:t>
            </w:r>
          </w:p>
        </w:tc>
        <w:tc>
          <w:tcPr>
            <w:tcW w:w="5812" w:type="dxa"/>
            <w:vAlign w:val="center"/>
          </w:tcPr>
          <w:p>
            <w:pPr>
              <w:spacing w:line="3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1.提供“投标人的资格声明”（详见第七部分）；</w:t>
            </w:r>
          </w:p>
          <w:p>
            <w:pPr>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2.在评审阶段资格性检查时采购代理机构将通过 “信用中国”网站(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9"/>
                <w:rFonts w:hint="eastAsia" w:asciiTheme="minorEastAsia" w:hAnsiTheme="minorEastAsia" w:eastAsiaTheme="minorEastAsia" w:cstheme="minorEastAsia"/>
                <w:color w:val="auto"/>
                <w:highlight w:val="none"/>
              </w:rPr>
              <w:t>www.creditchina.gov.cn</w:t>
            </w:r>
            <w:r>
              <w:rPr>
                <w:rStyle w:val="29"/>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 w:val="21"/>
                <w:szCs w:val="21"/>
                <w:highlight w:val="none"/>
              </w:rPr>
              <w:t>)和 “中国政府采购网”网站(www.ccgp.gov.cn)对</w:t>
            </w:r>
            <w:r>
              <w:rPr>
                <w:rFonts w:hint="eastAsia" w:asciiTheme="minorEastAsia" w:hAnsiTheme="minorEastAsia" w:eastAsiaTheme="minorEastAsia" w:cstheme="minorEastAsia"/>
                <w:color w:val="auto"/>
                <w:kern w:val="2"/>
                <w:sz w:val="21"/>
                <w:szCs w:val="21"/>
                <w:highlight w:val="none"/>
              </w:rPr>
              <w:t>投标人</w:t>
            </w:r>
            <w:r>
              <w:rPr>
                <w:rFonts w:hint="eastAsia" w:asciiTheme="minorEastAsia" w:hAnsiTheme="minorEastAsia" w:eastAsiaTheme="minorEastAsia" w:cstheme="minorEastAsia"/>
                <w:color w:val="auto"/>
                <w:sz w:val="21"/>
                <w:szCs w:val="21"/>
                <w:highlight w:val="none"/>
              </w:rPr>
              <w:t>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8"/>
                <w:sz w:val="21"/>
                <w:szCs w:val="21"/>
                <w:highlight w:val="none"/>
              </w:rPr>
              <w:t>采购代理机构经办人将查询网页打印、签字并存档备查。</w:t>
            </w:r>
            <w:r>
              <w:rPr>
                <w:rFonts w:hint="eastAsia" w:asciiTheme="minorEastAsia" w:hAnsiTheme="minorEastAsia" w:eastAsiaTheme="minorEastAsia" w:cstheme="minorEastAsia"/>
                <w:color w:val="auto"/>
                <w:kern w:val="2"/>
                <w:sz w:val="21"/>
                <w:szCs w:val="21"/>
                <w:highlight w:val="none"/>
              </w:rPr>
              <w:t>投标人</w:t>
            </w:r>
            <w:r>
              <w:rPr>
                <w:rFonts w:hint="eastAsia" w:asciiTheme="minorEastAsia" w:hAnsiTheme="minorEastAsia" w:eastAsiaTheme="minorEastAsia" w:cstheme="minorEastAsia"/>
                <w:color w:val="auto"/>
                <w:kern w:val="28"/>
                <w:sz w:val="21"/>
                <w:szCs w:val="21"/>
                <w:highlight w:val="none"/>
              </w:rPr>
              <w:t>信用记录以采购代理机构查询结果为准，在本招标文件规定的查询时间之后，网站信息发生的任何变更均不再作为评审依据，</w:t>
            </w:r>
            <w:r>
              <w:rPr>
                <w:rFonts w:hint="eastAsia" w:asciiTheme="minorEastAsia" w:hAnsiTheme="minorEastAsia" w:eastAsiaTheme="minorEastAsia" w:cstheme="minorEastAsia"/>
                <w:color w:val="auto"/>
                <w:kern w:val="2"/>
                <w:sz w:val="21"/>
                <w:szCs w:val="21"/>
                <w:highlight w:val="none"/>
              </w:rPr>
              <w:t>投标人</w:t>
            </w:r>
            <w:r>
              <w:rPr>
                <w:rFonts w:hint="eastAsia" w:asciiTheme="minorEastAsia" w:hAnsiTheme="minorEastAsia" w:eastAsiaTheme="minorEastAsia" w:cstheme="minorEastAsia"/>
                <w:color w:val="auto"/>
                <w:kern w:val="28"/>
                <w:sz w:val="21"/>
                <w:szCs w:val="21"/>
                <w:highlight w:val="none"/>
              </w:rPr>
              <w:t>自行提供的与网站信息不一致的其他证明材料亦不作为评审依据。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color w:val="auto"/>
                <w:kern w:val="2"/>
                <w:sz w:val="21"/>
                <w:szCs w:val="21"/>
                <w:highlight w:val="none"/>
                <w:lang w:val="zh-CN"/>
              </w:rPr>
            </w:pPr>
          </w:p>
        </w:tc>
        <w:tc>
          <w:tcPr>
            <w:tcW w:w="2126" w:type="dxa"/>
            <w:vAlign w:val="center"/>
          </w:tcPr>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6）法律、行政法规规定的其他条件</w:t>
            </w:r>
          </w:p>
        </w:tc>
        <w:tc>
          <w:tcPr>
            <w:tcW w:w="5812" w:type="dxa"/>
            <w:vAlign w:val="center"/>
          </w:tcPr>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w:t>
            </w:r>
          </w:p>
        </w:tc>
        <w:tc>
          <w:tcPr>
            <w:tcW w:w="2835" w:type="dxa"/>
            <w:gridSpan w:val="2"/>
            <w:vAlign w:val="center"/>
          </w:tcPr>
          <w:p>
            <w:pPr>
              <w:snapToGrid w:val="0"/>
              <w:spacing w:line="3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特定资格条件</w:t>
            </w:r>
          </w:p>
        </w:tc>
        <w:tc>
          <w:tcPr>
            <w:tcW w:w="5812" w:type="dxa"/>
            <w:vAlign w:val="center"/>
          </w:tcPr>
          <w:p>
            <w:pPr>
              <w:snapToGrid w:val="0"/>
              <w:spacing w:line="3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w:t>
            </w:r>
          </w:p>
        </w:tc>
        <w:tc>
          <w:tcPr>
            <w:tcW w:w="2835" w:type="dxa"/>
            <w:gridSpan w:val="2"/>
            <w:vAlign w:val="center"/>
          </w:tcPr>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其它</w:t>
            </w:r>
          </w:p>
        </w:tc>
        <w:tc>
          <w:tcPr>
            <w:tcW w:w="5812" w:type="dxa"/>
            <w:vAlign w:val="center"/>
          </w:tcPr>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lang w:val="zh-CN"/>
              </w:rPr>
              <w:t>不存在本招标文件规定的资格审查不合格的其他情形。</w:t>
            </w:r>
          </w:p>
        </w:tc>
      </w:tr>
    </w:tbl>
    <w:p>
      <w:pPr>
        <w:snapToGrid w:val="0"/>
        <w:spacing w:line="360" w:lineRule="exact"/>
        <w:ind w:firstLine="420" w:firstLineChars="200"/>
        <w:jc w:val="both"/>
        <w:textAlignment w:val="auto"/>
        <w:rPr>
          <w:rFonts w:asciiTheme="minorEastAsia" w:hAnsiTheme="minorEastAsia" w:eastAsiaTheme="minorEastAsia" w:cstheme="minorEastAsia"/>
          <w:color w:val="auto"/>
          <w:sz w:val="21"/>
          <w:szCs w:val="21"/>
          <w:highlight w:val="none"/>
        </w:rPr>
      </w:pPr>
      <w:bookmarkStart w:id="73" w:name="OLE_LINK4"/>
      <w:bookmarkStart w:id="74" w:name="OLE_LINK3"/>
      <w:r>
        <w:rPr>
          <w:rFonts w:hint="eastAsia" w:asciiTheme="minorEastAsia" w:hAnsiTheme="minorEastAsia" w:eastAsiaTheme="minorEastAsia" w:cstheme="minorEastAsia"/>
          <w:color w:val="auto"/>
          <w:sz w:val="21"/>
          <w:szCs w:val="21"/>
          <w:highlight w:val="none"/>
        </w:rPr>
        <w:t>注：</w:t>
      </w:r>
      <w:bookmarkEnd w:id="73"/>
      <w:bookmarkEnd w:id="74"/>
      <w:r>
        <w:rPr>
          <w:rFonts w:hint="eastAsia" w:asciiTheme="minorEastAsia" w:hAnsiTheme="minorEastAsia" w:eastAsiaTheme="minorEastAsia" w:cstheme="minorEastAsia"/>
          <w:color w:val="auto"/>
          <w:sz w:val="21"/>
          <w:szCs w:val="21"/>
          <w:highlight w:val="none"/>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pPr>
        <w:snapToGrid w:val="0"/>
        <w:spacing w:line="360" w:lineRule="exact"/>
        <w:ind w:firstLine="422" w:firstLineChars="20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特别说明：</w:t>
      </w:r>
    </w:p>
    <w:p>
      <w:pPr>
        <w:snapToGrid w:val="0"/>
        <w:spacing w:line="360" w:lineRule="exact"/>
        <w:ind w:firstLine="422" w:firstLineChars="20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对未通过资格审查的投标人不得进行符合性审查；合格投标人不足三家的，不得进入符合性审查程序。</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p>
    <w:p>
      <w:pPr>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二、评标阶段</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（一）评标方法：综合评分法</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采用综合评分法进行评标。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Pr>
          <w:rFonts w:hint="eastAsia" w:asciiTheme="minorEastAsia" w:hAnsiTheme="minorEastAsia" w:eastAsiaTheme="minorEastAsia" w:cstheme="minorEastAsia"/>
          <w:b/>
          <w:bCs/>
          <w:color w:val="auto"/>
          <w:sz w:val="21"/>
          <w:szCs w:val="21"/>
          <w:highlight w:val="none"/>
        </w:rPr>
        <w:t>满分为100分，另有政策性加分2分</w:t>
      </w:r>
      <w:r>
        <w:rPr>
          <w:rFonts w:hint="eastAsia" w:asciiTheme="minorEastAsia" w:hAnsiTheme="minorEastAsia" w:eastAsiaTheme="minorEastAsia" w:cstheme="minorEastAsia"/>
          <w:color w:val="auto"/>
          <w:sz w:val="21"/>
          <w:szCs w:val="21"/>
          <w:highlight w:val="none"/>
        </w:rPr>
        <w:t>。</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计算方法如下：</w:t>
      </w:r>
      <w:r>
        <w:rPr>
          <w:rFonts w:hint="eastAsia" w:asciiTheme="minorEastAsia" w:hAnsiTheme="minorEastAsia" w:eastAsiaTheme="minorEastAsia" w:cstheme="minorEastAsia"/>
          <w:color w:val="auto"/>
          <w:sz w:val="21"/>
          <w:szCs w:val="21"/>
          <w:highlight w:val="none"/>
        </w:rPr>
        <w:tab/>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评标总得分＝F1×A1＋F2×A2＋…＋Fn×An+m</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F1，F2，…，Fn分别为除政策性因素外的各项评分因素的汇总得分；m为政策性因素加分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A1，A2，…，An分别为各项评分因素所占的权重(A1＋A2＋…＋An＝1)。</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（二）评标委员会</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评标工作由依法组建的评标委员会完成。评标委员会由采购人代表和评审专家组成，成员人数为</w:t>
      </w:r>
      <w:r>
        <w:rPr>
          <w:rFonts w:hint="eastAsia" w:asciiTheme="minorEastAsia" w:hAnsiTheme="minorEastAsia" w:eastAsiaTheme="minorEastAsia" w:cstheme="minorEastAsia"/>
          <w:b/>
          <w:bCs/>
          <w:color w:val="auto"/>
          <w:sz w:val="21"/>
          <w:szCs w:val="21"/>
          <w:highlight w:val="none"/>
        </w:rPr>
        <w:t>五人</w:t>
      </w:r>
      <w:r>
        <w:rPr>
          <w:rFonts w:hint="eastAsia" w:asciiTheme="minorEastAsia" w:hAnsiTheme="minorEastAsia" w:eastAsiaTheme="minorEastAsia" w:cstheme="minorEastAsia"/>
          <w:color w:val="auto"/>
          <w:sz w:val="21"/>
          <w:szCs w:val="21"/>
          <w:highlight w:val="none"/>
        </w:rPr>
        <w:t>（含）以上单数。其中，评审专家不少于成员总数的三分之二。</w:t>
      </w:r>
    </w:p>
    <w:p>
      <w:pPr>
        <w:snapToGrid w:val="0"/>
        <w:spacing w:line="360" w:lineRule="exact"/>
        <w:ind w:firstLine="480"/>
        <w:jc w:val="both"/>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（三）评标阶段</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评标工作由采购代理机构负责组织，具体评标事务由依法组建的评标委员会负责。评标委员会成员到位后，推举其中一位评审专家担任评审组长，并由评审组长牵头组织本项目评审工作。评标步骤：</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1、投标文件的初审</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（1）评标委员会将审查投标文件是否完整、总体编排是否有序、文件签署是否合格、有无计算上的错误等。</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评标委员会要求投标人澄清、说明或者更正的，将以书面形式作出，投标人的澄清、说明或者更正应当由投标文件签署人签字或者加盖单位公章。投标人的澄清、说明文件是投标文件的有效组成部分。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（3）初审中，算术错误按下述原则进行纠正：</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 投标文件中开标一览表（报价表）内容与投标文件中相应内容不一致的，以开标一览表（报价表）内容为准。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 投标文件的大写金额和小写金额不一致的，以大写金额为准；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 单价金额小数点或者百分比有明显错位的，以开标一览表的总价为准，并修改单价；</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④ 总价金额与按单价汇总金额不一致的，以单价金额计算结果为准；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⑤ 对不同文字文本投标文件的解释发生异议的，以中文文本为准；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360" w:lineRule="exact"/>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pPr>
        <w:widowControl/>
        <w:spacing w:line="360" w:lineRule="auto"/>
        <w:ind w:firstLine="420" w:firstLineChars="200"/>
        <w:rPr>
          <w:rFonts w:asciiTheme="minorEastAsia" w:hAnsiTheme="minorEastAsia" w:eastAsiaTheme="minorEastAsia" w:cstheme="minorEastAsia"/>
          <w:color w:val="auto"/>
          <w:sz w:val="21"/>
          <w:szCs w:val="21"/>
          <w:highlight w:val="none"/>
        </w:rPr>
      </w:pPr>
    </w:p>
    <w:p>
      <w:pPr>
        <w:snapToGrid w:val="0"/>
        <w:spacing w:line="360" w:lineRule="exact"/>
        <w:ind w:firstLine="422" w:firstLineChars="200"/>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符合性检查资料表</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3413" w:type="dxa"/>
            <w:gridSpan w:val="2"/>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评审因素</w:t>
            </w:r>
          </w:p>
        </w:tc>
        <w:tc>
          <w:tcPr>
            <w:tcW w:w="5245" w:type="dxa"/>
            <w:vAlign w:val="center"/>
          </w:tcPr>
          <w:p>
            <w:pPr>
              <w:snapToGrid w:val="0"/>
              <w:spacing w:line="360" w:lineRule="exact"/>
              <w:jc w:val="center"/>
              <w:textAlignment w:val="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有效性审查</w:t>
            </w:r>
          </w:p>
        </w:tc>
        <w:tc>
          <w:tcPr>
            <w:tcW w:w="1843"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投标文件签署或盖章</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按招标文件“第七篇投标文件格式”要求签署或盖章齐全。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法定代表人（单位负责人）身份证明及授权委托书</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法定代表人（单位负责人）身份证明及授权委托书有效，符合招标文件规定的格式且签章齐全。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投标方案</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val="zh-CN"/>
              </w:rPr>
              <w:t>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rPr>
              <w:t>报价唯一</w:t>
            </w:r>
          </w:p>
        </w:tc>
        <w:tc>
          <w:tcPr>
            <w:tcW w:w="5245" w:type="dxa"/>
            <w:vAlign w:val="center"/>
          </w:tcPr>
          <w:p>
            <w:pP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投标报价是固定价且唯一，无缺漏项，未提交选择性报价，且投标价未超过采购预算或最高限价。</w:t>
            </w:r>
          </w:p>
          <w:p>
            <w:pP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Theme="minorEastAsia" w:hAnsiTheme="minorEastAsia" w:eastAsiaTheme="minorEastAsia" w:cstheme="minorEastAsia"/>
                <w:b/>
                <w:bCs/>
                <w:color w:val="auto"/>
                <w:sz w:val="21"/>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843" w:type="dxa"/>
            <w:vAlign w:val="center"/>
          </w:tcPr>
          <w:p>
            <w:pPr>
              <w:snapToGrid w:val="0"/>
              <w:spacing w:line="360" w:lineRule="exact"/>
              <w:jc w:val="cente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其它</w:t>
            </w:r>
          </w:p>
        </w:tc>
        <w:tc>
          <w:tcPr>
            <w:tcW w:w="5245" w:type="dxa"/>
            <w:vAlign w:val="center"/>
          </w:tcPr>
          <w:p>
            <w:pPr>
              <w:snapToGrid w:val="0"/>
              <w:spacing w:line="36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rPr>
              <w:t>投标内容符合国家法律法规及政策文件的相关规定，且没有其它未实质性响应招标文件要求或重大负偏离（无效标情形）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完整性审查</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val="zh-CN"/>
              </w:rPr>
              <w:t>投标文件份数</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投标文件正、副本数量符合招标文件要求</w:t>
            </w:r>
            <w:r>
              <w:rPr>
                <w:rFonts w:hint="eastAsia" w:asciiTheme="minorEastAsia" w:hAnsiTheme="minorEastAsia" w:eastAsiaTheme="minorEastAsia" w:cstheme="minor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highlight w:val="none"/>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highlight w:val="none"/>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投标文件内容齐全、无遗漏。</w:t>
            </w:r>
          </w:p>
          <w:p>
            <w:pPr>
              <w:snapToGrid w:val="0"/>
              <w:spacing w:line="360" w:lineRule="exact"/>
              <w:textAlignment w:val="auto"/>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kern w:val="2"/>
                <w:sz w:val="21"/>
                <w:szCs w:val="21"/>
                <w:highlight w:val="none"/>
                <w:lang w:val="zh-CN"/>
              </w:rPr>
              <w:t>投标文件完整，内容无重大错漏，并按要求签署、盖章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570" w:type="dxa"/>
            <w:vAlign w:val="center"/>
          </w:tcPr>
          <w:p>
            <w:pPr>
              <w:spacing w:line="240" w:lineRule="exact"/>
              <w:jc w:val="center"/>
              <w:rPr>
                <w:rFonts w:asciiTheme="minorEastAsia" w:hAnsiTheme="minorEastAsia" w:eastAsiaTheme="minorEastAsia" w:cstheme="minorEastAsia"/>
                <w:color w:val="auto"/>
                <w:kern w:val="2"/>
                <w:sz w:val="21"/>
                <w:szCs w:val="21"/>
                <w:highlight w:val="none"/>
                <w:lang w:val="zh-CN"/>
              </w:rPr>
            </w:pPr>
            <w:r>
              <w:rPr>
                <w:rFonts w:hint="eastAsia" w:asciiTheme="minorEastAsia" w:hAnsiTheme="minorEastAsia" w:eastAsiaTheme="minorEastAsia" w:cstheme="minorEastAsia"/>
                <w:color w:val="auto"/>
                <w:sz w:val="21"/>
                <w:szCs w:val="21"/>
                <w:highlight w:val="none"/>
              </w:rPr>
              <w:t>技术部分</w:t>
            </w:r>
          </w:p>
        </w:tc>
        <w:tc>
          <w:tcPr>
            <w:tcW w:w="1843" w:type="dxa"/>
            <w:vAlign w:val="center"/>
          </w:tcPr>
          <w:p>
            <w:pPr>
              <w:spacing w:line="2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pStyle w:val="6"/>
              <w:jc w:val="both"/>
              <w:rPr>
                <w:rFonts w:asciiTheme="minorEastAsia" w:hAnsiTheme="minorEastAsia" w:eastAsiaTheme="minorEastAsia" w:cstheme="minorEastAsia"/>
                <w:color w:val="auto"/>
                <w:sz w:val="21"/>
                <w:szCs w:val="21"/>
                <w:highlight w:val="none"/>
              </w:rPr>
            </w:pPr>
            <w:r>
              <w:rPr>
                <w:rFonts w:hint="eastAsia" w:ascii="andale mono" w:hAnsi="andale mono" w:cs="andale mono"/>
                <w:b/>
                <w:color w:val="auto"/>
                <w:sz w:val="21"/>
                <w:szCs w:val="21"/>
                <w:highlight w:val="none"/>
              </w:rPr>
              <w:t>对第二篇规定的内容作出响应，</w:t>
            </w:r>
            <w:r>
              <w:rPr>
                <w:rFonts w:hint="eastAsia" w:ascii="宋体" w:hAnsi="宋体" w:cs="宋体"/>
                <w:b/>
                <w:bCs/>
                <w:color w:val="auto"/>
                <w:sz w:val="21"/>
                <w:szCs w:val="21"/>
                <w:highlight w:val="none"/>
              </w:rPr>
              <w:t>其中</w:t>
            </w:r>
            <w:r>
              <w:rPr>
                <w:rFonts w:hint="eastAsia" w:asciiTheme="minorEastAsia" w:hAnsiTheme="minorEastAsia" w:eastAsiaTheme="minorEastAsia" w:cstheme="minorEastAsia"/>
                <w:b/>
                <w:color w:val="auto"/>
                <w:sz w:val="22"/>
                <w:szCs w:val="22"/>
                <w:highlight w:val="none"/>
              </w:rPr>
              <w:t>“*”</w:t>
            </w:r>
            <w:r>
              <w:rPr>
                <w:rFonts w:hint="eastAsia" w:ascii="宋体" w:hAnsi="宋体" w:cs="宋体"/>
                <w:b/>
                <w:bCs/>
                <w:color w:val="auto"/>
                <w:sz w:val="21"/>
                <w:szCs w:val="21"/>
                <w:highlight w:val="none"/>
              </w:rPr>
              <w:t>标注项为实质性指标，不可负偏离，否则为无效标；</w:t>
            </w:r>
            <w:r>
              <w:rPr>
                <w:rFonts w:hint="eastAsia" w:ascii="andale mono" w:hAnsi="andale mono" w:cs="andale mono"/>
                <w:b/>
                <w:color w:val="auto"/>
                <w:sz w:val="21"/>
                <w:szCs w:val="21"/>
                <w:highlight w:val="none"/>
              </w:rPr>
              <w:t>若投标人“技术部分”得分为</w:t>
            </w:r>
            <w:r>
              <w:rPr>
                <w:rFonts w:hint="eastAsia" w:ascii="宋体" w:hAnsi="宋体" w:cs="宋体"/>
                <w:b/>
                <w:bCs/>
                <w:color w:val="auto"/>
                <w:sz w:val="21"/>
                <w:szCs w:val="21"/>
                <w:highlight w:val="none"/>
              </w:rPr>
              <w:t>0</w:t>
            </w:r>
            <w:r>
              <w:rPr>
                <w:rFonts w:hint="eastAsia" w:ascii="andale mono" w:hAnsi="andale mono" w:cs="andale mono"/>
                <w:b/>
                <w:color w:val="auto"/>
                <w:sz w:val="21"/>
                <w:szCs w:val="21"/>
                <w:highlight w:val="none"/>
              </w:rPr>
              <w:t>分，则其投标无效。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Align w:val="center"/>
          </w:tcPr>
          <w:p>
            <w:pPr>
              <w:spacing w:line="2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商务部分</w:t>
            </w:r>
          </w:p>
        </w:tc>
        <w:tc>
          <w:tcPr>
            <w:tcW w:w="1843" w:type="dxa"/>
            <w:vAlign w:val="center"/>
          </w:tcPr>
          <w:p>
            <w:pPr>
              <w:spacing w:line="2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z w:val="21"/>
                <w:szCs w:val="21"/>
                <w:highlight w:val="none"/>
              </w:rPr>
              <w:t>对第三篇、第六篇规定的内容作出响应，</w:t>
            </w:r>
            <w:r>
              <w:rPr>
                <w:rFonts w:hint="eastAsia" w:asciiTheme="minorEastAsia" w:hAnsiTheme="minorEastAsia" w:eastAsiaTheme="minorEastAsia" w:cstheme="minorEastAsia"/>
                <w:b/>
                <w:bCs/>
                <w:color w:val="auto"/>
                <w:sz w:val="21"/>
                <w:szCs w:val="21"/>
                <w:highlight w:val="none"/>
              </w:rPr>
              <w:t>其中“</w:t>
            </w:r>
            <w:r>
              <w:rPr>
                <w:rFonts w:hint="eastAsia" w:asciiTheme="minorEastAsia" w:hAnsiTheme="minorEastAsia" w:eastAsiaTheme="minorEastAsia" w:cstheme="minorEastAsia"/>
                <w:b/>
                <w:bCs/>
                <w:color w:val="auto"/>
                <w:kern w:val="24"/>
                <w:highlight w:val="none"/>
              </w:rPr>
              <w:t>*</w:t>
            </w:r>
            <w:r>
              <w:rPr>
                <w:rFonts w:hint="eastAsia" w:asciiTheme="minorEastAsia" w:hAnsiTheme="minorEastAsia" w:eastAsiaTheme="minorEastAsia" w:cstheme="minorEastAsia"/>
                <w:b/>
                <w:bCs/>
                <w:color w:val="auto"/>
                <w:sz w:val="21"/>
                <w:szCs w:val="21"/>
                <w:highlight w:val="none"/>
              </w:rPr>
              <w:t>”标注条款为实质性要求，一条不满足的，为无效标。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p>
        </w:tc>
        <w:tc>
          <w:tcPr>
            <w:tcW w:w="1570" w:type="dxa"/>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投标有效期</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投标有效期为投标截止日期后90日历天。</w:t>
            </w:r>
          </w:p>
        </w:tc>
      </w:tr>
    </w:tbl>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bookmarkStart w:id="75" w:name="OLE_LINK44"/>
      <w:bookmarkStart w:id="76" w:name="OLE_LINK43"/>
      <w:bookmarkStart w:id="77" w:name="OLE_LINK52"/>
      <w:bookmarkStart w:id="78" w:name="OLE_LINK53"/>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②复核后，评审组长汇总计算每个投标人的得分。</w:t>
      </w:r>
    </w:p>
    <w:p>
      <w:pPr>
        <w:snapToGrid w:val="0"/>
        <w:spacing w:line="360" w:lineRule="exact"/>
        <w:ind w:firstLine="480"/>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pPr>
        <w:autoSpaceDE w:val="0"/>
        <w:autoSpaceDN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在确定顺序过程中，若多家投标人提供的</w:t>
      </w:r>
      <w:r>
        <w:rPr>
          <w:rFonts w:hint="eastAsia" w:asciiTheme="minorEastAsia" w:hAnsiTheme="minorEastAsia" w:eastAsiaTheme="minorEastAsia" w:cstheme="minorEastAsia"/>
          <w:b/>
          <w:color w:val="auto"/>
          <w:sz w:val="21"/>
          <w:szCs w:val="21"/>
          <w:highlight w:val="none"/>
        </w:rPr>
        <w:t>核心产品</w:t>
      </w:r>
      <w:r>
        <w:rPr>
          <w:rFonts w:hint="eastAsia" w:asciiTheme="minorEastAsia" w:hAnsiTheme="minorEastAsia" w:eastAsiaTheme="minorEastAsia" w:cstheme="minorEastAsia"/>
          <w:color w:val="auto"/>
          <w:sz w:val="21"/>
          <w:szCs w:val="21"/>
          <w:highlight w:val="none"/>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其余提供相同品牌产品的投标人不作为中标候选人。</w:t>
      </w:r>
    </w:p>
    <w:p>
      <w:pPr>
        <w:spacing w:line="360" w:lineRule="exact"/>
        <w:ind w:firstLine="531" w:firstLineChars="253"/>
        <w:rPr>
          <w:rFonts w:hint="eastAsia" w:eastAsia="宋体" w:asciiTheme="minorEastAsia" w:hAnsiTheme="minorEastAsia" w:cstheme="minorEastAsia"/>
          <w:color w:val="auto"/>
          <w:sz w:val="21"/>
          <w:szCs w:val="21"/>
          <w:highlight w:val="none"/>
          <w:lang w:eastAsia="zh-CN"/>
        </w:rPr>
      </w:pPr>
      <w:r>
        <w:rPr>
          <w:rFonts w:hint="eastAsia" w:ascii="黑体" w:hAnsi="黑体" w:cs="黑体"/>
          <w:color w:val="auto"/>
          <w:sz w:val="21"/>
          <w:szCs w:val="21"/>
          <w:highlight w:val="none"/>
        </w:rPr>
        <w:t>在单一品目的货物采购中，同一品牌的产品有多家供应商参加竞标，只能按照一家供应商计算。多品牌货物采购中，核心产品有多家供应商使用同一品牌产品参加竞标的，只能按照一家供应商计算</w:t>
      </w:r>
      <w:r>
        <w:rPr>
          <w:rFonts w:hint="eastAsia" w:ascii="黑体" w:hAnsi="黑体" w:cs="黑体"/>
          <w:color w:val="auto"/>
          <w:sz w:val="21"/>
          <w:szCs w:val="21"/>
          <w:highlight w:val="none"/>
          <w:lang w:eastAsia="zh-CN"/>
        </w:rPr>
        <w:t>。</w:t>
      </w:r>
    </w:p>
    <w:p>
      <w:pPr>
        <w:spacing w:line="360" w:lineRule="exact"/>
        <w:ind w:firstLine="531" w:firstLineChars="253"/>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3．评标委员会写出评标报告，将推荐的中标候选人报招标人确认。</w:t>
      </w:r>
      <w:bookmarkEnd w:id="75"/>
      <w:bookmarkEnd w:id="76"/>
      <w:bookmarkEnd w:id="77"/>
      <w:bookmarkEnd w:id="78"/>
    </w:p>
    <w:p>
      <w:pPr>
        <w:tabs>
          <w:tab w:val="left" w:pos="2370"/>
        </w:tabs>
        <w:snapToGrid w:val="0"/>
        <w:spacing w:before="120" w:beforeLines="50" w:line="360" w:lineRule="auto"/>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三、评标标准</w:t>
      </w:r>
    </w:p>
    <w:tbl>
      <w:tblPr>
        <w:tblStyle w:val="24"/>
        <w:tblW w:w="10024"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992"/>
        <w:gridCol w:w="851"/>
        <w:gridCol w:w="4830"/>
        <w:gridCol w:w="288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bookmarkStart w:id="79" w:name="_Hlk139574951"/>
            <w:r>
              <w:rPr>
                <w:rFonts w:hint="eastAsia" w:asciiTheme="minorEastAsia" w:hAnsiTheme="minorEastAsia" w:eastAsiaTheme="minorEastAsia" w:cstheme="minorEastAsia"/>
                <w:color w:val="auto"/>
                <w:sz w:val="18"/>
                <w:szCs w:val="18"/>
                <w:highlight w:val="none"/>
              </w:rPr>
              <w:t>序号</w:t>
            </w:r>
          </w:p>
        </w:tc>
        <w:tc>
          <w:tcPr>
            <w:tcW w:w="992"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评分因素</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及权重</w:t>
            </w: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分值</w:t>
            </w:r>
          </w:p>
        </w:tc>
        <w:tc>
          <w:tcPr>
            <w:tcW w:w="4830"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评分标准</w:t>
            </w:r>
          </w:p>
        </w:tc>
        <w:tc>
          <w:tcPr>
            <w:tcW w:w="2888"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说明</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992"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报价</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（40%）</w:t>
            </w: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40</w:t>
            </w:r>
          </w:p>
        </w:tc>
        <w:tc>
          <w:tcPr>
            <w:tcW w:w="4830" w:type="dxa"/>
            <w:vAlign w:val="center"/>
          </w:tcPr>
          <w:p>
            <w:pPr>
              <w:spacing w:line="400" w:lineRule="exact"/>
              <w:ind w:firstLine="381" w:firstLineChars="212"/>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报价得分＝（评标基准价/投标报价）×价格权值×100</w:t>
            </w:r>
          </w:p>
          <w:p>
            <w:pPr>
              <w:spacing w:line="400" w:lineRule="exact"/>
              <w:ind w:firstLine="360" w:firstLineChars="2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注：1.满足招标文件实质要求且最低的投标报价为评标基准价。</w:t>
            </w:r>
          </w:p>
          <w:p>
            <w:pPr>
              <w:spacing w:line="400" w:lineRule="exact"/>
              <w:ind w:firstLine="381" w:firstLineChars="212"/>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关境外货物的评审价格，均按货物到达西南大学的人民币价格进行评审。CIP西南大学项目现场外币价/DAP西南大学项目现场外币价/DDP西南大学项目现场价格外币价，将分别按照开标当日中国银行总行首次发布的外币对人民币现钞卖出价的102%/101.5%/100%进行测算（若所投币种为人民币，则直接按上述对应系数进行折算）。</w:t>
            </w:r>
          </w:p>
          <w:p>
            <w:pPr>
              <w:spacing w:line="400" w:lineRule="exact"/>
              <w:ind w:firstLine="381" w:firstLineChars="212"/>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18"/>
                <w:szCs w:val="18"/>
                <w:highlight w:val="none"/>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c>
          <w:tcPr>
            <w:tcW w:w="2888" w:type="dxa"/>
            <w:vAlign w:val="center"/>
          </w:tcPr>
          <w:p>
            <w:pPr>
              <w:spacing w:line="400" w:lineRule="exact"/>
              <w:ind w:firstLine="381" w:firstLineChars="212"/>
              <w:rPr>
                <w:rFonts w:asciiTheme="minorEastAsia" w:hAnsiTheme="minorEastAsia" w:eastAsiaTheme="minorEastAsia" w:cstheme="minorEastAsia"/>
                <w:color w:val="auto"/>
                <w:sz w:val="18"/>
                <w:szCs w:val="18"/>
                <w:highlight w:val="none"/>
              </w:rPr>
            </w:pP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9"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w:t>
            </w:r>
          </w:p>
        </w:tc>
        <w:tc>
          <w:tcPr>
            <w:tcW w:w="992"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技术部分</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（55%）</w:t>
            </w:r>
          </w:p>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p>
          <w:p>
            <w:pPr>
              <w:spacing w:line="320" w:lineRule="exact"/>
              <w:ind w:firstLine="28"/>
              <w:jc w:val="center"/>
              <w:rPr>
                <w:rFonts w:asciiTheme="minorEastAsia" w:hAnsiTheme="minorEastAsia" w:eastAsiaTheme="minorEastAsia" w:cstheme="minorEastAsia"/>
                <w:color w:val="auto"/>
                <w:sz w:val="18"/>
                <w:szCs w:val="18"/>
                <w:highlight w:val="none"/>
              </w:rPr>
            </w:pPr>
          </w:p>
          <w:p>
            <w:pPr>
              <w:pStyle w:val="7"/>
              <w:rPr>
                <w:color w:val="auto"/>
                <w:highlight w:val="none"/>
              </w:rPr>
            </w:pPr>
          </w:p>
        </w:tc>
        <w:tc>
          <w:tcPr>
            <w:tcW w:w="851"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55</w:t>
            </w:r>
          </w:p>
        </w:tc>
        <w:tc>
          <w:tcPr>
            <w:tcW w:w="4830" w:type="dxa"/>
            <w:vAlign w:val="center"/>
          </w:tcPr>
          <w:p>
            <w:pPr>
              <w:spacing w:line="360" w:lineRule="auto"/>
              <w:ind w:firstLine="361" w:firstLineChars="200"/>
              <w:rPr>
                <w:rFonts w:hint="eastAsia" w:asciiTheme="minorEastAsia" w:hAnsiTheme="minorEastAsia" w:eastAsiaTheme="minorEastAsia" w:cstheme="minorEastAsia"/>
                <w:b/>
                <w:bCs/>
                <w:color w:val="auto"/>
                <w:kern w:val="2"/>
                <w:sz w:val="18"/>
                <w:szCs w:val="18"/>
                <w:highlight w:val="none"/>
                <w:lang w:val="en-US" w:eastAsia="zh-CN" w:bidi="ar-SA"/>
              </w:rPr>
            </w:pPr>
            <w:r>
              <w:rPr>
                <w:rFonts w:hint="eastAsia" w:asciiTheme="minorEastAsia" w:hAnsiTheme="minorEastAsia" w:eastAsiaTheme="minorEastAsia" w:cstheme="minorEastAsia"/>
                <w:b/>
                <w:bCs/>
                <w:color w:val="auto"/>
                <w:kern w:val="2"/>
                <w:sz w:val="18"/>
                <w:szCs w:val="18"/>
                <w:highlight w:val="none"/>
                <w:lang w:val="en-US" w:eastAsia="zh-CN" w:bidi="ar-SA"/>
              </w:rPr>
              <w:t>特别提醒：本招标文件第二篇中所有带“*”标注项为实质性指标，不可负偏离，否则为无效投标。</w:t>
            </w:r>
          </w:p>
          <w:p>
            <w:pPr>
              <w:pStyle w:val="31"/>
              <w:spacing w:line="400" w:lineRule="exact"/>
              <w:ind w:left="28" w:firstLine="360"/>
              <w:jc w:val="left"/>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1.技术指标评审基准分为45分，评委根据技术指标的偏离情况按以下标准进行评审。</w:t>
            </w:r>
          </w:p>
          <w:p>
            <w:pPr>
              <w:pStyle w:val="31"/>
              <w:spacing w:line="400" w:lineRule="exact"/>
              <w:ind w:left="28" w:firstLine="361"/>
              <w:jc w:val="left"/>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2. 扣分条款</w:t>
            </w:r>
          </w:p>
          <w:p>
            <w:pPr>
              <w:snapToGrid w:val="0"/>
              <w:spacing w:line="360" w:lineRule="exact"/>
              <w:ind w:firstLine="360" w:firstLineChars="200"/>
              <w:rPr>
                <w:rFonts w:hint="eastAsia" w:asciiTheme="minorEastAsia" w:hAnsiTheme="minorEastAsia" w:eastAsiaTheme="minorEastAsia" w:cstheme="minorEastAsia"/>
                <w:color w:val="auto"/>
                <w:kern w:val="2"/>
                <w:sz w:val="18"/>
                <w:szCs w:val="18"/>
                <w:highlight w:val="none"/>
                <w:lang w:eastAsia="zh-CN"/>
              </w:rPr>
            </w:pPr>
            <w:r>
              <w:rPr>
                <w:rFonts w:hint="eastAsia" w:asciiTheme="minorEastAsia" w:hAnsiTheme="minorEastAsia" w:eastAsiaTheme="minorEastAsia" w:cstheme="minorEastAsia"/>
                <w:color w:val="auto"/>
                <w:kern w:val="2"/>
                <w:sz w:val="18"/>
                <w:szCs w:val="18"/>
                <w:highlight w:val="none"/>
              </w:rPr>
              <w:t xml:space="preserve"> 2.1关键技术指标【本招标文件“第二篇 采购需求</w:t>
            </w:r>
            <w:r>
              <w:rPr>
                <w:rFonts w:hint="eastAsia" w:asciiTheme="minorEastAsia" w:hAnsiTheme="minorEastAsia" w:eastAsiaTheme="minorEastAsia" w:cstheme="minorEastAsia"/>
                <w:color w:val="auto"/>
                <w:kern w:val="2"/>
                <w:sz w:val="18"/>
                <w:szCs w:val="18"/>
                <w:highlight w:val="none"/>
                <w:lang w:val="en-US" w:eastAsia="zh-CN"/>
              </w:rPr>
              <w:t xml:space="preserve"> </w:t>
            </w:r>
            <w:r>
              <w:rPr>
                <w:rFonts w:hint="eastAsia" w:asciiTheme="minorEastAsia" w:hAnsiTheme="minorEastAsia" w:eastAsiaTheme="minorEastAsia" w:cstheme="minorEastAsia"/>
                <w:color w:val="auto"/>
                <w:kern w:val="2"/>
                <w:sz w:val="18"/>
                <w:szCs w:val="18"/>
                <w:highlight w:val="none"/>
              </w:rPr>
              <w:t>三、具体技术需求”中“▲”标注的内容】</w:t>
            </w:r>
            <w:r>
              <w:rPr>
                <w:rFonts w:hint="eastAsia" w:asciiTheme="minorEastAsia" w:hAnsiTheme="minorEastAsia" w:eastAsiaTheme="minorEastAsia" w:cstheme="minorEastAsia"/>
                <w:color w:val="auto"/>
                <w:kern w:val="2"/>
                <w:sz w:val="18"/>
                <w:szCs w:val="18"/>
                <w:highlight w:val="none"/>
                <w:lang w:val="en-US" w:eastAsia="zh-CN"/>
              </w:rPr>
              <w:t>有1条以及上</w:t>
            </w:r>
            <w:r>
              <w:rPr>
                <w:rFonts w:hint="eastAsia" w:asciiTheme="minorEastAsia" w:hAnsiTheme="minorEastAsia" w:eastAsiaTheme="minorEastAsia" w:cstheme="minorEastAsia"/>
                <w:color w:val="auto"/>
                <w:kern w:val="2"/>
                <w:sz w:val="18"/>
                <w:szCs w:val="18"/>
                <w:highlight w:val="none"/>
              </w:rPr>
              <w:t>达不到招标文件要求的，技术分得0分</w:t>
            </w:r>
            <w:r>
              <w:rPr>
                <w:rFonts w:hint="eastAsia" w:asciiTheme="minorEastAsia" w:hAnsiTheme="minorEastAsia" w:eastAsiaTheme="minorEastAsia" w:cstheme="minorEastAsia"/>
                <w:color w:val="auto"/>
                <w:kern w:val="2"/>
                <w:sz w:val="18"/>
                <w:szCs w:val="18"/>
                <w:highlight w:val="none"/>
                <w:lang w:eastAsia="zh-CN"/>
              </w:rPr>
              <w:t>。</w:t>
            </w:r>
          </w:p>
          <w:p>
            <w:pPr>
              <w:snapToGrid w:val="0"/>
              <w:spacing w:line="360" w:lineRule="exact"/>
              <w:ind w:firstLine="360" w:firstLineChars="200"/>
              <w:rPr>
                <w:rFonts w:asciiTheme="minorEastAsia" w:hAnsiTheme="minorEastAsia" w:eastAsiaTheme="minorEastAsia" w:cstheme="minorEastAsia"/>
                <w:color w:val="auto"/>
                <w:kern w:val="2"/>
                <w:sz w:val="18"/>
                <w:szCs w:val="18"/>
                <w:highlight w:val="none"/>
              </w:rPr>
            </w:pPr>
            <w:r>
              <w:rPr>
                <w:rFonts w:hint="eastAsia" w:asciiTheme="minorEastAsia" w:hAnsiTheme="minorEastAsia" w:eastAsiaTheme="minorEastAsia" w:cstheme="minorEastAsia"/>
                <w:color w:val="auto"/>
                <w:kern w:val="2"/>
                <w:sz w:val="18"/>
                <w:szCs w:val="18"/>
                <w:highlight w:val="none"/>
                <w:lang w:val="en-US" w:eastAsia="zh-CN"/>
              </w:rPr>
              <w:t>2.2</w:t>
            </w:r>
            <w:r>
              <w:rPr>
                <w:rFonts w:hint="eastAsia" w:asciiTheme="minorEastAsia" w:hAnsiTheme="minorEastAsia" w:eastAsiaTheme="minorEastAsia" w:cstheme="minorEastAsia"/>
                <w:color w:val="auto"/>
                <w:kern w:val="2"/>
                <w:sz w:val="18"/>
                <w:szCs w:val="18"/>
                <w:highlight w:val="none"/>
              </w:rPr>
              <w:t>重要技术指标【本招标文件“第二篇 采购需求”三、具体技术需求”中“★”标注的内容】达不到招标文件要求的，每负偏离1条从起评分中扣</w:t>
            </w:r>
            <w:r>
              <w:rPr>
                <w:rFonts w:hint="eastAsia" w:asciiTheme="minorEastAsia" w:hAnsiTheme="minorEastAsia" w:eastAsiaTheme="minorEastAsia" w:cstheme="minorEastAsia"/>
                <w:color w:val="auto"/>
                <w:kern w:val="2"/>
                <w:sz w:val="18"/>
                <w:szCs w:val="18"/>
                <w:highlight w:val="none"/>
                <w:lang w:val="en-US" w:eastAsia="zh-CN"/>
              </w:rPr>
              <w:t>3</w:t>
            </w:r>
            <w:r>
              <w:rPr>
                <w:rFonts w:hint="eastAsia" w:asciiTheme="minorEastAsia" w:hAnsiTheme="minorEastAsia" w:eastAsiaTheme="minorEastAsia" w:cstheme="minorEastAsia"/>
                <w:color w:val="auto"/>
                <w:kern w:val="2"/>
                <w:sz w:val="18"/>
                <w:szCs w:val="18"/>
                <w:highlight w:val="none"/>
              </w:rPr>
              <w:t>分，有</w:t>
            </w:r>
            <w:r>
              <w:rPr>
                <w:rFonts w:hint="eastAsia" w:asciiTheme="minorEastAsia" w:hAnsiTheme="minorEastAsia" w:eastAsiaTheme="minorEastAsia" w:cstheme="minorEastAsia"/>
                <w:color w:val="auto"/>
                <w:kern w:val="2"/>
                <w:sz w:val="18"/>
                <w:szCs w:val="18"/>
                <w:highlight w:val="none"/>
                <w:lang w:val="en-US" w:eastAsia="zh-CN"/>
              </w:rPr>
              <w:t>6</w:t>
            </w:r>
            <w:r>
              <w:rPr>
                <w:rFonts w:hint="eastAsia" w:asciiTheme="minorEastAsia" w:hAnsiTheme="minorEastAsia" w:eastAsiaTheme="minorEastAsia" w:cstheme="minorEastAsia"/>
                <w:color w:val="auto"/>
                <w:kern w:val="2"/>
                <w:sz w:val="18"/>
                <w:szCs w:val="18"/>
                <w:highlight w:val="none"/>
              </w:rPr>
              <w:t>条及以上负偏离的，技术部分得0分；</w:t>
            </w:r>
          </w:p>
          <w:p>
            <w:pPr>
              <w:spacing w:line="400" w:lineRule="exact"/>
              <w:ind w:firstLine="379" w:firstLineChars="211"/>
              <w:rPr>
                <w:rFonts w:asciiTheme="minorEastAsia" w:hAnsiTheme="minorEastAsia" w:eastAsiaTheme="minorEastAsia" w:cstheme="minorEastAsia"/>
                <w:color w:val="auto"/>
                <w:kern w:val="2"/>
                <w:sz w:val="18"/>
                <w:szCs w:val="18"/>
                <w:highlight w:val="none"/>
              </w:rPr>
            </w:pPr>
            <w:r>
              <w:rPr>
                <w:rFonts w:hint="eastAsia" w:asciiTheme="minorEastAsia" w:hAnsiTheme="minorEastAsia" w:eastAsiaTheme="minorEastAsia" w:cstheme="minorEastAsia"/>
                <w:color w:val="auto"/>
                <w:kern w:val="2"/>
                <w:sz w:val="18"/>
                <w:szCs w:val="18"/>
                <w:highlight w:val="none"/>
              </w:rPr>
              <w:t>2.2一般性技术参数【本招标文件“第二篇 采购需求 三、具体技术需求”中非“▲”也非“★”标注的内容】达不到招标文件要求的，每负偏离1条从起评分中扣</w:t>
            </w:r>
            <w:r>
              <w:rPr>
                <w:rFonts w:hint="eastAsia" w:asciiTheme="minorEastAsia" w:hAnsiTheme="minorEastAsia" w:eastAsiaTheme="minorEastAsia" w:cstheme="minorEastAsia"/>
                <w:color w:val="auto"/>
                <w:kern w:val="2"/>
                <w:sz w:val="18"/>
                <w:szCs w:val="18"/>
                <w:highlight w:val="none"/>
                <w:lang w:val="en-US" w:eastAsia="zh-CN"/>
              </w:rPr>
              <w:t>1</w:t>
            </w:r>
            <w:r>
              <w:rPr>
                <w:rFonts w:hint="eastAsia" w:asciiTheme="minorEastAsia" w:hAnsiTheme="minorEastAsia" w:eastAsiaTheme="minorEastAsia" w:cstheme="minorEastAsia"/>
                <w:color w:val="auto"/>
                <w:kern w:val="2"/>
                <w:sz w:val="18"/>
                <w:szCs w:val="18"/>
                <w:highlight w:val="none"/>
              </w:rPr>
              <w:t>分，有</w:t>
            </w:r>
            <w:r>
              <w:rPr>
                <w:rFonts w:hint="eastAsia" w:asciiTheme="minorEastAsia" w:hAnsiTheme="minorEastAsia" w:eastAsiaTheme="minorEastAsia" w:cstheme="minorEastAsia"/>
                <w:color w:val="auto"/>
                <w:kern w:val="2"/>
                <w:sz w:val="18"/>
                <w:szCs w:val="18"/>
                <w:highlight w:val="none"/>
                <w:lang w:val="en-US" w:eastAsia="zh-CN"/>
              </w:rPr>
              <w:t>8</w:t>
            </w:r>
            <w:r>
              <w:rPr>
                <w:rFonts w:hint="eastAsia" w:asciiTheme="minorEastAsia" w:hAnsiTheme="minorEastAsia" w:eastAsiaTheme="minorEastAsia" w:cstheme="minorEastAsia"/>
                <w:color w:val="auto"/>
                <w:kern w:val="2"/>
                <w:sz w:val="18"/>
                <w:szCs w:val="18"/>
                <w:highlight w:val="none"/>
              </w:rPr>
              <w:t>条及以上负偏离的，技术部分得0分。</w:t>
            </w:r>
          </w:p>
          <w:p>
            <w:pPr>
              <w:spacing w:line="400" w:lineRule="exact"/>
              <w:ind w:firstLine="28"/>
              <w:rPr>
                <w:rFonts w:ascii="宋体" w:hAnsi="宋体" w:cs="宋体"/>
                <w:color w:val="auto"/>
                <w:sz w:val="18"/>
                <w:szCs w:val="18"/>
                <w:highlight w:val="none"/>
              </w:rPr>
            </w:pPr>
            <w:r>
              <w:rPr>
                <w:rFonts w:hint="eastAsia" w:ascii="宋体" w:hAnsi="宋体" w:cs="宋体"/>
                <w:color w:val="auto"/>
                <w:sz w:val="18"/>
                <w:szCs w:val="18"/>
                <w:highlight w:val="none"/>
              </w:rPr>
              <w:t xml:space="preserve">  注：</w:t>
            </w:r>
          </w:p>
          <w:p>
            <w:pPr>
              <w:spacing w:line="400" w:lineRule="exact"/>
              <w:ind w:firstLine="28"/>
              <w:rPr>
                <w:rFonts w:ascii="宋体" w:hAnsi="宋体" w:cs="宋体"/>
                <w:color w:val="auto"/>
                <w:sz w:val="18"/>
                <w:szCs w:val="18"/>
                <w:highlight w:val="none"/>
              </w:rPr>
            </w:pPr>
            <w:r>
              <w:rPr>
                <w:rFonts w:hint="eastAsia" w:ascii="宋体" w:hAnsi="宋体" w:cs="宋体"/>
                <w:color w:val="auto"/>
                <w:sz w:val="18"/>
                <w:szCs w:val="18"/>
                <w:highlight w:val="none"/>
              </w:rPr>
              <w:t>（1）</w:t>
            </w:r>
            <w:r>
              <w:rPr>
                <w:rFonts w:hint="eastAsia" w:asciiTheme="minorEastAsia" w:hAnsiTheme="minorEastAsia" w:eastAsiaTheme="minorEastAsia" w:cstheme="minorEastAsia"/>
                <w:color w:val="auto"/>
                <w:kern w:val="2"/>
                <w:sz w:val="18"/>
                <w:szCs w:val="18"/>
                <w:highlight w:val="none"/>
              </w:rPr>
              <w:t>若投标人技术部分得0分，</w:t>
            </w:r>
            <w:r>
              <w:rPr>
                <w:rFonts w:hint="eastAsia" w:ascii="宋体" w:hAnsi="宋体" w:cs="宋体"/>
                <w:color w:val="auto"/>
                <w:sz w:val="18"/>
                <w:szCs w:val="18"/>
                <w:highlight w:val="none"/>
              </w:rPr>
              <w:t>其</w:t>
            </w:r>
            <w:r>
              <w:rPr>
                <w:rFonts w:hint="eastAsia" w:ascii="宋体" w:hAnsi="宋体" w:cs="宋体"/>
                <w:b/>
                <w:color w:val="auto"/>
                <w:sz w:val="18"/>
                <w:szCs w:val="18"/>
                <w:highlight w:val="none"/>
              </w:rPr>
              <w:t>投标无效</w:t>
            </w:r>
            <w:r>
              <w:rPr>
                <w:rFonts w:hint="eastAsia" w:ascii="宋体" w:hAnsi="宋体" w:cs="宋体"/>
                <w:color w:val="auto"/>
                <w:sz w:val="18"/>
                <w:szCs w:val="18"/>
                <w:highlight w:val="none"/>
              </w:rPr>
              <w:t>。</w:t>
            </w:r>
          </w:p>
          <w:p>
            <w:pPr>
              <w:snapToGrid w:val="0"/>
              <w:spacing w:line="360" w:lineRule="exact"/>
              <w:rPr>
                <w:rFonts w:ascii="宋体" w:hAnsi="宋体" w:cs="宋体"/>
                <w:color w:val="auto"/>
                <w:sz w:val="18"/>
                <w:szCs w:val="18"/>
                <w:highlight w:val="none"/>
              </w:rPr>
            </w:pPr>
            <w:r>
              <w:rPr>
                <w:rFonts w:hint="eastAsia" w:ascii="宋体" w:hAnsi="宋体" w:cs="宋体"/>
                <w:color w:val="auto"/>
                <w:sz w:val="18"/>
                <w:szCs w:val="18"/>
                <w:highlight w:val="none"/>
              </w:rPr>
              <w:t>（2）技术指标偏离条数的界定为：凡有最低一级序号的指标项即为一条，无论是否隶属于上一级编号。</w:t>
            </w:r>
          </w:p>
          <w:p>
            <w:pPr>
              <w:spacing w:line="400" w:lineRule="exact"/>
              <w:ind w:firstLine="381" w:firstLineChars="211"/>
              <w:rPr>
                <w:rFonts w:asciiTheme="minorEastAsia" w:hAnsiTheme="minorEastAsia" w:eastAsiaTheme="minorEastAsia" w:cstheme="minorEastAsia"/>
                <w:b/>
                <w:bCs/>
                <w:color w:val="auto"/>
                <w:kern w:val="2"/>
                <w:sz w:val="18"/>
                <w:szCs w:val="18"/>
                <w:highlight w:val="none"/>
              </w:rPr>
            </w:pPr>
            <w:r>
              <w:rPr>
                <w:rFonts w:hint="eastAsia" w:asciiTheme="minorEastAsia" w:hAnsiTheme="minorEastAsia" w:eastAsiaTheme="minorEastAsia" w:cstheme="minorEastAsia"/>
                <w:b/>
                <w:bCs/>
                <w:color w:val="auto"/>
                <w:kern w:val="2"/>
                <w:sz w:val="18"/>
                <w:szCs w:val="18"/>
                <w:highlight w:val="none"/>
              </w:rPr>
              <w:t xml:space="preserve"> 3.加分条款（10分）</w:t>
            </w:r>
          </w:p>
          <w:p>
            <w:pPr>
              <w:spacing w:line="36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3.1在满足本招标文件第二篇 三、具体技术要求“</w:t>
            </w:r>
            <w:r>
              <w:rPr>
                <w:rFonts w:hint="eastAsia" w:ascii="宋体" w:hAnsi="宋体" w:eastAsia="宋体" w:cs="宋体"/>
                <w:color w:val="auto"/>
                <w:kern w:val="0"/>
                <w:sz w:val="18"/>
                <w:szCs w:val="18"/>
                <w:highlight w:val="none"/>
              </w:rPr>
              <w:t>▲</w:t>
            </w:r>
            <w:r>
              <w:rPr>
                <w:rFonts w:hint="eastAsia" w:ascii="宋体" w:hAnsi="宋体" w:eastAsia="宋体" w:cs="宋体"/>
                <w:color w:val="auto"/>
                <w:sz w:val="18"/>
                <w:szCs w:val="18"/>
                <w:highlight w:val="none"/>
              </w:rPr>
              <w:t>1.3 二次电子分辨率：≤0.90 nm @ 15kV，≤1.35 nm @ 1kV”的基础上，分辨率在非样品台减速模式和非磁浸没模式下≤0.90nm@15kV，≤1.30nm@1kV；或者分辨率在样品台减速模式和磁浸没模式下≤0.6nm@15kV，≤0.7nm@1kV，加3分。</w:t>
            </w:r>
          </w:p>
          <w:p>
            <w:pPr>
              <w:spacing w:line="36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3.2在满足本招标文件第二篇 三、具体技术要求“</w:t>
            </w:r>
            <w:r>
              <w:rPr>
                <w:rFonts w:hint="eastAsia" w:ascii="宋体" w:hAnsi="宋体" w:eastAsia="宋体" w:cs="宋体"/>
                <w:color w:val="auto"/>
                <w:kern w:val="0"/>
                <w:sz w:val="18"/>
                <w:szCs w:val="18"/>
                <w:highlight w:val="none"/>
              </w:rPr>
              <w:t>▲</w:t>
            </w:r>
            <w:r>
              <w:rPr>
                <w:rFonts w:hint="eastAsia" w:ascii="宋体" w:hAnsi="宋体" w:eastAsia="宋体" w:cs="宋体"/>
                <w:color w:val="auto"/>
                <w:sz w:val="18"/>
                <w:szCs w:val="18"/>
                <w:highlight w:val="none"/>
              </w:rPr>
              <w:t>2.3 五轴电动样品台移动范围：X轴：≥110mm；Y轴：≥100mm；Z轴：≥40mm，T轴：-5°~ +70°；R轴：360°连续；”的基础上，移动范围X轴</w:t>
            </w:r>
            <m:oMath>
              <m:r>
                <m:rPr>
                  <m:sty m:val="p"/>
                </m:rPr>
                <w:rPr>
                  <w:rFonts w:hint="eastAsia" w:ascii="Cambria Math" w:hAnsi="Cambria Math" w:eastAsia="宋体" w:cs="宋体"/>
                  <w:color w:val="auto"/>
                  <w:sz w:val="18"/>
                  <w:szCs w:val="18"/>
                  <w:highlight w:val="none"/>
                </w:rPr>
                <m:t>≥</m:t>
              </m:r>
            </m:oMath>
            <w:r>
              <w:rPr>
                <w:rFonts w:hint="eastAsia" w:ascii="宋体" w:hAnsi="宋体" w:eastAsia="宋体" w:cs="宋体"/>
                <w:color w:val="auto"/>
                <w:sz w:val="18"/>
                <w:szCs w:val="18"/>
                <w:highlight w:val="none"/>
              </w:rPr>
              <w:t>125 mm，Y轴≥125 mm，Z轴≥50 mm的，加3分。</w:t>
            </w:r>
          </w:p>
          <w:p>
            <w:pPr>
              <w:spacing w:line="36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3.3在满足本招标文件第二篇 三、具体技术要求“★2.4 最大样品尺寸：直径≥200mm；”的基础上，最大样品直径≥250mm，加2分。</w:t>
            </w:r>
          </w:p>
          <w:p>
            <w:pPr>
              <w:spacing w:line="400" w:lineRule="exact"/>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3.4在满足本招标文件第二篇 三、具体技术要求“★1.8 配置能谱仪使用时，在35°最佳出射角分析时，分析工作距离≤10.0mm；”的基础上，35度最佳出射角分析时，分析工作距离≤8.5mm，加2分；</w:t>
            </w:r>
          </w:p>
          <w:p>
            <w:pPr>
              <w:pStyle w:val="7"/>
              <w:ind w:firstLine="360" w:firstLineChars="200"/>
              <w:rPr>
                <w:rFonts w:hint="eastAsia" w:eastAsia="宋体"/>
                <w:color w:val="auto"/>
                <w:highlight w:val="none"/>
                <w:lang w:val="en-US" w:eastAsia="zh-CN"/>
              </w:rPr>
            </w:pPr>
            <w:r>
              <w:rPr>
                <w:rFonts w:hint="eastAsia" w:ascii="宋体" w:hAnsi="宋体" w:eastAsia="宋体" w:cs="宋体"/>
                <w:color w:val="auto"/>
                <w:sz w:val="18"/>
                <w:szCs w:val="18"/>
                <w:highlight w:val="none"/>
                <w:lang w:val="en-US" w:eastAsia="zh-CN" w:bidi="ar-SA"/>
              </w:rPr>
              <w:t>注：3.1至3.4均须提供有效的佐证材料，包括但不限于列有技术参数且完整的厂家产品彩页，或厂家官方网站公布的截图，或厂家产品说明书，或第三方机构出具的检测报告，或经厂家确认的证明材料等（招标文件第二篇 三条、具体技术要求里有明确的技术文件规定的，从其规定），以佐证所投产品的相应的技术参数及功能，如上述资料未能体现加分条款标注参数的，则不得分。</w:t>
            </w:r>
          </w:p>
        </w:tc>
        <w:tc>
          <w:tcPr>
            <w:tcW w:w="2888" w:type="dxa"/>
            <w:vAlign w:val="center"/>
          </w:tcPr>
          <w:p>
            <w:pPr>
              <w:pStyle w:val="31"/>
              <w:spacing w:line="400" w:lineRule="exact"/>
              <w:ind w:firstLine="0" w:firstLineChars="0"/>
              <w:jc w:val="left"/>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Cs/>
                <w:color w:val="auto"/>
                <w:sz w:val="18"/>
                <w:szCs w:val="18"/>
                <w:highlight w:val="none"/>
              </w:rPr>
              <w:t>按招标文件</w:t>
            </w:r>
            <w:r>
              <w:rPr>
                <w:rFonts w:hint="eastAsia" w:asciiTheme="minorEastAsia" w:hAnsiTheme="minorEastAsia" w:eastAsiaTheme="minorEastAsia" w:cstheme="minorEastAsia"/>
                <w:b/>
                <w:color w:val="auto"/>
                <w:sz w:val="18"/>
                <w:szCs w:val="18"/>
                <w:highlight w:val="none"/>
              </w:rPr>
              <w:t>第二篇 第五条</w:t>
            </w:r>
            <w:r>
              <w:rPr>
                <w:rFonts w:hint="eastAsia" w:asciiTheme="minorEastAsia" w:hAnsiTheme="minorEastAsia" w:eastAsiaTheme="minorEastAsia" w:cstheme="minorEastAsia"/>
                <w:bCs/>
                <w:color w:val="auto"/>
                <w:sz w:val="18"/>
                <w:szCs w:val="18"/>
                <w:highlight w:val="none"/>
              </w:rPr>
              <w:t>要求提供技术支持文件，未按要求提供技术支持资料，或提供的技术支持资料未能体现采购要求的技术参数的</w:t>
            </w:r>
            <w:r>
              <w:rPr>
                <w:rFonts w:hint="eastAsia" w:asciiTheme="minorEastAsia" w:hAnsiTheme="minorEastAsia" w:eastAsiaTheme="minorEastAsia" w:cstheme="minorEastAsia"/>
                <w:color w:val="auto"/>
                <w:sz w:val="18"/>
                <w:szCs w:val="18"/>
                <w:highlight w:val="none"/>
              </w:rPr>
              <w:t>，应判为负偏离</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w:t>
            </w:r>
          </w:p>
        </w:tc>
        <w:tc>
          <w:tcPr>
            <w:tcW w:w="992" w:type="dxa"/>
            <w:vMerge w:val="restart"/>
            <w:vAlign w:val="center"/>
          </w:tcPr>
          <w:p>
            <w:pPr>
              <w:spacing w:line="320" w:lineRule="exact"/>
              <w:ind w:firstLine="28"/>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商务部分</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（5%）</w:t>
            </w:r>
          </w:p>
        </w:tc>
        <w:tc>
          <w:tcPr>
            <w:tcW w:w="851"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5</w:t>
            </w:r>
          </w:p>
        </w:tc>
        <w:tc>
          <w:tcPr>
            <w:tcW w:w="7718" w:type="dxa"/>
            <w:gridSpan w:val="2"/>
            <w:vAlign w:val="center"/>
          </w:tcPr>
          <w:p>
            <w:pPr>
              <w:spacing w:line="400" w:lineRule="exact"/>
              <w:ind w:firstLine="540" w:firstLineChars="300"/>
              <w:rPr>
                <w:rFonts w:hint="eastAsia" w:asciiTheme="minorEastAsia" w:hAnsiTheme="minorEastAsia" w:eastAsiaTheme="minorEastAsia" w:cstheme="minorEastAsia"/>
                <w:color w:val="auto"/>
                <w:kern w:val="2"/>
                <w:sz w:val="18"/>
                <w:szCs w:val="18"/>
                <w:highlight w:val="none"/>
                <w:lang w:val="en-US" w:eastAsia="zh-CN" w:bidi="ar-SA"/>
              </w:rPr>
            </w:pPr>
            <w:r>
              <w:rPr>
                <w:rFonts w:hint="eastAsia" w:asciiTheme="minorEastAsia" w:hAnsiTheme="minorEastAsia" w:eastAsiaTheme="minorEastAsia" w:cstheme="minorEastAsia"/>
                <w:color w:val="auto"/>
                <w:kern w:val="2"/>
                <w:sz w:val="18"/>
                <w:szCs w:val="18"/>
                <w:highlight w:val="none"/>
                <w:lang w:val="en-US" w:eastAsia="zh-CN" w:bidi="ar-SA"/>
              </w:rPr>
              <w:t>1、业绩（3分）</w:t>
            </w:r>
          </w:p>
          <w:p>
            <w:pPr>
              <w:spacing w:line="400" w:lineRule="exact"/>
              <w:ind w:firstLine="540" w:firstLineChars="300"/>
              <w:rPr>
                <w:rFonts w:hint="eastAsia" w:asciiTheme="minorEastAsia" w:hAnsiTheme="minorEastAsia" w:eastAsiaTheme="minorEastAsia" w:cstheme="minorEastAsia"/>
                <w:color w:val="auto"/>
                <w:kern w:val="2"/>
                <w:sz w:val="18"/>
                <w:szCs w:val="18"/>
                <w:highlight w:val="none"/>
                <w:lang w:val="en-US" w:eastAsia="zh-CN" w:bidi="ar-SA"/>
              </w:rPr>
            </w:pPr>
            <w:r>
              <w:rPr>
                <w:rFonts w:hint="eastAsia" w:asciiTheme="minorEastAsia" w:hAnsiTheme="minorEastAsia" w:eastAsiaTheme="minorEastAsia" w:cstheme="minorEastAsia"/>
                <w:color w:val="auto"/>
                <w:kern w:val="2"/>
                <w:sz w:val="18"/>
                <w:szCs w:val="18"/>
                <w:highlight w:val="none"/>
                <w:lang w:val="en-US" w:eastAsia="zh-CN" w:bidi="ar-SA"/>
              </w:rPr>
              <w:t>根据投标人或制造商2020年以来所投同品牌同型号产品在中国大陆的项目业绩进行评分，每提供一个合同得0.5分,最多得3分。</w:t>
            </w:r>
          </w:p>
          <w:p>
            <w:pPr>
              <w:spacing w:line="400" w:lineRule="exact"/>
              <w:ind w:firstLine="540" w:firstLineChars="300"/>
              <w:rPr>
                <w:rFonts w:hint="eastAsia" w:asciiTheme="minorEastAsia" w:hAnsiTheme="minorEastAsia" w:eastAsiaTheme="minorEastAsia" w:cstheme="minorEastAsia"/>
                <w:color w:val="auto"/>
                <w:kern w:val="2"/>
                <w:sz w:val="18"/>
                <w:szCs w:val="18"/>
                <w:highlight w:val="none"/>
                <w:lang w:val="en-US" w:eastAsia="zh-CN" w:bidi="ar-SA"/>
              </w:rPr>
            </w:pPr>
            <w:r>
              <w:rPr>
                <w:rFonts w:hint="eastAsia" w:asciiTheme="minorEastAsia" w:hAnsiTheme="minorEastAsia" w:eastAsiaTheme="minorEastAsia" w:cstheme="minorEastAsia"/>
                <w:color w:val="auto"/>
                <w:kern w:val="2"/>
                <w:sz w:val="18"/>
                <w:szCs w:val="18"/>
                <w:highlight w:val="none"/>
                <w:lang w:val="en-US" w:eastAsia="zh-CN" w:bidi="ar-SA"/>
              </w:rPr>
              <w:t>注：（1）须提供用户单位名称，具体科室或部门、联系人及联系电话等信息，提供信息不全的不得分。</w:t>
            </w:r>
          </w:p>
          <w:p>
            <w:pPr>
              <w:spacing w:line="400" w:lineRule="exact"/>
              <w:ind w:firstLine="540" w:firstLineChars="300"/>
              <w:rPr>
                <w:rFonts w:hint="eastAsia" w:asciiTheme="minorEastAsia" w:hAnsiTheme="minorEastAsia" w:eastAsiaTheme="minorEastAsia" w:cstheme="minorEastAsia"/>
                <w:color w:val="auto"/>
                <w:kern w:val="2"/>
                <w:sz w:val="18"/>
                <w:szCs w:val="18"/>
                <w:highlight w:val="none"/>
                <w:lang w:val="en-US" w:eastAsia="zh-CN" w:bidi="ar-SA"/>
              </w:rPr>
            </w:pPr>
            <w:r>
              <w:rPr>
                <w:rFonts w:hint="eastAsia" w:asciiTheme="minorEastAsia" w:hAnsiTheme="minorEastAsia" w:eastAsiaTheme="minorEastAsia" w:cstheme="minorEastAsia"/>
                <w:color w:val="auto"/>
                <w:kern w:val="2"/>
                <w:sz w:val="18"/>
                <w:szCs w:val="18"/>
                <w:highlight w:val="none"/>
                <w:lang w:val="en-US" w:eastAsia="zh-CN" w:bidi="ar-SA"/>
              </w:rPr>
              <w:t>（2）须提供与用户签订的合同首页、合同标的物所在页、金额页及签字盖章页复印件作为证明，原件备查。</w:t>
            </w:r>
          </w:p>
          <w:p>
            <w:pPr>
              <w:spacing w:line="400" w:lineRule="exact"/>
              <w:ind w:firstLine="540" w:firstLineChars="300"/>
              <w:rPr>
                <w:rFonts w:ascii="宋体" w:hAnsi="宋体" w:cs="宋体"/>
                <w:color w:val="auto"/>
                <w:sz w:val="18"/>
                <w:szCs w:val="18"/>
                <w:highlight w:val="none"/>
              </w:rPr>
            </w:pPr>
            <w:r>
              <w:rPr>
                <w:rFonts w:hint="eastAsia" w:asciiTheme="minorEastAsia" w:hAnsiTheme="minorEastAsia" w:eastAsiaTheme="minorEastAsia" w:cstheme="minorEastAsia"/>
                <w:color w:val="auto"/>
                <w:kern w:val="2"/>
                <w:sz w:val="18"/>
                <w:szCs w:val="18"/>
                <w:highlight w:val="none"/>
                <w:lang w:val="en-US" w:eastAsia="zh-CN" w:bidi="ar-SA"/>
              </w:rPr>
              <w:t>（3）供应商提供的证明材料的复印件须页面清晰、完整、有效，与原件一致并加盖投标人公章，否则无效。</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7718" w:type="dxa"/>
            <w:gridSpan w:val="2"/>
            <w:vAlign w:val="center"/>
          </w:tcPr>
          <w:p>
            <w:pPr>
              <w:spacing w:line="400" w:lineRule="exact"/>
              <w:ind w:firstLine="360" w:firstLineChars="200"/>
              <w:rPr>
                <w:rFonts w:hint="eastAsia" w:asciiTheme="minorEastAsia" w:hAnsiTheme="minorEastAsia" w:eastAsiaTheme="minorEastAsia" w:cstheme="minorEastAsia"/>
                <w:color w:val="auto"/>
                <w:kern w:val="2"/>
                <w:sz w:val="18"/>
                <w:szCs w:val="18"/>
                <w:highlight w:val="none"/>
                <w:lang w:val="en-US" w:eastAsia="zh-CN" w:bidi="ar-SA"/>
              </w:rPr>
            </w:pPr>
            <w:r>
              <w:rPr>
                <w:rFonts w:hint="eastAsia" w:asciiTheme="minorEastAsia" w:hAnsiTheme="minorEastAsia" w:eastAsiaTheme="minorEastAsia" w:cstheme="minorEastAsia"/>
                <w:color w:val="auto"/>
                <w:kern w:val="2"/>
                <w:sz w:val="18"/>
                <w:szCs w:val="18"/>
                <w:highlight w:val="none"/>
                <w:lang w:val="en-US" w:eastAsia="zh-CN" w:bidi="ar-SA"/>
              </w:rPr>
              <w:t>2、免费质保期限（2分）</w:t>
            </w:r>
          </w:p>
          <w:p>
            <w:pPr>
              <w:spacing w:line="400" w:lineRule="exact"/>
              <w:ind w:firstLine="360" w:firstLineChars="200"/>
              <w:rPr>
                <w:rFonts w:hint="eastAsia" w:asciiTheme="minorEastAsia" w:hAnsiTheme="minorEastAsia" w:eastAsiaTheme="minorEastAsia" w:cstheme="minorEastAsia"/>
                <w:color w:val="auto"/>
                <w:kern w:val="2"/>
                <w:sz w:val="18"/>
                <w:szCs w:val="18"/>
                <w:highlight w:val="none"/>
                <w:lang w:val="en-US" w:eastAsia="zh-CN" w:bidi="ar-SA"/>
              </w:rPr>
            </w:pPr>
            <w:r>
              <w:rPr>
                <w:rFonts w:hint="eastAsia" w:asciiTheme="minorEastAsia" w:hAnsiTheme="minorEastAsia" w:eastAsiaTheme="minorEastAsia" w:cstheme="minorEastAsia"/>
                <w:color w:val="auto"/>
                <w:kern w:val="2"/>
                <w:sz w:val="18"/>
                <w:szCs w:val="18"/>
                <w:highlight w:val="none"/>
                <w:lang w:val="en-US" w:eastAsia="zh-CN" w:bidi="ar-SA"/>
              </w:rPr>
              <w:t>免费质保期年限满足招标文件要求整机免费质保1年的前提下，每增加一年免费质保得1分，最多得2分；</w:t>
            </w:r>
          </w:p>
          <w:p>
            <w:pPr>
              <w:spacing w:line="400" w:lineRule="exact"/>
              <w:ind w:firstLine="540" w:firstLineChars="300"/>
              <w:rPr>
                <w:rFonts w:ascii="宋体" w:hAnsi="宋体" w:cs="宋体"/>
                <w:color w:val="auto"/>
                <w:sz w:val="18"/>
                <w:szCs w:val="18"/>
                <w:highlight w:val="none"/>
              </w:rPr>
            </w:pPr>
            <w:r>
              <w:rPr>
                <w:rFonts w:hint="eastAsia" w:asciiTheme="minorEastAsia" w:hAnsiTheme="minorEastAsia" w:eastAsiaTheme="minorEastAsia" w:cstheme="minorEastAsia"/>
                <w:color w:val="auto"/>
                <w:kern w:val="2"/>
                <w:sz w:val="18"/>
                <w:szCs w:val="18"/>
                <w:highlight w:val="none"/>
                <w:lang w:val="en-US" w:eastAsia="zh-CN" w:bidi="ar-SA"/>
              </w:rPr>
              <w:t>注：免费质保由制造商提供才计算得分，投标时需提供制造商出具的有效证明文件。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4"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4</w:t>
            </w:r>
          </w:p>
        </w:tc>
        <w:tc>
          <w:tcPr>
            <w:tcW w:w="992" w:type="dxa"/>
            <w:vMerge w:val="restart"/>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政策加分</w:t>
            </w:r>
          </w:p>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（2分）</w:t>
            </w: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7718" w:type="dxa"/>
            <w:gridSpan w:val="2"/>
            <w:vAlign w:val="center"/>
          </w:tcPr>
          <w:p>
            <w:pPr>
              <w:widowControl/>
              <w:spacing w:line="400" w:lineRule="exact"/>
              <w:ind w:firstLine="360" w:firstLineChars="200"/>
              <w:rPr>
                <w:rFonts w:ascii="宋体" w:hAnsi="宋体" w:cs="宋体"/>
                <w:color w:val="auto"/>
                <w:sz w:val="18"/>
                <w:szCs w:val="18"/>
                <w:highlight w:val="none"/>
              </w:rPr>
            </w:pPr>
            <w:r>
              <w:rPr>
                <w:rFonts w:hint="eastAsia" w:ascii="宋体" w:hAnsi="宋体" w:cs="宋体"/>
                <w:color w:val="auto"/>
                <w:sz w:val="18"/>
                <w:szCs w:val="18"/>
                <w:highlight w:val="none"/>
              </w:rPr>
              <w:t>1.</w:t>
            </w:r>
            <w:r>
              <w:rPr>
                <w:rFonts w:hint="eastAsia" w:asciiTheme="minorEastAsia" w:hAnsiTheme="minorEastAsia" w:cstheme="minorEastAsia"/>
                <w:color w:val="auto"/>
                <w:sz w:val="18"/>
                <w:szCs w:val="18"/>
                <w:highlight w:val="none"/>
              </w:rPr>
              <w:t>投标产品属于《财政部 发展改革委关于印发节能产品政府采购品目清单的通知》（财库〔2019〕19号）范围内的节能产品且标注为强制采购的产品，必须提供对应的节能产品响应；未标注为强制采购的产品，有一款得0.5分，最多得1分。（相同产品本项目多处使用按一款计算）</w:t>
            </w:r>
            <w:r>
              <w:rPr>
                <w:rFonts w:hint="eastAsia" w:ascii="宋体" w:hAnsi="宋体" w:cs="宋体"/>
                <w:color w:val="auto"/>
                <w:sz w:val="18"/>
                <w:szCs w:val="18"/>
                <w:highlight w:val="none"/>
              </w:rPr>
              <w:t>。</w:t>
            </w:r>
          </w:p>
          <w:p>
            <w:pPr>
              <w:widowControl/>
              <w:spacing w:line="400" w:lineRule="exact"/>
              <w:ind w:firstLine="360" w:firstLineChars="200"/>
              <w:jc w:val="both"/>
              <w:rPr>
                <w:rFonts w:ascii="宋体" w:hAnsi="宋体" w:cs="宋体"/>
                <w:color w:val="auto"/>
                <w:sz w:val="18"/>
                <w:szCs w:val="18"/>
                <w:highlight w:val="none"/>
              </w:rPr>
            </w:pPr>
            <w:r>
              <w:rPr>
                <w:rFonts w:hint="eastAsia" w:ascii="宋体" w:hAnsi="宋体" w:cs="宋体"/>
                <w:color w:val="auto"/>
                <w:sz w:val="18"/>
                <w:szCs w:val="18"/>
                <w:highlight w:val="none"/>
              </w:rPr>
              <w:t>说明：</w:t>
            </w:r>
            <w:r>
              <w:rPr>
                <w:rFonts w:hint="eastAsia" w:asciiTheme="minorEastAsia" w:hAnsiTheme="minorEastAsia" w:cstheme="minorEastAsia"/>
                <w:color w:val="auto"/>
                <w:sz w:val="18"/>
                <w:szCs w:val="18"/>
                <w:highlight w:val="none"/>
              </w:rPr>
              <w:t>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r>
              <w:rPr>
                <w:rFonts w:hint="eastAsia" w:asciiTheme="minorEastAsia" w:hAnsiTheme="minorEastAsia" w:eastAsiaTheme="minorEastAsia" w:cstheme="minorEastAsia"/>
                <w:color w:val="auto"/>
                <w:sz w:val="18"/>
                <w:szCs w:val="18"/>
                <w:highlight w:val="none"/>
              </w:rPr>
              <w:t>。</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p>
        </w:tc>
        <w:tc>
          <w:tcPr>
            <w:tcW w:w="851" w:type="dxa"/>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p>
        </w:tc>
        <w:tc>
          <w:tcPr>
            <w:tcW w:w="7718" w:type="dxa"/>
            <w:gridSpan w:val="2"/>
            <w:vAlign w:val="center"/>
          </w:tcPr>
          <w:p>
            <w:pPr>
              <w:widowControl/>
              <w:spacing w:line="400" w:lineRule="exact"/>
              <w:ind w:firstLine="360" w:firstLineChars="200"/>
              <w:rPr>
                <w:rFonts w:ascii="宋体" w:hAnsi="宋体" w:cs="宋体"/>
                <w:color w:val="auto"/>
                <w:sz w:val="18"/>
                <w:szCs w:val="18"/>
                <w:highlight w:val="none"/>
              </w:rPr>
            </w:pPr>
            <w:r>
              <w:rPr>
                <w:rFonts w:hint="eastAsia" w:ascii="宋体" w:hAnsi="宋体" w:cs="宋体"/>
                <w:color w:val="auto"/>
                <w:sz w:val="18"/>
                <w:szCs w:val="18"/>
                <w:highlight w:val="none"/>
              </w:rPr>
              <w:t>2.</w:t>
            </w:r>
            <w:r>
              <w:rPr>
                <w:rFonts w:hint="eastAsia" w:asciiTheme="minorEastAsia" w:hAnsiTheme="minorEastAsia" w:cstheme="minorEastAsia"/>
                <w:color w:val="auto"/>
                <w:sz w:val="18"/>
                <w:szCs w:val="18"/>
                <w:highlight w:val="none"/>
              </w:rPr>
              <w:t>投标产品属于《财政部 生态环境部关于印发环境标志产品政府采购品目清单的通知》（财库〔2019〕18号）范围内的环境标志产品的，有一款得0.5分，最多得1分。（相同产品本项目多处使用按一款计算）</w:t>
            </w:r>
            <w:r>
              <w:rPr>
                <w:rFonts w:hint="eastAsia" w:ascii="宋体" w:hAnsi="宋体" w:cs="宋体"/>
                <w:color w:val="auto"/>
                <w:sz w:val="18"/>
                <w:szCs w:val="18"/>
                <w:highlight w:val="none"/>
              </w:rPr>
              <w:t>。</w:t>
            </w:r>
          </w:p>
          <w:p>
            <w:pPr>
              <w:spacing w:line="400" w:lineRule="exact"/>
              <w:ind w:firstLine="360" w:firstLineChars="200"/>
              <w:jc w:val="both"/>
              <w:rPr>
                <w:rFonts w:asciiTheme="minorEastAsia" w:hAnsiTheme="minorEastAsia" w:eastAsiaTheme="minorEastAsia" w:cstheme="minorEastAsia"/>
                <w:color w:val="auto"/>
                <w:sz w:val="18"/>
                <w:szCs w:val="18"/>
                <w:highlight w:val="none"/>
              </w:rPr>
            </w:pPr>
            <w:r>
              <w:rPr>
                <w:rFonts w:hint="eastAsia" w:ascii="宋体" w:hAnsi="宋体" w:cs="宋体"/>
                <w:color w:val="auto"/>
                <w:sz w:val="18"/>
                <w:szCs w:val="18"/>
                <w:highlight w:val="none"/>
              </w:rPr>
              <w:t>说明：</w:t>
            </w:r>
            <w:r>
              <w:rPr>
                <w:rFonts w:hint="eastAsia" w:asciiTheme="minorEastAsia" w:hAnsiTheme="minorEastAsia" w:cstheme="minorEastAsia"/>
                <w:color w:val="auto"/>
                <w:sz w:val="18"/>
                <w:szCs w:val="18"/>
                <w:highlight w:val="none"/>
              </w:rPr>
              <w:t>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r>
              <w:rPr>
                <w:rFonts w:hint="eastAsia" w:asciiTheme="minorEastAsia" w:hAnsiTheme="minorEastAsia" w:eastAsiaTheme="minorEastAsia" w:cstheme="minorEastAsia"/>
                <w:color w:val="auto"/>
                <w:sz w:val="18"/>
                <w:szCs w:val="18"/>
                <w:highlight w:val="none"/>
              </w:rPr>
              <w:t>。</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306" w:type="dxa"/>
            <w:gridSpan w:val="3"/>
            <w:tcBorders>
              <w:left w:val="single" w:color="auto" w:sz="4" w:space="0"/>
            </w:tcBorders>
            <w:vAlign w:val="center"/>
          </w:tcPr>
          <w:p>
            <w:pPr>
              <w:spacing w:line="320" w:lineRule="exact"/>
              <w:ind w:firstLine="28"/>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合计</w:t>
            </w:r>
          </w:p>
        </w:tc>
        <w:tc>
          <w:tcPr>
            <w:tcW w:w="7718" w:type="dxa"/>
            <w:gridSpan w:val="2"/>
            <w:vAlign w:val="center"/>
          </w:tcPr>
          <w:p>
            <w:pPr>
              <w:spacing w:line="400" w:lineRule="exact"/>
              <w:ind w:firstLine="360" w:firstLineChars="200"/>
              <w:rPr>
                <w:rFonts w:asciiTheme="minorEastAsia" w:hAnsiTheme="minorEastAsia" w:eastAsiaTheme="minorEastAsia" w:cstheme="minorEastAsia"/>
                <w:color w:val="auto"/>
                <w:sz w:val="18"/>
                <w:szCs w:val="18"/>
                <w:highlight w:val="none"/>
              </w:rPr>
            </w:pPr>
            <w:r>
              <w:rPr>
                <w:rFonts w:asciiTheme="minorEastAsia" w:hAnsiTheme="minorEastAsia" w:eastAsiaTheme="minorEastAsia" w:cstheme="minorEastAsia"/>
                <w:color w:val="auto"/>
                <w:sz w:val="18"/>
                <w:szCs w:val="18"/>
                <w:highlight w:val="none"/>
              </w:rPr>
              <w:t>102</w:t>
            </w:r>
            <w:r>
              <w:rPr>
                <w:rFonts w:hint="eastAsia" w:asciiTheme="minorEastAsia" w:hAnsiTheme="minorEastAsia" w:eastAsiaTheme="minorEastAsia" w:cstheme="minorEastAsia"/>
                <w:color w:val="auto"/>
                <w:sz w:val="18"/>
                <w:szCs w:val="18"/>
                <w:highlight w:val="none"/>
              </w:rPr>
              <w:t>分</w:t>
            </w:r>
          </w:p>
        </w:tc>
      </w:tr>
      <w:bookmarkEnd w:id="79"/>
    </w:tbl>
    <w:p>
      <w:pPr>
        <w:rPr>
          <w:rFonts w:asciiTheme="minorEastAsia" w:hAnsiTheme="minorEastAsia" w:eastAsiaTheme="minorEastAsia" w:cstheme="minorEastAsia"/>
          <w:color w:val="auto"/>
          <w:kern w:val="2"/>
          <w:sz w:val="21"/>
          <w:szCs w:val="21"/>
          <w:highlight w:val="none"/>
        </w:rPr>
      </w:pPr>
    </w:p>
    <w:p>
      <w:pP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注：关于小微企业报价扣除比例说明</w:t>
      </w:r>
    </w:p>
    <w:p>
      <w:pPr>
        <w:snapToGrid w:val="0"/>
        <w:spacing w:line="360" w:lineRule="exact"/>
        <w:ind w:firstLine="465"/>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1.关于小微企业：</w:t>
      </w:r>
    </w:p>
    <w:p>
      <w:pPr>
        <w:snapToGrid w:val="0"/>
        <w:spacing w:line="360" w:lineRule="exact"/>
        <w:ind w:firstLine="465"/>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pPr>
        <w:snapToGrid w:val="0"/>
        <w:spacing w:line="360" w:lineRule="exact"/>
        <w:ind w:firstLine="465"/>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1.2在货物采购项目中，供应商提供的货物既有中小企业制造货物，也有大型企业制造货物的，不享受（财库〔2020〕46号）规定的中小企业扶持政策。</w:t>
      </w:r>
    </w:p>
    <w:p>
      <w:pPr>
        <w:snapToGrid w:val="0"/>
        <w:spacing w:line="36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1.3 以联合体形式参加政府采购活动，联合体各方均为中小企业的，联合体视同中小企业。其中，联合体各方均为小微企业的，联合体视同小微企业</w:t>
      </w:r>
      <w:r>
        <w:rPr>
          <w:rFonts w:hint="eastAsia" w:asciiTheme="minorEastAsia" w:hAnsiTheme="minorEastAsia" w:eastAsiaTheme="minorEastAsia" w:cstheme="minorEastAsia"/>
          <w:color w:val="auto"/>
          <w:sz w:val="21"/>
          <w:szCs w:val="21"/>
          <w:highlight w:val="none"/>
        </w:rPr>
        <w:t>。大中型企业与小微企业组成联合体共同参加投标，小微型企业的协议合同金额占到联合体协议合同金额30%以上的，可给予联合体</w:t>
      </w:r>
      <w:r>
        <w:rPr>
          <w:rFonts w:hint="eastAsia" w:asciiTheme="minorEastAsia" w:hAnsiTheme="minorEastAsia" w:eastAsiaTheme="minorEastAsia" w:cstheme="minorEastAsia"/>
          <w:color w:val="auto"/>
          <w:sz w:val="21"/>
          <w:szCs w:val="21"/>
          <w:highlight w:val="none"/>
          <w:u w:val="single"/>
        </w:rPr>
        <w:t>4%</w:t>
      </w:r>
      <w:r>
        <w:rPr>
          <w:rFonts w:hint="eastAsia" w:asciiTheme="minorEastAsia" w:hAnsiTheme="minorEastAsia" w:eastAsiaTheme="minorEastAsia" w:cstheme="minorEastAsia"/>
          <w:color w:val="auto"/>
          <w:sz w:val="21"/>
          <w:szCs w:val="21"/>
          <w:highlight w:val="none"/>
        </w:rPr>
        <w:t>的价格扣除</w:t>
      </w:r>
      <w:r>
        <w:rPr>
          <w:rFonts w:hint="eastAsia" w:asciiTheme="minorEastAsia" w:hAnsiTheme="minorEastAsia" w:eastAsiaTheme="minorEastAsia" w:cstheme="minorEastAsia"/>
          <w:b/>
          <w:color w:val="auto"/>
          <w:sz w:val="21"/>
          <w:szCs w:val="21"/>
          <w:highlight w:val="none"/>
        </w:rPr>
        <w:t>（本项目不接受联合体参与投标）</w:t>
      </w:r>
      <w:r>
        <w:rPr>
          <w:rFonts w:hint="eastAsia" w:asciiTheme="minorEastAsia" w:hAnsiTheme="minorEastAsia" w:eastAsiaTheme="minorEastAsia" w:cstheme="minorEastAsia"/>
          <w:color w:val="auto"/>
          <w:sz w:val="21"/>
          <w:szCs w:val="21"/>
          <w:highlight w:val="none"/>
        </w:rPr>
        <w:t>。</w:t>
      </w:r>
    </w:p>
    <w:p>
      <w:pPr>
        <w:snapToGrid w:val="0"/>
        <w:spacing w:line="360" w:lineRule="exact"/>
        <w:ind w:firstLine="465"/>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1.4本规定所称中小企业划分标准按照《工业和信息化部、国家统计局、国家发展和改革委员会、财政部关于印发中小企业划型标准规定的通知》（工信部联企业〔2011〕300号）执行。</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2.依照&lt;财政部、司法部关于政府采购支持监狱企业发展有关问题的通知&gt;（财库〔2014〕68号）之规定，监狱企业应当符合以下条件：</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2.2 监狱企业参加政府采购活动时，视同小型、微型企业，应当提供由省级以上监狱管理局、戒毒管理局（含新疆生产建设兵团）出具的属于监狱企业的证明文件。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依照《关于促进残疾人就业政府采购政策的通知》（财库〔2017〕141号）之规定，享受政府采购支持政策的残疾人福利性单位在参加政府采购活动时，视同小型、微型企业，但应当提供通知规定的《残疾人福利性单位声明函》（见附件2），并对声明的真实性负责。</w:t>
      </w:r>
    </w:p>
    <w:p>
      <w:pPr>
        <w:snapToGrid w:val="0"/>
        <w:spacing w:line="360" w:lineRule="exact"/>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4、具体报价扣除比例说明：</w:t>
      </w:r>
    </w:p>
    <w:p>
      <w:pPr>
        <w:snapToGrid w:val="0"/>
        <w:spacing w:line="360" w:lineRule="exact"/>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在投标报价的基础上，小型、微型企业或监狱企业</w:t>
      </w:r>
      <w:r>
        <w:rPr>
          <w:rFonts w:hint="eastAsia" w:asciiTheme="minorEastAsia" w:hAnsiTheme="minorEastAsia" w:eastAsiaTheme="minorEastAsia" w:cstheme="minorEastAsia"/>
          <w:color w:val="auto"/>
          <w:kern w:val="2"/>
          <w:sz w:val="21"/>
          <w:szCs w:val="21"/>
          <w:highlight w:val="none"/>
        </w:rPr>
        <w:t>或残疾人企业</w:t>
      </w:r>
      <w:r>
        <w:rPr>
          <w:rFonts w:hint="eastAsia" w:asciiTheme="minorEastAsia" w:hAnsiTheme="minorEastAsia" w:eastAsiaTheme="minorEastAsia" w:cstheme="minorEastAsia"/>
          <w:color w:val="auto"/>
          <w:sz w:val="21"/>
          <w:szCs w:val="21"/>
          <w:highlight w:val="none"/>
        </w:rPr>
        <w:t>，按“投标报价×10%”进行扣除，以扣除后的报价参与评审；</w:t>
      </w:r>
    </w:p>
    <w:p>
      <w:pPr>
        <w:pStyle w:val="47"/>
        <w:numPr>
          <w:ilvl w:val="0"/>
          <w:numId w:val="0"/>
        </w:numPr>
        <w:spacing w:line="360" w:lineRule="exact"/>
        <w:ind w:firstLine="420" w:firstLineChars="200"/>
        <w:jc w:val="left"/>
        <w:rPr>
          <w:rFonts w:asciiTheme="minorEastAsia" w:hAnsiTheme="minorEastAsia" w:eastAsiaTheme="minorEastAsia" w:cstheme="minorEastAsia"/>
          <w:b w:val="0"/>
          <w:color w:val="auto"/>
          <w:kern w:val="2"/>
          <w:sz w:val="21"/>
          <w:szCs w:val="21"/>
          <w:highlight w:val="none"/>
          <w:lang w:val="en-US"/>
        </w:rPr>
      </w:pPr>
      <w:r>
        <w:rPr>
          <w:rFonts w:hint="eastAsia" w:asciiTheme="minorEastAsia" w:hAnsiTheme="minorEastAsia" w:eastAsiaTheme="minorEastAsia" w:cstheme="minorEastAsia"/>
          <w:b w:val="0"/>
          <w:color w:val="auto"/>
          <w:kern w:val="2"/>
          <w:sz w:val="21"/>
          <w:szCs w:val="21"/>
          <w:highlight w:val="none"/>
          <w:lang w:val="en-US"/>
        </w:rPr>
        <w:t>5、依据本办法规定享受扶持政策获得政府采购合同的，小微企业不得将合同分包给大中型企业，中型企业不得将合同分包给大型企业。</w:t>
      </w:r>
    </w:p>
    <w:p>
      <w:pPr>
        <w:rPr>
          <w:rFonts w:asciiTheme="minorEastAsia" w:hAnsiTheme="minorEastAsia" w:eastAsiaTheme="minorEastAsia" w:cstheme="minorEastAsia"/>
          <w:color w:val="auto"/>
          <w:highlight w:val="none"/>
        </w:rPr>
      </w:pPr>
    </w:p>
    <w:p>
      <w:pPr>
        <w:snapToGrid w:val="0"/>
        <w:spacing w:line="360" w:lineRule="exact"/>
        <w:ind w:firstLine="426" w:firstLineChars="202"/>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特别说明1：</w:t>
      </w:r>
    </w:p>
    <w:p>
      <w:pPr>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①按照本次采购标的所属行业的划型标准（</w:t>
      </w:r>
      <w:r>
        <w:rPr>
          <w:rFonts w:hint="eastAsia" w:asciiTheme="minorEastAsia" w:hAnsiTheme="minorEastAsia" w:eastAsiaTheme="minorEastAsia" w:cstheme="minorEastAsia"/>
          <w:b/>
          <w:bCs/>
          <w:color w:val="auto"/>
          <w:sz w:val="21"/>
          <w:szCs w:val="21"/>
          <w:highlight w:val="none"/>
        </w:rPr>
        <w:t>采购标的对应的中小企业划分标准所属行业：工业</w:t>
      </w:r>
      <w:r>
        <w:rPr>
          <w:rFonts w:hint="eastAsia" w:asciiTheme="minorEastAsia" w:hAnsiTheme="minorEastAsia" w:eastAsiaTheme="minorEastAsia" w:cstheme="minorEastAsia"/>
          <w:b/>
          <w:color w:val="auto"/>
          <w:sz w:val="21"/>
          <w:szCs w:val="21"/>
          <w:highlight w:val="none"/>
        </w:rPr>
        <w:t>），符合相应条件的企业应根据招标文件格式要求提供《中小企业声明函》；未按要求提供声明函的不被认定为小微型企业。</w:t>
      </w:r>
    </w:p>
    <w:p>
      <w:pPr>
        <w:snapToGrid w:val="0"/>
        <w:spacing w:line="360" w:lineRule="exact"/>
        <w:ind w:firstLine="422"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b/>
          <w:color w:val="auto"/>
          <w:sz w:val="21"/>
          <w:szCs w:val="21"/>
          <w:highlight w:val="none"/>
        </w:rPr>
        <w:t>②</w:t>
      </w:r>
      <w:r>
        <w:rPr>
          <w:rFonts w:hint="eastAsia" w:asciiTheme="minorEastAsia" w:hAnsiTheme="minorEastAsia" w:eastAsiaTheme="minorEastAsia" w:cstheme="minorEastAsia"/>
          <w:color w:val="auto"/>
          <w:kern w:val="2"/>
          <w:sz w:val="21"/>
          <w:szCs w:val="21"/>
          <w:highlight w:val="none"/>
        </w:rPr>
        <w:t>符合相应条件的监狱企业，应当提供由省级以上监狱管理局、戒毒管理局（含新疆生产建设兵团）出具的属于监狱企业的证明文件。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③ 符合相应条件的残疾人企业应根据招标文件的格式要求提供</w:t>
      </w:r>
      <w:r>
        <w:rPr>
          <w:rFonts w:hint="eastAsia" w:asciiTheme="minorEastAsia" w:hAnsiTheme="minorEastAsia" w:eastAsiaTheme="minorEastAsia" w:cstheme="minorEastAsia"/>
          <w:b/>
          <w:color w:val="auto"/>
          <w:kern w:val="2"/>
          <w:sz w:val="21"/>
          <w:szCs w:val="21"/>
          <w:highlight w:val="none"/>
        </w:rPr>
        <w:t>《残疾人福利性单位声明函》</w:t>
      </w:r>
      <w:r>
        <w:rPr>
          <w:rFonts w:hint="eastAsia" w:asciiTheme="minorEastAsia" w:hAnsiTheme="minorEastAsia" w:eastAsiaTheme="minorEastAsia" w:cstheme="minorEastAsia"/>
          <w:color w:val="auto"/>
          <w:kern w:val="2"/>
          <w:sz w:val="21"/>
          <w:szCs w:val="21"/>
          <w:highlight w:val="none"/>
        </w:rPr>
        <w:t>，未按要求提供声明函的不被认定为小微型企业。</w:t>
      </w:r>
    </w:p>
    <w:p>
      <w:pPr>
        <w:snapToGrid w:val="0"/>
        <w:spacing w:line="360" w:lineRule="exact"/>
        <w:ind w:firstLine="424" w:firstLineChars="202"/>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④对于既属于小微企业又属于监狱企业或残疾人企业的，不重复进行响应报价扣除。</w:t>
      </w:r>
    </w:p>
    <w:p>
      <w:pPr>
        <w:ind w:firstLine="210" w:firstLineChars="100"/>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21"/>
          <w:szCs w:val="21"/>
          <w:highlight w:val="none"/>
        </w:rPr>
        <w:t xml:space="preserve">  </w:t>
      </w:r>
    </w:p>
    <w:p>
      <w:pP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 xml:space="preserve">特别说明2： </w:t>
      </w:r>
    </w:p>
    <w:p>
      <w:pPr>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若供应商提供的资料不全或前后不一致，评审时未发现的，按有利于采购人的原则执行，供应商须无条件接受。</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四、评标过程及保密原则</w:t>
      </w:r>
    </w:p>
    <w:p>
      <w:pPr>
        <w:tabs>
          <w:tab w:val="left" w:pos="2370"/>
        </w:tabs>
        <w:snapToGrid w:val="0"/>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1、开标之后，直到授予中标人合同止，凡与本次招标有关人员对属于审查、澄清、评价和比较投标的有关资料以及授标意向等，均不得向投标人或其他无关的人员透露。</w:t>
      </w:r>
    </w:p>
    <w:p>
      <w:pPr>
        <w:tabs>
          <w:tab w:val="left" w:pos="2370"/>
        </w:tabs>
        <w:snapToGrid w:val="0"/>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2、在评标期间，投标人试图影响招标采购单位和评标委员会的任何活动，将导致其投标被拒绝，并承担相应的法律责任。</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五、无效投标条款</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bookmarkStart w:id="80" w:name="_Toc418512125"/>
      <w:r>
        <w:rPr>
          <w:rFonts w:hint="eastAsia" w:asciiTheme="minorEastAsia" w:hAnsiTheme="minorEastAsia" w:eastAsiaTheme="minorEastAsia" w:cstheme="minorEastAsia"/>
          <w:color w:val="auto"/>
          <w:kern w:val="2"/>
          <w:sz w:val="21"/>
          <w:szCs w:val="21"/>
          <w:highlight w:val="none"/>
        </w:rPr>
        <w:t>（一）评标委员会评审时，投标人或其投标文件出现下列情况之一者，应为无效投标：</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1、投标文件未通过符合性检查的；</w:t>
      </w:r>
    </w:p>
    <w:p>
      <w:pPr>
        <w:pStyle w:val="16"/>
        <w:spacing w:line="36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highlight w:val="none"/>
        </w:rPr>
        <w:t>2、投标产品不符合必须强制执行的国家标准的；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3、投标文件未按照招标文件第七篇投标文件格式中所规定签字、盖章的；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4、投标文件出现多个投标方案或投标报价的；</w:t>
      </w:r>
    </w:p>
    <w:p>
      <w:pPr>
        <w:snapToGrid w:val="0"/>
        <w:spacing w:line="360" w:lineRule="exact"/>
        <w:ind w:firstLine="420" w:firstLineChars="200"/>
        <w:jc w:val="both"/>
        <w:textAlignment w:val="auto"/>
        <w:rPr>
          <w:rFonts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5、投标报价超出招标文件规定的采购预算（最高限价）或单价限价的（招标项目预算是完成整个项目的预算额，</w:t>
      </w:r>
      <w:r>
        <w:rPr>
          <w:rFonts w:hint="eastAsia" w:asciiTheme="minorEastAsia" w:hAnsiTheme="minorEastAsia" w:eastAsiaTheme="minorEastAsia" w:cstheme="minorEastAsia"/>
          <w:b/>
          <w:bCs/>
          <w:color w:val="auto"/>
          <w:kern w:val="2"/>
          <w:sz w:val="21"/>
          <w:szCs w:val="21"/>
          <w:highlight w:val="none"/>
        </w:rPr>
        <w:t>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102%/101.5%/100%对CIP西南大学项目现场外币价/DAP西南大学项目现场外币价/DDP西南大学项目现场外币价格进行折算（若所投币种为人民币，则直接按上述对应系数进行折算）；</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6、投标文件响应招标文件的实质性内容不全或数据模糊、辨认不清或者拒不按照要求对投标文件进行澄清、说明或补正；</w:t>
      </w:r>
    </w:p>
    <w:p>
      <w:pPr>
        <w:widowControl/>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7、投标报价中有缺漏项的；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8、投标人的投标文件未提供的。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9、交货期或投标有效期不满足招标文件要求的；</w:t>
      </w:r>
    </w:p>
    <w:p>
      <w:pPr>
        <w:widowControl/>
        <w:spacing w:line="360" w:lineRule="exact"/>
        <w:ind w:firstLine="420"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10、评审小组认为投标人的报价明显低于其他通过符合性检查投标人的报价，有可能影响履约，且投标人未按照规定证明其报价合理性的；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11、对</w:t>
      </w:r>
      <w:r>
        <w:rPr>
          <w:rFonts w:hint="eastAsia" w:asciiTheme="minorEastAsia" w:hAnsiTheme="minorEastAsia" w:eastAsiaTheme="minorEastAsia" w:cstheme="minorEastAsia"/>
          <w:b/>
          <w:bCs/>
          <w:color w:val="auto"/>
          <w:kern w:val="2"/>
          <w:sz w:val="21"/>
          <w:szCs w:val="21"/>
          <w:highlight w:val="none"/>
        </w:rPr>
        <w:t>招标文件</w:t>
      </w:r>
      <w:r>
        <w:rPr>
          <w:rFonts w:hint="eastAsia" w:asciiTheme="minorEastAsia" w:hAnsiTheme="minorEastAsia" w:eastAsiaTheme="minorEastAsia" w:cstheme="minorEastAsia"/>
          <w:color w:val="auto"/>
          <w:kern w:val="2"/>
          <w:sz w:val="21"/>
          <w:szCs w:val="21"/>
          <w:highlight w:val="none"/>
        </w:rPr>
        <w:t>规定的不可偏离条款有偏离的；</w:t>
      </w:r>
    </w:p>
    <w:p>
      <w:pPr>
        <w:widowControl/>
        <w:spacing w:line="360" w:lineRule="exact"/>
        <w:ind w:firstLine="424" w:firstLineChars="202"/>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12、投标文件技术规格中的响应与事实不符或虚假投标的；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13、对合同其他条款重大偏离的；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14、不符合法律法规和招标文件其他实质性要求的；</w:t>
      </w:r>
    </w:p>
    <w:p>
      <w:pPr>
        <w:snapToGrid w:val="0"/>
        <w:spacing w:line="40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15、投标文件含有违反国家法律、法规的内容，或附有采购人/西南大学不能接受的条件的。</w:t>
      </w:r>
    </w:p>
    <w:p>
      <w:pPr>
        <w:widowControl/>
        <w:spacing w:line="400" w:lineRule="exact"/>
        <w:ind w:firstLine="422" w:firstLineChars="200"/>
        <w:rPr>
          <w:rFonts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b/>
          <w:bCs/>
          <w:color w:val="auto"/>
          <w:kern w:val="2"/>
          <w:sz w:val="21"/>
          <w:szCs w:val="21"/>
          <w:highlight w:val="none"/>
        </w:rPr>
        <w:t xml:space="preserve">（二）有下列情形之一的，其投标无效，采购人/西南大学将向相关部门举报：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1、不同投标人的投标文件由同一单位或者个人编制；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2、不同投标人委托同一单位或者个人办理投标事宜；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3、不同投标人的投标文件载明的项目管理成员或者联系人员为同一人；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4、不同投标人的投标文件异常一致或者投标报价呈规律性差异；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5、不同投标人的投标文件相互混装； </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6、不同投标人使用同一个人或者企业资金交纳投标保证金或者投标保函的。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7、不同投标人的投标文件中载明的法定代表人或授权代表中出现同一人的；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8、不同投标人聘请同一人为其投标提供技术或者经济咨询服务的，但招标项目本身要求采用专有技术的除外；</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9、投标人有《中华人民共和国反不正当竞争法》所列的不正当竞争行为；</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10、采取不正当手段诋毁、排挤其他投标人的；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11、与西南大学采购与招投标管理中心、项目使用单位及个人或其他投标人恶意串通的；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12、向西南大学采购与招投标管理中心、项目使用单位及个人或评标专家行贿或者提供其他不正当利益的；</w:t>
      </w:r>
    </w:p>
    <w:p>
      <w:pPr>
        <w:tabs>
          <w:tab w:val="left" w:pos="2370"/>
        </w:tabs>
        <w:snapToGrid w:val="0"/>
        <w:spacing w:line="360" w:lineRule="exact"/>
        <w:ind w:firstLine="422"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六、废标条款</w:t>
      </w:r>
      <w:bookmarkEnd w:id="80"/>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评标委员会评审时出现以下情况之一的，应予废标：</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（一）符合专业条件的投标人或者对招标文件作实质响应的投标人不足三家的；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（二）投标人的报价均超过了采购预算或最高限价，采购人不能支付的；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（三）出现影响采购公正的违法、违规行为的；</w:t>
      </w:r>
    </w:p>
    <w:p>
      <w:pPr>
        <w:snapToGrid w:val="0"/>
        <w:spacing w:line="360" w:lineRule="exact"/>
        <w:ind w:firstLine="420" w:firstLineChars="200"/>
        <w:jc w:val="both"/>
        <w:textAlignment w:val="auto"/>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（四）因重大变故，采购任务取消的。</w:t>
      </w:r>
    </w:p>
    <w:p>
      <w:pPr>
        <w:snapToGrid w:val="0"/>
        <w:spacing w:line="360" w:lineRule="exact"/>
        <w:ind w:firstLine="42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sz w:val="21"/>
          <w:szCs w:val="21"/>
          <w:highlight w:val="none"/>
        </w:rPr>
        <w:t>废标后，除采购任务取消情形外，应当重新组织采购。</w:t>
      </w:r>
    </w:p>
    <w:p>
      <w:pPr>
        <w:pStyle w:val="2"/>
        <w:spacing w:before="120" w:after="120"/>
        <w:ind w:left="0" w:firstLine="2209" w:firstLineChars="500"/>
        <w:jc w:val="center"/>
        <w:rPr>
          <w:rFonts w:asciiTheme="minorEastAsia" w:hAnsiTheme="minorEastAsia" w:eastAsiaTheme="minorEastAsia" w:cstheme="minorEastAsia"/>
          <w:b w:val="0"/>
          <w:color w:val="auto"/>
          <w:sz w:val="36"/>
          <w:szCs w:val="36"/>
          <w:highlight w:val="none"/>
        </w:rPr>
      </w:pPr>
      <w:r>
        <w:rPr>
          <w:rFonts w:hint="eastAsia" w:asciiTheme="minorEastAsia" w:hAnsiTheme="minorEastAsia" w:eastAsiaTheme="minorEastAsia" w:cstheme="minorEastAsia"/>
          <w:color w:val="auto"/>
          <w:kern w:val="2"/>
          <w:highlight w:val="none"/>
        </w:rPr>
        <w:br w:type="page"/>
      </w:r>
      <w:r>
        <w:rPr>
          <w:rFonts w:hint="eastAsia" w:asciiTheme="minorEastAsia" w:hAnsiTheme="minorEastAsia" w:eastAsiaTheme="minorEastAsia" w:cstheme="minorEastAsia"/>
          <w:color w:val="auto"/>
          <w:highlight w:val="none"/>
        </w:rPr>
        <w:t>第五篇 投标人须知</w:t>
      </w:r>
    </w:p>
    <w:p>
      <w:pPr>
        <w:pStyle w:val="3"/>
        <w:spacing w:line="360" w:lineRule="auto"/>
        <w:ind w:left="0"/>
        <w:rPr>
          <w:rFonts w:asciiTheme="minorEastAsia" w:hAnsiTheme="minorEastAsia" w:eastAsiaTheme="minorEastAsia" w:cstheme="minorEastAsia"/>
          <w:color w:val="auto"/>
          <w:sz w:val="32"/>
          <w:highlight w:val="none"/>
        </w:rPr>
      </w:pPr>
      <w:bookmarkStart w:id="81" w:name="_Toc465269230"/>
      <w:r>
        <w:rPr>
          <w:rFonts w:hint="eastAsia" w:asciiTheme="minorEastAsia" w:hAnsiTheme="minorEastAsia" w:eastAsiaTheme="minorEastAsia" w:cstheme="minorEastAsia"/>
          <w:color w:val="auto"/>
          <w:sz w:val="32"/>
          <w:highlight w:val="none"/>
        </w:rPr>
        <w:t>一、说明</w:t>
      </w:r>
      <w:bookmarkEnd w:id="81"/>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82" w:name="_Toc465269231"/>
      <w:r>
        <w:rPr>
          <w:rFonts w:hint="eastAsia" w:asciiTheme="minorEastAsia" w:hAnsiTheme="minorEastAsia" w:eastAsiaTheme="minorEastAsia" w:cstheme="minorEastAsia"/>
          <w:b/>
          <w:color w:val="auto"/>
          <w:sz w:val="24"/>
          <w:szCs w:val="24"/>
          <w:highlight w:val="none"/>
        </w:rPr>
        <w:t>（一）项目说明</w:t>
      </w:r>
      <w:bookmarkEnd w:id="82"/>
    </w:p>
    <w:p>
      <w:pPr>
        <w:snapToGrid w:val="0"/>
        <w:spacing w:line="360" w:lineRule="auto"/>
        <w:ind w:firstLine="417" w:firstLineChars="17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1.采购形式</w:t>
      </w:r>
    </w:p>
    <w:p>
      <w:pPr>
        <w:pStyle w:val="31"/>
        <w:snapToGrid w:val="0"/>
        <w:spacing w:line="360" w:lineRule="auto"/>
        <w:ind w:firstLine="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西南大学通过公开招标采购方式采购本招标文件第二篇“采购需求”中所列项目。西南大学委托采购代理机构负责组织本项目的招标采购活动。</w:t>
      </w:r>
    </w:p>
    <w:p>
      <w:pPr>
        <w:snapToGrid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2.招标范围</w:t>
      </w:r>
    </w:p>
    <w:p>
      <w:pPr>
        <w:pStyle w:val="31"/>
        <w:snapToGrid w:val="0"/>
        <w:spacing w:line="360" w:lineRule="auto"/>
        <w:ind w:firstLine="676" w:firstLineChars="28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本招标文件第二篇“采购需求”中所列项目下的货物及相关服务。本范围不允许有缺漏项，否则</w:t>
      </w:r>
      <w:r>
        <w:rPr>
          <w:rFonts w:hint="eastAsia" w:asciiTheme="minorEastAsia" w:hAnsiTheme="minorEastAsia" w:eastAsiaTheme="minorEastAsia" w:cstheme="minorEastAsia"/>
          <w:b/>
          <w:color w:val="auto"/>
          <w:sz w:val="24"/>
          <w:szCs w:val="24"/>
          <w:highlight w:val="none"/>
        </w:rPr>
        <w:t>投标无效</w:t>
      </w:r>
      <w:r>
        <w:rPr>
          <w:rFonts w:hint="eastAsia" w:asciiTheme="minorEastAsia" w:hAnsiTheme="minorEastAsia" w:eastAsiaTheme="minorEastAsia" w:cstheme="minorEastAsia"/>
          <w:color w:val="auto"/>
          <w:sz w:val="24"/>
          <w:szCs w:val="24"/>
          <w:highlight w:val="none"/>
        </w:rPr>
        <w:t>。</w:t>
      </w:r>
    </w:p>
    <w:p>
      <w:pPr>
        <w:snapToGrid w:val="0"/>
        <w:spacing w:line="360" w:lineRule="auto"/>
        <w:ind w:firstLine="417" w:firstLineChars="17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3.招标要求</w:t>
      </w:r>
    </w:p>
    <w:p>
      <w:pPr>
        <w:pStyle w:val="31"/>
        <w:snapToGrid w:val="0"/>
        <w:spacing w:line="360" w:lineRule="auto"/>
        <w:ind w:firstLine="676" w:firstLineChars="28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3.1本项目的交货期：投标人应根据“商务要求”的要求制定设备的供货时间（包括到货和安装调试时间）。</w:t>
      </w:r>
    </w:p>
    <w:p>
      <w:pPr>
        <w:pStyle w:val="31"/>
        <w:snapToGrid w:val="0"/>
        <w:spacing w:line="360" w:lineRule="auto"/>
        <w:ind w:firstLine="0" w:firstLineChars="0"/>
        <w:jc w:val="left"/>
        <w:rPr>
          <w:rFonts w:asciiTheme="minorEastAsia" w:hAnsiTheme="minorEastAsia" w:eastAsiaTheme="minorEastAsia" w:cstheme="minorEastAsia"/>
          <w:color w:val="auto"/>
          <w:sz w:val="24"/>
          <w:szCs w:val="24"/>
          <w:highlight w:val="none"/>
        </w:rPr>
      </w:pPr>
      <w:bookmarkStart w:id="83" w:name="_Toc449109173"/>
      <w:bookmarkStart w:id="84" w:name="_Toc449109335"/>
      <w:bookmarkStart w:id="85" w:name="_Toc449109117"/>
      <w:bookmarkStart w:id="86" w:name="_Toc449106626"/>
      <w:r>
        <w:rPr>
          <w:rFonts w:hint="eastAsia" w:asciiTheme="minorEastAsia" w:hAnsiTheme="minorEastAsia" w:eastAsiaTheme="minorEastAsia" w:cstheme="minorEastAsia"/>
          <w:color w:val="auto"/>
          <w:sz w:val="24"/>
          <w:szCs w:val="24"/>
          <w:highlight w:val="none"/>
        </w:rPr>
        <w:t xml:space="preserve">    3.2 投标人的投标报价须按照“开标一览表”和“投标分项报价表”的格式要求进行相应报价。</w:t>
      </w:r>
      <w:bookmarkEnd w:id="83"/>
      <w:bookmarkEnd w:id="84"/>
      <w:bookmarkEnd w:id="85"/>
      <w:bookmarkEnd w:id="86"/>
    </w:p>
    <w:p>
      <w:pPr>
        <w:snapToGrid w:val="0"/>
        <w:spacing w:line="360" w:lineRule="auto"/>
        <w:ind w:firstLine="417" w:firstLineChars="174"/>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3.3 投标人所投的设备必须技术先进、功能完整、运行安全、可靠。</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 投标人须提供投标货物的品牌、型号（配置），非标准化产品的配置应标识清楚，定制货物无品牌、型号的必须在《投标分项报价表》的“规格型号”栏内标明为“定制”，未提供品牌或型号、配置的，采购人可视其为</w:t>
      </w:r>
      <w:r>
        <w:rPr>
          <w:rFonts w:hint="eastAsia" w:asciiTheme="minorEastAsia" w:hAnsiTheme="minorEastAsia" w:eastAsiaTheme="minorEastAsia" w:cstheme="minorEastAsia"/>
          <w:b/>
          <w:color w:val="auto"/>
          <w:sz w:val="24"/>
          <w:szCs w:val="24"/>
          <w:highlight w:val="none"/>
        </w:rPr>
        <w:t>无效投标</w:t>
      </w:r>
      <w:r>
        <w:rPr>
          <w:rFonts w:hint="eastAsia" w:asciiTheme="minorEastAsia" w:hAnsiTheme="minorEastAsia" w:eastAsiaTheme="minorEastAsia" w:cstheme="minorEastAsia"/>
          <w:color w:val="auto"/>
          <w:sz w:val="24"/>
          <w:szCs w:val="24"/>
          <w:highlight w:val="none"/>
        </w:rPr>
        <w:t>。</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 投标人必须提交对招标文件实质性响应的投标文件。</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3.7环境标志产品的优先采购以国家财政部和国家环境保护部公布的最新“环境标志产品政府采购清单”所列产品及相关规定为准。</w:t>
      </w:r>
    </w:p>
    <w:p>
      <w:pPr>
        <w:pStyle w:val="31"/>
        <w:snapToGrid w:val="0"/>
        <w:spacing w:line="360" w:lineRule="auto"/>
        <w:ind w:firstLine="480" w:firstLineChars="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3.8本项目涉及软件产品的，必须采购和使用正版软件，项目中涉及计算机办公产品的必须预装正版操作系统软件。</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3.9本项目所涉及的信息安全产品需经过国家相关认证。</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87" w:name="_Toc465269232"/>
      <w:r>
        <w:rPr>
          <w:rFonts w:hint="eastAsia" w:asciiTheme="minorEastAsia" w:hAnsiTheme="minorEastAsia" w:eastAsiaTheme="minorEastAsia" w:cstheme="minorEastAsia"/>
          <w:b/>
          <w:color w:val="auto"/>
          <w:sz w:val="24"/>
          <w:szCs w:val="24"/>
          <w:highlight w:val="none"/>
        </w:rPr>
        <w:t>（二）投标费用</w:t>
      </w:r>
      <w:bookmarkEnd w:id="87"/>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88" w:name="_Toc465269233"/>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（三）合格的投标人</w:t>
      </w:r>
      <w:bookmarkEnd w:id="88"/>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1.投标人须符合本项目招标文件所规定的资格条件。</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2.投标人应遵守中国的有关法律、法规和规章的规定。</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4.一个投标人只能提交一个投标文件。但如果投标人之间存在下列互为关联关系的情形之一的，不得同时参加本项目投标。</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单位负责人为同一人的两个及两个以上单位；</w:t>
      </w:r>
      <w:bookmarkStart w:id="89" w:name="_Toc449301677"/>
      <w:bookmarkStart w:id="90" w:name="_Toc449109118"/>
      <w:bookmarkStart w:id="91" w:name="_Toc449109336"/>
      <w:bookmarkStart w:id="92" w:name="_Toc449302150"/>
      <w:bookmarkStart w:id="93" w:name="_Toc465269234"/>
      <w:bookmarkStart w:id="94" w:name="_Toc449109174"/>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母公司、直接或间接持股 50％及以上的被投资公司；</w:t>
      </w:r>
      <w:bookmarkEnd w:id="89"/>
      <w:bookmarkEnd w:id="90"/>
      <w:bookmarkEnd w:id="91"/>
      <w:bookmarkEnd w:id="92"/>
      <w:bookmarkEnd w:id="93"/>
      <w:bookmarkEnd w:id="94"/>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均为同一家母公司直接或间接持股 50％及以上的被投资公司。</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5.与采购人存在利害关系可能影响招标公正性的法人或其他组织不得参加投标。</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6.接受委托参与招标文件编制的法人或其他组织不得参加受托项目的投标，也不得为该项目的投标人编制投标文件或提供咨询。</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7.投标人不得与本次招标项下设计、编制技术规格和其它文件的公司或提供咨询服务的公司包括其附属机构有任何关联。</w:t>
      </w:r>
    </w:p>
    <w:p>
      <w:pPr>
        <w:snapToGrid w:val="0"/>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8．投标代理人在同一个项目中只能接受一个投标人的委托参加投标。</w:t>
      </w:r>
    </w:p>
    <w:p>
      <w:pPr>
        <w:snapToGrid w:val="0"/>
        <w:spacing w:line="360" w:lineRule="auto"/>
        <w:ind w:firstLine="48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9.本项目不允许联合体投标。</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10.投标人在投标过程中不得向采购人提供赠品、回扣或者与采购无关的其他商品、服务，一经发现，其投标人资格将被取消。</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11.采购人在任何时候发现投标人以他人名义投标、相互串通投标，在投标文件中提交虚假资料或失实资料的，或者以其他方式弄虚作假的，其投标将被拒绝并将视情况依法追究其责任。</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非单一产品采购项目，根据招标文件中载明的核心产品审查确定。多家投标人提供的产品品牌相同的，按前款规定处理。</w:t>
      </w:r>
    </w:p>
    <w:p>
      <w:pPr>
        <w:pStyle w:val="3"/>
        <w:spacing w:line="360" w:lineRule="auto"/>
        <w:ind w:left="0"/>
        <w:rPr>
          <w:rFonts w:asciiTheme="minorEastAsia" w:hAnsiTheme="minorEastAsia" w:eastAsiaTheme="minorEastAsia" w:cstheme="minorEastAsia"/>
          <w:color w:val="auto"/>
          <w:sz w:val="32"/>
          <w:highlight w:val="none"/>
        </w:rPr>
      </w:pPr>
      <w:bookmarkStart w:id="95" w:name="_Toc465269235"/>
      <w:r>
        <w:rPr>
          <w:rFonts w:hint="eastAsia" w:asciiTheme="minorEastAsia" w:hAnsiTheme="minorEastAsia" w:eastAsiaTheme="minorEastAsia" w:cstheme="minorEastAsia"/>
          <w:color w:val="auto"/>
          <w:sz w:val="32"/>
          <w:highlight w:val="none"/>
        </w:rPr>
        <w:t>二、招标文件</w:t>
      </w:r>
      <w:bookmarkEnd w:id="95"/>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96" w:name="_Toc465269236"/>
      <w:r>
        <w:rPr>
          <w:rFonts w:hint="eastAsia" w:asciiTheme="minorEastAsia" w:hAnsiTheme="minorEastAsia" w:eastAsiaTheme="minorEastAsia" w:cstheme="minorEastAsia"/>
          <w:b/>
          <w:color w:val="auto"/>
          <w:sz w:val="24"/>
          <w:szCs w:val="24"/>
          <w:highlight w:val="none"/>
        </w:rPr>
        <w:t>（一）招标文件构成</w:t>
      </w:r>
      <w:bookmarkEnd w:id="96"/>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1.招标文件以电子版或书面纸质文件的形式提供给各潜在投标人，电子版与纸质文件具有同等的法律效力，电子版与纸质版内容不一致时，以纸质版为准。招标文件包括以下内容：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第一篇 投标邀请书</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第二篇 采购需求</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第三篇 项目商务要求</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第四篇 资格审查及评标办法</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第五篇 投标人须知</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第六篇 合同文本</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第七篇 投标文件格式</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招标公告及修改文件（若有）也是招标文件的组成部分。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97" w:name="_Toc465269237"/>
      <w:r>
        <w:rPr>
          <w:rFonts w:hint="eastAsia" w:asciiTheme="minorEastAsia" w:hAnsiTheme="minorEastAsia" w:eastAsiaTheme="minorEastAsia" w:cstheme="minorEastAsia"/>
          <w:b/>
          <w:color w:val="auto"/>
          <w:sz w:val="24"/>
          <w:szCs w:val="24"/>
          <w:highlight w:val="none"/>
        </w:rPr>
        <w:t>（二）招标文件的澄清</w:t>
      </w:r>
      <w:bookmarkEnd w:id="97"/>
    </w:p>
    <w:p>
      <w:pPr>
        <w:widowControl/>
        <w:spacing w:line="360" w:lineRule="auto"/>
        <w:ind w:left="324" w:leftChars="135"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公告期限为招标公告发出之日起五个工作日，供应商对招标文件如有询问或质疑的，应在收到招标文件之日（获取招标文件期限内）或者招标文件公告期限届满之日起七个工作日内以书面形式向采购人或采购代理机构提出询问或质疑，并附相关证明材料。逾期恕不受理。</w:t>
      </w:r>
    </w:p>
    <w:p>
      <w:pPr>
        <w:snapToGrid w:val="0"/>
        <w:spacing w:line="420" w:lineRule="exact"/>
        <w:ind w:left="274" w:leftChars="114" w:firstLine="436" w:firstLineChars="18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2.采购组织机构或采购代理机构对收到的上述澄清要求，在投标截止日期15天前将以书面形式予以答复。如有需要，采购组织机构或采购代理机构可专门组织招标文件答疑会议。</w:t>
      </w:r>
    </w:p>
    <w:p>
      <w:pPr>
        <w:snapToGrid w:val="0"/>
        <w:spacing w:line="420" w:lineRule="exact"/>
        <w:ind w:firstLine="439" w:firstLineChars="183"/>
        <w:rPr>
          <w:rFonts w:asciiTheme="minorEastAsia" w:hAnsiTheme="minorEastAsia" w:eastAsiaTheme="minorEastAsia" w:cstheme="minorEastAsia"/>
          <w:color w:val="auto"/>
          <w:highlight w:val="none"/>
        </w:rPr>
      </w:pPr>
    </w:p>
    <w:p>
      <w:pPr>
        <w:pStyle w:val="31"/>
        <w:snapToGrid w:val="0"/>
        <w:spacing w:line="420" w:lineRule="exact"/>
        <w:ind w:firstLine="482"/>
        <w:jc w:val="left"/>
        <w:rPr>
          <w:rFonts w:asciiTheme="minorEastAsia" w:hAnsiTheme="minorEastAsia" w:eastAsiaTheme="minorEastAsia" w:cstheme="minorEastAsia"/>
          <w:b/>
          <w:color w:val="auto"/>
          <w:sz w:val="24"/>
          <w:szCs w:val="24"/>
          <w:highlight w:val="none"/>
        </w:rPr>
      </w:pPr>
      <w:bookmarkStart w:id="98" w:name="_Toc465269238"/>
      <w:r>
        <w:rPr>
          <w:rFonts w:hint="eastAsia" w:asciiTheme="minorEastAsia" w:hAnsiTheme="minorEastAsia" w:eastAsiaTheme="minorEastAsia" w:cstheme="minorEastAsia"/>
          <w:b/>
          <w:color w:val="auto"/>
          <w:sz w:val="24"/>
          <w:szCs w:val="24"/>
          <w:highlight w:val="none"/>
        </w:rPr>
        <w:t>（三）招标文件的修改</w:t>
      </w:r>
      <w:bookmarkEnd w:id="98"/>
    </w:p>
    <w:p>
      <w:pPr>
        <w:pStyle w:val="31"/>
        <w:snapToGrid w:val="0"/>
        <w:spacing w:line="420" w:lineRule="exact"/>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在投标截止期前，</w:t>
      </w:r>
      <w:r>
        <w:rPr>
          <w:rFonts w:hint="eastAsia" w:asciiTheme="minorEastAsia" w:hAnsiTheme="minorEastAsia" w:eastAsiaTheme="minorEastAsia" w:cstheme="minorEastAsia"/>
          <w:color w:val="auto"/>
          <w:kern w:val="0"/>
          <w:sz w:val="24"/>
          <w:szCs w:val="24"/>
          <w:highlight w:val="none"/>
        </w:rPr>
        <w:t>采购组织机构或采购代理机构</w:t>
      </w:r>
      <w:r>
        <w:rPr>
          <w:rFonts w:hint="eastAsia" w:asciiTheme="minorEastAsia" w:hAnsiTheme="minorEastAsia" w:eastAsiaTheme="minorEastAsia" w:cstheme="minorEastAsia"/>
          <w:color w:val="auto"/>
          <w:sz w:val="24"/>
          <w:szCs w:val="24"/>
          <w:highlight w:val="none"/>
        </w:rPr>
        <w:t>可主动或在解答投标人提出的询问或质疑时对招标文件进行修改。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2.对招标文件的修改将在中国政府采购网（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heme="minorEastAsia" w:hAnsiTheme="minorEastAsia" w:eastAsiaTheme="minorEastAsia" w:cstheme="minorEastAsia"/>
          <w:color w:val="auto"/>
          <w:highlight w:val="none"/>
        </w:rPr>
        <w:t>http://www.ccgp.gov.cn</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和西南大学采购与招投标管理中心网页（http://caigou.swu.edu.cn/sfw_cms/e?page=cms.index）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pPr>
        <w:widowControl/>
        <w:spacing w:line="360" w:lineRule="auto"/>
        <w:ind w:firstLine="482" w:firstLineChars="200"/>
        <w:rPr>
          <w:rFonts w:asciiTheme="minorEastAsia" w:hAnsiTheme="minorEastAsia" w:eastAsiaTheme="minorEastAsia" w:cstheme="minorEastAsia"/>
          <w:b/>
          <w:color w:val="auto"/>
          <w:highlight w:val="none"/>
        </w:rPr>
      </w:pPr>
      <w:bookmarkStart w:id="99" w:name="_Toc465269239"/>
      <w:r>
        <w:rPr>
          <w:rFonts w:hint="eastAsia" w:asciiTheme="minorEastAsia" w:hAnsiTheme="minorEastAsia" w:eastAsiaTheme="minorEastAsia" w:cstheme="minorEastAsia"/>
          <w:b/>
          <w:color w:val="auto"/>
          <w:highlight w:val="none"/>
        </w:rPr>
        <w:t>（四）招标语言及计量单位</w:t>
      </w:r>
      <w:bookmarkEnd w:id="99"/>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1.采购人发出的招标文件采用中文。</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2.招标文件中使用的计量单位采用中华人民共和国法定计量单位 (特别说明的除外)。</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3.招标文件中使用的日期、时间均为北京时区的日期、时间。</w:t>
      </w:r>
    </w:p>
    <w:p>
      <w:pPr>
        <w:pStyle w:val="3"/>
        <w:spacing w:line="360" w:lineRule="auto"/>
        <w:ind w:left="0"/>
        <w:rPr>
          <w:rFonts w:asciiTheme="minorEastAsia" w:hAnsiTheme="minorEastAsia" w:eastAsiaTheme="minorEastAsia" w:cstheme="minorEastAsia"/>
          <w:color w:val="auto"/>
          <w:sz w:val="32"/>
          <w:highlight w:val="none"/>
        </w:rPr>
      </w:pPr>
      <w:bookmarkStart w:id="100" w:name="_Toc465269240"/>
      <w:r>
        <w:rPr>
          <w:rFonts w:hint="eastAsia" w:asciiTheme="minorEastAsia" w:hAnsiTheme="minorEastAsia" w:eastAsiaTheme="minorEastAsia" w:cstheme="minorEastAsia"/>
          <w:color w:val="auto"/>
          <w:sz w:val="32"/>
          <w:highlight w:val="none"/>
        </w:rPr>
        <w:t>三、投标文件的编制</w:t>
      </w:r>
      <w:bookmarkEnd w:id="100"/>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1" w:name="_Toc465269241"/>
      <w:r>
        <w:rPr>
          <w:rFonts w:hint="eastAsia" w:asciiTheme="minorEastAsia" w:hAnsiTheme="minorEastAsia" w:eastAsiaTheme="minorEastAsia" w:cstheme="minorEastAsia"/>
          <w:b/>
          <w:color w:val="auto"/>
          <w:sz w:val="24"/>
          <w:szCs w:val="24"/>
          <w:highlight w:val="none"/>
        </w:rPr>
        <w:t>（一）投标语言及计量</w:t>
      </w:r>
      <w:bookmarkEnd w:id="101"/>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pPr>
        <w:widowControl/>
        <w:spacing w:line="360" w:lineRule="auto"/>
        <w:ind w:firstLine="5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 投标文件及所有投标人与西南大学采购与招投标管理中心往来文件中的计量单位应采用中华人民共和国法定计量单位(招标文件中有特别说明的除外)。</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3.投标文件及所有投标人与西南大学采购与招投标管理中心往来文件中使用的日期、时间采用北京时区的日期、时间。</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2" w:name="_Toc465269242"/>
      <w:r>
        <w:rPr>
          <w:rFonts w:hint="eastAsia" w:asciiTheme="minorEastAsia" w:hAnsiTheme="minorEastAsia" w:eastAsiaTheme="minorEastAsia" w:cstheme="minorEastAsia"/>
          <w:b/>
          <w:color w:val="auto"/>
          <w:sz w:val="24"/>
          <w:szCs w:val="24"/>
          <w:highlight w:val="none"/>
        </w:rPr>
        <w:t>（二）投标文件的构成</w:t>
      </w:r>
      <w:bookmarkEnd w:id="102"/>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投标人应完整地按招标文件提供的投标文件格式编写投标文件，投标文件由资格文件和技术、经济、商务文件组成，第四篇资格审查表所涉及到的文件均为资格文件，技术、经济、商务文件由技术部分、商务部分和经济部分组成。如投标人代表不是法定代表人，须提供《法定代表人授权书》。</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 商务部分</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2.1以招标文件第七部分投标文件格式所列出的对应书面应答文件作为内容。</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针对招标文件第三部分项目商务要求的专用条款作出正面承诺和响应。</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2.3针对招标文件第六部分的合同或协议条款作出响应。</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 技术部分</w:t>
      </w:r>
    </w:p>
    <w:p>
      <w:pPr>
        <w:widowControl/>
        <w:spacing w:line="360" w:lineRule="auto"/>
        <w:ind w:firstLine="720" w:firstLineChars="3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 对招标文件第二部分采购需求的书面应答，包括但不限于技术描述、技术规范、技术参数、技术文件、图纸、安装介绍、工期安排和售后服务等；</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 证明货物和服务与招标文件的要求相一致的文件，它可以是文字资料、图纸和数据，包括：</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 货物主要技术指标和性能的详细说明；</w:t>
      </w:r>
    </w:p>
    <w:p>
      <w:pPr>
        <w:widowControl/>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3.2.2招标文件第二部分采购需求中规定的备品备件和专用工具清单，包括货源、现行价格及详细说明。</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3.2.3对招标文件第二部分采购需求，逐条说明所提供货物和服务是否已做出了实质性的响应，或说明与技术规格条文的偏差和例外。</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3.3招标文件要求或投标人认为必要的其它内容（如：相关优势等）。</w:t>
      </w:r>
    </w:p>
    <w:p>
      <w:pPr>
        <w:widowControl/>
        <w:spacing w:line="360" w:lineRule="auto"/>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4.投标文件应对上述内容标示具体位置的确切目录及索引。</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3" w:name="_Toc465269243"/>
      <w:r>
        <w:rPr>
          <w:rFonts w:hint="eastAsia" w:asciiTheme="minorEastAsia" w:hAnsiTheme="minorEastAsia" w:eastAsiaTheme="minorEastAsia" w:cstheme="minorEastAsia"/>
          <w:b/>
          <w:color w:val="auto"/>
          <w:sz w:val="24"/>
          <w:szCs w:val="24"/>
          <w:highlight w:val="none"/>
        </w:rPr>
        <w:t>（三）投标报价</w:t>
      </w:r>
      <w:bookmarkEnd w:id="103"/>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1.投标人应在投标分项报价表上标明本合同拟提供的货物的单价（如适用）、每个单项的小计、整个投标的总价以及合同项下的货物以及服务的来源地。本项目合同类型为买卖合同,固定总价合同。</w:t>
      </w:r>
    </w:p>
    <w:p>
      <w:pPr>
        <w:widowControl/>
        <w:spacing w:line="360" w:lineRule="auto"/>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2.国产的货物及其有关服务的报价为DDP西南大学项目现场价（含装卸搬运费）。即货物送达西南大学并安装调试至指定位置所涉及的所有费用、税金以及售后服务费。 </w:t>
      </w:r>
    </w:p>
    <w:p>
      <w:pPr>
        <w:spacing w:line="520" w:lineRule="exact"/>
        <w:ind w:left="550" w:leftChars="22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3.从中华人民共和国关境外提供货物及服务的报价为CIP 西南大学或DAP西南大学</w:t>
      </w:r>
    </w:p>
    <w:p>
      <w:pP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价，包括货物从进口口岸运至最终目的地的内陆运输费、保险费等；</w:t>
      </w:r>
      <w:r>
        <w:rPr>
          <w:rFonts w:hint="eastAsia" w:asciiTheme="minorEastAsia" w:hAnsiTheme="minorEastAsia" w:eastAsiaTheme="minorEastAsia" w:cstheme="minorEastAsia"/>
          <w:b/>
          <w:bCs/>
          <w:color w:val="auto"/>
          <w:highlight w:val="none"/>
        </w:rPr>
        <w:t>不包括海关杂费、外贸代理费等进口清关费用</w:t>
      </w:r>
      <w:r>
        <w:rPr>
          <w:rFonts w:hint="eastAsia" w:asciiTheme="minorEastAsia" w:hAnsiTheme="minorEastAsia" w:eastAsiaTheme="minorEastAsia" w:cstheme="minorEastAsia"/>
          <w:color w:val="auto"/>
          <w:highlight w:val="none"/>
        </w:rPr>
        <w:t>，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pPr>
        <w:spacing w:line="5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pPr>
        <w:spacing w:line="4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color w:val="auto"/>
          <w:highlight w:val="none"/>
        </w:rPr>
        <w:t xml:space="preserve"> 特别说明</w:t>
      </w:r>
      <w:r>
        <w:rPr>
          <w:rFonts w:hint="eastAsia" w:asciiTheme="minorEastAsia" w:hAnsiTheme="minorEastAsia" w:eastAsiaTheme="minorEastAsia" w:cstheme="minorEastAsia"/>
          <w:color w:val="auto"/>
          <w:highlight w:val="none"/>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pPr>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因投标人自身原因误填、错填是否免税项而选择了是否含税的报价而产生的风险由投标人承担。</w:t>
      </w:r>
      <w:r>
        <w:rPr>
          <w:rFonts w:hint="eastAsia" w:asciiTheme="minorEastAsia" w:hAnsiTheme="minorEastAsia" w:eastAsiaTheme="minorEastAsia" w:cstheme="minorEastAsia"/>
          <w:b/>
          <w:color w:val="auto"/>
          <w:highlight w:val="none"/>
        </w:rPr>
        <w:t>非免税产品填写“免税”的，所产生的税费也应由中标人承担。可以免税的产品填写“不免税”的，将从货款里扣除进口环节税金后再将余额支付给供方。</w:t>
      </w:r>
    </w:p>
    <w:p>
      <w:pPr>
        <w:spacing w:line="5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b/>
          <w:color w:val="auto"/>
          <w:highlight w:val="none"/>
        </w:rPr>
        <w:t>特别条款</w:t>
      </w:r>
      <w:r>
        <w:rPr>
          <w:rFonts w:hint="eastAsia" w:asciiTheme="minorEastAsia" w:hAnsiTheme="minorEastAsia" w:eastAsiaTheme="minorEastAsia" w:cstheme="minorEastAsia"/>
          <w:color w:val="auto"/>
          <w:highlight w:val="none"/>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pPr>
        <w:spacing w:line="5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6.在中国境内为需方提供的安调、培训服务，根据中国相关税法的规定，如有需要供方承担的税费，包括但不限于增值税，企业及个人所得税，均应由供方承担，需方依法代扣代缴。</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7.售后服务费、培训费用及检测验收费、必不可少的部件、附件、标准备件、专用工具、踏勘费、及伴随货物交运的有关费用等均须包含在投标报价中，不单独列项报价。</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8.标价应包含所有应向所有权人支付的专利权、商标权或其它知识产权等的费用及税金。</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9.标报价为一口价，投标人对每种货物只允许有一个报价，采购人不接受有任何选择的报价，同时不接受有条件的优惠报价。</w:t>
      </w:r>
      <w:r>
        <w:rPr>
          <w:rFonts w:hint="eastAsia" w:asciiTheme="minorEastAsia" w:hAnsiTheme="minorEastAsia" w:eastAsiaTheme="minorEastAsia" w:cstheme="minorEastAsia"/>
          <w:b/>
          <w:color w:val="auto"/>
          <w:highlight w:val="none"/>
        </w:rPr>
        <w:t>投标人在某一合同包内有任何选择报价的，将视为无效投标</w:t>
      </w:r>
      <w:r>
        <w:rPr>
          <w:rFonts w:hint="eastAsia" w:asciiTheme="minorEastAsia" w:hAnsiTheme="minorEastAsia" w:eastAsiaTheme="minorEastAsia" w:cstheme="minorEastAsia"/>
          <w:color w:val="auto"/>
          <w:highlight w:val="none"/>
        </w:rPr>
        <w:t>(招标文件有特别说明的除外)。</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10.必须按招标文件中“采购需求”里的采购方案报价，不得有缺漏项，否则视为非实质响应投标而被拒绝。</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11.货物中如包含国内提供的货物，供应商应对境外供货部分和国内供货部分分别报价，并分别签订进口货物购销协议和国内采购合同。</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12.报价中包含招标文件要求以外的内容，在评标时不予核减。</w:t>
      </w:r>
    </w:p>
    <w:p>
      <w:pPr>
        <w:widowControl/>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13.标人所报的投标价在合同执行期间是固定不变的，不得以任何理由予以变更。以可调整的价格提交的投标文件将作为非响应性投标而予以拒绝。</w:t>
      </w:r>
    </w:p>
    <w:p>
      <w:pPr>
        <w:pStyle w:val="31"/>
        <w:snapToGrid w:val="0"/>
        <w:spacing w:line="460" w:lineRule="exact"/>
        <w:ind w:firstLine="482"/>
        <w:jc w:val="left"/>
        <w:rPr>
          <w:rFonts w:asciiTheme="minorEastAsia" w:hAnsiTheme="minorEastAsia" w:eastAsiaTheme="minorEastAsia" w:cstheme="minorEastAsia"/>
          <w:b/>
          <w:color w:val="auto"/>
          <w:sz w:val="24"/>
          <w:szCs w:val="24"/>
          <w:highlight w:val="none"/>
        </w:rPr>
      </w:pPr>
      <w:bookmarkStart w:id="104" w:name="_Toc465269244"/>
      <w:r>
        <w:rPr>
          <w:rFonts w:hint="eastAsia" w:asciiTheme="minorEastAsia" w:hAnsiTheme="minorEastAsia" w:eastAsiaTheme="minorEastAsia" w:cstheme="minorEastAsia"/>
          <w:b/>
          <w:color w:val="auto"/>
          <w:sz w:val="24"/>
          <w:szCs w:val="24"/>
          <w:highlight w:val="none"/>
        </w:rPr>
        <w:t>（四）投标货币</w:t>
      </w:r>
      <w:bookmarkEnd w:id="104"/>
    </w:p>
    <w:p>
      <w:pPr>
        <w:widowControl/>
        <w:spacing w:line="460" w:lineRule="exact"/>
        <w:ind w:firstLine="5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1.投标人从中华人民共和国关境内提供的货物和服务须用人民币报价；</w:t>
      </w:r>
    </w:p>
    <w:p>
      <w:pPr>
        <w:widowControl/>
        <w:spacing w:line="360" w:lineRule="auto"/>
        <w:ind w:firstLine="5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2.投标人从中华人民共和国关境外提供的货物和服务可报人民币或外币（以美元或国际主要流通货币报价）。</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5" w:name="_Toc465269245"/>
      <w:r>
        <w:rPr>
          <w:rFonts w:hint="eastAsia" w:asciiTheme="minorEastAsia" w:hAnsiTheme="minorEastAsia" w:eastAsiaTheme="minorEastAsia" w:cstheme="minorEastAsia"/>
          <w:b/>
          <w:color w:val="auto"/>
          <w:sz w:val="24"/>
          <w:szCs w:val="24"/>
          <w:highlight w:val="none"/>
        </w:rPr>
        <w:t>（五）证明投标人有资格履行合同的文件</w:t>
      </w:r>
      <w:bookmarkEnd w:id="105"/>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1.投标人应按规定提交证明其有资格参加投标和中标后有能力履行合同的文件，并作为其投标文件的组成部分。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2.投标人提交的在中标后有资格履行合同的证明文件应满足招标文件规定。</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 投标人已具备履行合同所需的财务、技术、生产和供货能力，包括为了履行服务进行人员配置的能力。</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营业执照、税务登记证、组织机构代码证和国家管理部门签发的销售许可（若必须）复印件加盖公章。</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2.3有关授权代理人的资料和制造商的授权书（若投标人为进口设备代理商）等。</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6" w:name="_Toc465269246"/>
      <w:r>
        <w:rPr>
          <w:rFonts w:hint="eastAsia" w:asciiTheme="minorEastAsia" w:hAnsiTheme="minorEastAsia" w:eastAsiaTheme="minorEastAsia" w:cstheme="minorEastAsia"/>
          <w:b/>
          <w:color w:val="auto"/>
          <w:sz w:val="24"/>
          <w:szCs w:val="24"/>
          <w:highlight w:val="none"/>
        </w:rPr>
        <w:t>（六）证明货物的合格性和符合招标文件规定的文件</w:t>
      </w:r>
      <w:bookmarkEnd w:id="106"/>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1.投标人应提交证明其拟提供的货物及相关服务符合招标文件规定的文件，包括</w:t>
      </w:r>
      <w:r>
        <w:rPr>
          <w:rFonts w:hint="eastAsia" w:asciiTheme="minorEastAsia" w:hAnsiTheme="minorEastAsia" w:eastAsiaTheme="minorEastAsia" w:cstheme="minorEastAsia"/>
          <w:color w:val="auto"/>
          <w:spacing w:val="-4"/>
          <w:highlight w:val="none"/>
        </w:rPr>
        <w:t>投标报价表中所列</w:t>
      </w:r>
      <w:r>
        <w:rPr>
          <w:rFonts w:hint="eastAsia" w:asciiTheme="minorEastAsia" w:hAnsiTheme="minorEastAsia" w:eastAsiaTheme="minorEastAsia" w:cstheme="minorEastAsia"/>
          <w:color w:val="auto"/>
          <w:highlight w:val="none"/>
        </w:rPr>
        <w:t>对货物原产地的说明，作为其投标文件的一部分。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2.证明货物及相关服务与招标文件的要求相一致的文件，可以是文字资料、图纸、数据和实物，包括如下：</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 货物的型号、规格；</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货物在商务要求规定的保质期内正常、连续地使用货物所必需的备品备件、专用工具的清单，包括其货源及现行价格；</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 对照招标文件要求的技术规格，投标人逐条说明所提供的货物及相关服务已对招标文件中的技术规格作出了实质性的响应；或申明与技术规格条文的偏差和例外。</w:t>
      </w:r>
    </w:p>
    <w:p>
      <w:pPr>
        <w:widowControl/>
        <w:spacing w:line="360" w:lineRule="auto"/>
        <w:ind w:firstLine="48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3.</w:t>
      </w:r>
      <w:r>
        <w:rPr>
          <w:rFonts w:hint="eastAsia" w:asciiTheme="minorEastAsia" w:hAnsiTheme="minorEastAsia" w:eastAsiaTheme="minorEastAsia" w:cstheme="minorEastAsia"/>
          <w:b/>
          <w:color w:val="auto"/>
          <w:highlight w:val="none"/>
        </w:rPr>
        <w:t>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pPr>
        <w:widowControl/>
        <w:spacing w:line="360" w:lineRule="auto"/>
        <w:ind w:firstLine="31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6.中标人须保证至货到用户指定安装地点时止，进口货物制造出厂日期不大于十二个月，国内货物制造出厂日期不大于六个月。任何超出此期限要求的，投标时须在《投标分项报价表》的备注中予以特别声明。制造出厂日期</w:t>
      </w:r>
      <w:r>
        <w:rPr>
          <w:rFonts w:hint="eastAsia" w:asciiTheme="minorEastAsia" w:hAnsiTheme="minorEastAsia" w:eastAsiaTheme="minorEastAsia" w:cstheme="minorEastAsia"/>
          <w:b/>
          <w:color w:val="auto"/>
          <w:highlight w:val="none"/>
        </w:rPr>
        <w:t>超出规定要求而未声明的</w:t>
      </w:r>
      <w:r>
        <w:rPr>
          <w:rFonts w:hint="eastAsia" w:asciiTheme="minorEastAsia" w:hAnsiTheme="minorEastAsia" w:eastAsiaTheme="minorEastAsia" w:cstheme="minorEastAsia"/>
          <w:color w:val="auto"/>
          <w:highlight w:val="none"/>
        </w:rPr>
        <w:t>，采购人有权酌情处理，包括但不限于视中标人为虚假响应、中止合同或扣付中标价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7" w:name="_Toc465269247"/>
      <w:r>
        <w:rPr>
          <w:rFonts w:hint="eastAsia" w:asciiTheme="minorEastAsia" w:hAnsiTheme="minorEastAsia" w:eastAsiaTheme="minorEastAsia" w:cstheme="minorEastAsia"/>
          <w:b/>
          <w:color w:val="auto"/>
          <w:sz w:val="24"/>
          <w:szCs w:val="24"/>
          <w:highlight w:val="none"/>
        </w:rPr>
        <w:t>（七）知识产权和专利权</w:t>
      </w:r>
      <w:bookmarkEnd w:id="107"/>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08" w:name="_Toc465269248"/>
      <w:r>
        <w:rPr>
          <w:rFonts w:hint="eastAsia" w:asciiTheme="minorEastAsia" w:hAnsiTheme="minorEastAsia" w:eastAsiaTheme="minorEastAsia" w:cstheme="minorEastAsia"/>
          <w:b/>
          <w:color w:val="auto"/>
          <w:sz w:val="24"/>
          <w:szCs w:val="24"/>
          <w:highlight w:val="none"/>
        </w:rPr>
        <w:t>（八）保密</w:t>
      </w:r>
      <w:bookmarkEnd w:id="108"/>
    </w:p>
    <w:p>
      <w:pPr>
        <w:widowControl/>
        <w:spacing w:line="360" w:lineRule="auto"/>
        <w:ind w:firstLine="552" w:firstLineChars="23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如采购人向投标人提供图纸、详细资料、样品、模型、模件和所有其他资料，这些均被视为保密资料，仅被用于它所规定的用途，除非得到采购人的同意，投标人不能向任何第三方透露。</w:t>
      </w:r>
      <w:bookmarkStart w:id="109" w:name="_Toc465269249"/>
    </w:p>
    <w:bookmarkEnd w:id="109"/>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10" w:name="_Toc465269250"/>
      <w:r>
        <w:rPr>
          <w:rFonts w:hint="eastAsia" w:asciiTheme="minorEastAsia" w:hAnsiTheme="minorEastAsia" w:eastAsiaTheme="minorEastAsia" w:cstheme="minorEastAsia"/>
          <w:b/>
          <w:color w:val="auto"/>
          <w:sz w:val="24"/>
          <w:szCs w:val="24"/>
          <w:highlight w:val="none"/>
        </w:rPr>
        <w:t>（九）投标有效期</w:t>
      </w:r>
      <w:bookmarkEnd w:id="110"/>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1.投标文件应在招标邀请书规定的投标截止日后的90个日历日内保持有效。投标有效期短于这个规定期限的，将视为非实质性响应而被拒绝。</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bookmarkStart w:id="111" w:name="_Toc465269251"/>
      <w:r>
        <w:rPr>
          <w:rFonts w:hint="eastAsia" w:asciiTheme="minorEastAsia" w:hAnsiTheme="minorEastAsia" w:eastAsiaTheme="minorEastAsia" w:cstheme="minorEastAsia"/>
          <w:b/>
          <w:color w:val="auto"/>
          <w:sz w:val="24"/>
          <w:szCs w:val="24"/>
          <w:highlight w:val="none"/>
        </w:rPr>
        <w:t>（十）不允许偏离的条款</w:t>
      </w:r>
      <w:bookmarkEnd w:id="111"/>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1.招标文件中的重要条款不允许偏离，如投标文件中对重要条款有负偏离，则是投标人的风险。不允许负偏离的条款如下。</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1.1第三篇和第六篇商务条款中带“*”号的条款；</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1.2资格文件不允许偏离；</w:t>
      </w:r>
    </w:p>
    <w:p>
      <w:pPr>
        <w:widowControl/>
        <w:spacing w:line="360" w:lineRule="auto"/>
        <w:ind w:firstLine="48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1.3招标文件第二部分“采购需求”中带“*”号的内容；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1.4招标文件规定的其它不允许负偏离的内容。</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2.下述条款不应视作不可偏离：</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2.1招标文件中除资格文件，招标文件明确为无效标（或废标、否决投标）情形外的条款；</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《采购需求》中已明确的投标人可提供其他优选方案部分；</w:t>
      </w:r>
    </w:p>
    <w:p>
      <w:pPr>
        <w:widowControl/>
        <w:spacing w:line="360" w:lineRule="auto"/>
        <w:ind w:firstLine="48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2.3投标文件中技术参数、功能或其他内容优于“采购需求”不视作负偏离，不构成无效标，投标人对这种优于的情况必须单独说明。</w:t>
      </w:r>
    </w:p>
    <w:p>
      <w:pPr>
        <w:widowControl/>
        <w:spacing w:line="360" w:lineRule="auto"/>
        <w:ind w:firstLine="480" w:firstLineChars="200"/>
        <w:rPr>
          <w:rFonts w:asciiTheme="minorEastAsia" w:hAnsiTheme="minorEastAsia" w:eastAsiaTheme="minorEastAsia" w:cstheme="minorEastAsia"/>
          <w:color w:val="auto"/>
          <w:highlight w:val="none"/>
        </w:rPr>
      </w:pPr>
      <w:bookmarkStart w:id="112" w:name="_Toc465269253"/>
      <w:r>
        <w:rPr>
          <w:rFonts w:hint="eastAsia" w:asciiTheme="minorEastAsia" w:hAnsiTheme="minorEastAsia" w:eastAsiaTheme="minorEastAsia" w:cstheme="minorEastAsia"/>
          <w:color w:val="auto"/>
          <w:highlight w:val="none"/>
        </w:rPr>
        <w:t>（十二）投标文件的份数、式样和签署</w:t>
      </w:r>
      <w:bookmarkEnd w:id="112"/>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投标文件份数要求如下：</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若有分包，同时参与多个分包的投标人，每个分包的投标文件必须单独制作。</w:t>
      </w:r>
    </w:p>
    <w:p>
      <w:pPr>
        <w:widowControl/>
        <w:spacing w:line="360" w:lineRule="auto"/>
        <w:ind w:firstLine="48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（1）资格文件：纸质文档一式五份，其中正本一份，副本四份；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（2）经济、商务、技术文件：纸质文档一式五份，其中正本一份，副本四份；</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每套纸质投标文件须在封面清楚地标明“正本”或“副本”，副本应为正本的完整复印件，副本与正本不一致时以正本为准。</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2．投标文件的“正本”和“副本”最好都加盖骑缝章，招标文件第七部分投标文件格式中规定签字、盖章的地方必须按其规定签字、盖章。</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highlight w:val="none"/>
        </w:rPr>
        <w:t>3．若投标人对投标文件的错处作必要修改，则应在修改处加盖投</w:t>
      </w:r>
      <w:r>
        <w:rPr>
          <w:rFonts w:hint="eastAsia" w:asciiTheme="minorEastAsia" w:hAnsiTheme="minorEastAsia" w:eastAsiaTheme="minorEastAsia" w:cstheme="minorEastAsia"/>
          <w:color w:val="auto"/>
          <w:kern w:val="2"/>
          <w:highlight w:val="none"/>
        </w:rPr>
        <w:t>标人公章或由法定代表人（单位负责人）或法人授权代表签字确认。</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 xml:space="preserve">4.投标人应按照 A4 纸规格准备投标文件，每页应带页码。 </w:t>
      </w:r>
    </w:p>
    <w:p>
      <w:pPr>
        <w:snapToGrid w:val="0"/>
        <w:spacing w:line="420" w:lineRule="exact"/>
        <w:ind w:firstLine="470" w:firstLineChars="196"/>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pPr>
        <w:widowControl/>
        <w:spacing w:line="420" w:lineRule="exact"/>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6.任何行间插字、涂改和增删，必须由投标文件签字人用姓或首字母在旁边签字才有效。</w:t>
      </w:r>
    </w:p>
    <w:p>
      <w:pPr>
        <w:snapToGrid w:val="0"/>
        <w:spacing w:line="420" w:lineRule="exact"/>
        <w:ind w:firstLine="470" w:firstLineChars="196"/>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7.电报、电话、传真、邮寄形式的投标文件概不接受。</w:t>
      </w:r>
    </w:p>
    <w:p>
      <w:pPr>
        <w:widowControl/>
        <w:spacing w:line="360" w:lineRule="auto"/>
        <w:rPr>
          <w:rFonts w:asciiTheme="minorEastAsia" w:hAnsiTheme="minorEastAsia" w:eastAsiaTheme="minorEastAsia" w:cstheme="minorEastAsia"/>
          <w:color w:val="auto"/>
          <w:kern w:val="2"/>
          <w:highlight w:val="none"/>
        </w:rPr>
      </w:pPr>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bookmarkStart w:id="113" w:name="_Toc465269254"/>
      <w:r>
        <w:rPr>
          <w:rFonts w:hint="eastAsia" w:asciiTheme="minorEastAsia" w:hAnsiTheme="minorEastAsia" w:eastAsiaTheme="minorEastAsia" w:cstheme="minorEastAsia"/>
          <w:color w:val="auto"/>
          <w:sz w:val="24"/>
          <w:szCs w:val="24"/>
          <w:highlight w:val="none"/>
        </w:rPr>
        <w:t>（十三）投标文件的装订、密封和标记</w:t>
      </w:r>
      <w:bookmarkEnd w:id="113"/>
    </w:p>
    <w:p>
      <w:pPr>
        <w:pStyle w:val="31"/>
        <w:snapToGrid w:val="0"/>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1.装订</w:t>
      </w:r>
    </w:p>
    <w:p>
      <w:pPr>
        <w:widowControl/>
        <w:spacing w:line="360" w:lineRule="auto"/>
        <w:ind w:firstLine="480" w:firstLineChars="200"/>
        <w:rPr>
          <w:rFonts w:asciiTheme="minorEastAsia" w:hAnsiTheme="minorEastAsia" w:eastAsiaTheme="minorEastAsia" w:cstheme="minorEastAsia"/>
          <w:color w:val="auto"/>
          <w:kern w:val="2"/>
          <w:highlight w:val="none"/>
        </w:rPr>
      </w:pPr>
      <w:bookmarkStart w:id="114" w:name="_Toc465269255"/>
      <w:r>
        <w:rPr>
          <w:rFonts w:hint="eastAsia" w:asciiTheme="minorEastAsia" w:hAnsiTheme="minorEastAsia" w:eastAsiaTheme="minorEastAsia" w:cstheme="minorEastAsia"/>
          <w:color w:val="auto"/>
          <w:kern w:val="2"/>
          <w:highlight w:val="none"/>
        </w:rPr>
        <w:t>（1）投标文件正、副本均最好用线装加胶装分别装订成册。资格文件需单独装订。</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（2）“资格文件”应按照第七章规定格式装订成册，并应编制目录。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（3）“经济、商务、技术文件应按照第七章规定格式装订成册，并应编制目录。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2.投标文件正本和所有的副本均应密封装箱或装袋，且在正、副本的封面标明“正本”“副本”字样。</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3.投标文件应包括开标一览表。为方便开标时唱标，最好将“开标一览表”单独密封，并在封袋上标明“开标一览表”字样，在投标时单独递交。</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4.所有封袋均请标明：</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项目编号：</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项目名称：</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投标人：（投标人全称并加盖公章）</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5.密封好的投标文件需在封口处加盖投标人公章或由法定代表人或授权代表签名后送达规定的地点。</w:t>
      </w:r>
    </w:p>
    <w:p>
      <w:pPr>
        <w:widowControl/>
        <w:spacing w:line="360" w:lineRule="auto"/>
        <w:ind w:firstLine="480" w:firstLineChars="200"/>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6.未按要求密封的投标文件，西南大学采购与招投标管理中心/采购代理机构将拒绝接收。</w:t>
      </w:r>
    </w:p>
    <w:p>
      <w:pPr>
        <w:widowControl/>
        <w:spacing w:line="360" w:lineRule="auto"/>
        <w:rPr>
          <w:rFonts w:asciiTheme="minorEastAsia" w:hAnsiTheme="minorEastAsia" w:eastAsiaTheme="minorEastAsia" w:cstheme="minorEastAsia"/>
          <w:color w:val="auto"/>
          <w:kern w:val="2"/>
          <w:highlight w:val="none"/>
        </w:rPr>
      </w:pPr>
    </w:p>
    <w:p>
      <w:pPr>
        <w:pStyle w:val="31"/>
        <w:snapToGrid w:val="0"/>
        <w:spacing w:line="360" w:lineRule="auto"/>
        <w:ind w:firstLine="482"/>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（十四）投标文件的递交</w:t>
      </w:r>
      <w:bookmarkEnd w:id="114"/>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1.投标文件送达</w:t>
      </w:r>
    </w:p>
    <w:p>
      <w:pPr>
        <w:widowControl/>
        <w:tabs>
          <w:tab w:val="left" w:pos="1418"/>
        </w:tabs>
        <w:spacing w:line="360" w:lineRule="auto"/>
        <w:ind w:firstLine="424" w:firstLineChars="1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1.1</w:t>
      </w:r>
      <w:r>
        <w:rPr>
          <w:rFonts w:hint="eastAsia" w:asciiTheme="minorEastAsia" w:hAnsiTheme="minorEastAsia" w:eastAsiaTheme="minorEastAsia" w:cstheme="minorEastAsia"/>
          <w:color w:val="auto"/>
          <w:highlight w:val="none"/>
        </w:rPr>
        <w:t>各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w:t>
      </w:r>
      <w:r>
        <w:rPr>
          <w:rFonts w:hint="eastAsia" w:asciiTheme="minorEastAsia" w:hAnsiTheme="minorEastAsia" w:eastAsiaTheme="minorEastAsia" w:cstheme="minorEastAsia"/>
          <w:color w:val="auto"/>
          <w:spacing w:val="-2"/>
          <w:highlight w:val="none"/>
        </w:rPr>
        <w:t>未按规定要求或未在规定时限内提交书面异议的视为默认接受招标文件。逾期提交的</w:t>
      </w:r>
      <w:r>
        <w:rPr>
          <w:rFonts w:hint="eastAsia" w:asciiTheme="minorEastAsia" w:hAnsiTheme="minorEastAsia" w:eastAsiaTheme="minorEastAsia" w:cstheme="minorEastAsia"/>
          <w:color w:val="auto"/>
          <w:highlight w:val="none"/>
        </w:rPr>
        <w:t>询问或质疑</w:t>
      </w:r>
      <w:r>
        <w:rPr>
          <w:rFonts w:hint="eastAsia" w:asciiTheme="minorEastAsia" w:hAnsiTheme="minorEastAsia" w:eastAsiaTheme="minorEastAsia" w:cstheme="minorEastAsia"/>
          <w:color w:val="auto"/>
          <w:spacing w:val="-2"/>
          <w:highlight w:val="none"/>
        </w:rPr>
        <w:t>恕不受理，投标后亦不得以此提出异</w:t>
      </w:r>
      <w:r>
        <w:rPr>
          <w:rFonts w:hint="eastAsia" w:asciiTheme="minorEastAsia" w:hAnsiTheme="minorEastAsia" w:eastAsiaTheme="minorEastAsia" w:cstheme="minorEastAsia"/>
          <w:b/>
          <w:color w:val="auto"/>
          <w:spacing w:val="-2"/>
          <w:highlight w:val="none"/>
        </w:rPr>
        <w:t>议。</w:t>
      </w:r>
    </w:p>
    <w:p>
      <w:pPr>
        <w:widowControl/>
        <w:spacing w:line="360" w:lineRule="auto"/>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1.3投标人须将投标文件于投标截止时间前送达指定地点 。</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2.迟交的投标文件</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在规定的投标截止时间之后送达的投标文件，西南大学采购与招投标管理中心或采购代理机构将拒绝接收。</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3.投标文件的修改与撤回</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3.1投标人在递交投标文件后，可以修改或撤回其投标文件，但必须在规定的投标截止时间之前将书面修改或撤回的通知送达西南大学采购与招投标管理中心或采购代理机构。</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3.2在投标截止时间之后，投标人不得对其投标文件做任何修改，也不得撤回其投标。</w:t>
      </w:r>
    </w:p>
    <w:p>
      <w:pPr>
        <w:widowControl/>
        <w:spacing w:line="360" w:lineRule="auto"/>
        <w:ind w:firstLine="480" w:firstLineChars="200"/>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color w:val="auto"/>
          <w:sz w:val="32"/>
          <w:highlight w:val="none"/>
        </w:rPr>
      </w:pPr>
      <w:bookmarkStart w:id="115" w:name="_Toc465269256"/>
      <w:r>
        <w:rPr>
          <w:rFonts w:hint="eastAsia" w:asciiTheme="minorEastAsia" w:hAnsiTheme="minorEastAsia" w:eastAsiaTheme="minorEastAsia" w:cstheme="minorEastAsia"/>
          <w:color w:val="auto"/>
          <w:sz w:val="32"/>
          <w:highlight w:val="none"/>
        </w:rPr>
        <w:t>四、开标、评标与定标</w:t>
      </w:r>
      <w:bookmarkEnd w:id="115"/>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（一）开标</w:t>
      </w:r>
    </w:p>
    <w:p>
      <w:pPr>
        <w:pStyle w:val="10"/>
        <w:ind w:firstLine="840" w:firstLineChars="35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4"/>
          <w:szCs w:val="24"/>
          <w:highlight w:val="none"/>
        </w:rPr>
        <w:t>1.开标应当在招标文件“投标邀请书”确定的时间和地点公开进行。</w:t>
      </w:r>
    </w:p>
    <w:p>
      <w:pPr>
        <w:widowControl/>
        <w:spacing w:line="360" w:lineRule="auto"/>
        <w:ind w:left="324" w:leftChars="135"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2.开标由采购代理机构主持，邀请投标人代表参加。</w:t>
      </w:r>
    </w:p>
    <w:p>
      <w:pPr>
        <w:widowControl/>
        <w:spacing w:line="360" w:lineRule="auto"/>
        <w:ind w:left="324" w:leftChars="135" w:firstLine="472" w:firstLineChars="200"/>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pPr>
        <w:widowControl/>
        <w:spacing w:line="360" w:lineRule="auto"/>
        <w:ind w:left="322" w:leftChars="134" w:firstLine="556" w:firstLineChars="236"/>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4.开标过程应由采购代理机构单位指定专人负责记录，并存档备查。</w:t>
      </w:r>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（二）资格审查</w:t>
      </w:r>
    </w:p>
    <w:p>
      <w:pPr>
        <w:widowControl/>
        <w:spacing w:line="360" w:lineRule="auto"/>
        <w:ind w:firstLine="590" w:firstLineChars="2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pacing w:val="-2"/>
          <w:kern w:val="2"/>
          <w:highlight w:val="none"/>
        </w:rPr>
        <w:t>详见第四部分 资格审查及评标办法。</w:t>
      </w:r>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（三）评标</w:t>
      </w:r>
      <w:bookmarkStart w:id="116" w:name="_Toc497729854"/>
    </w:p>
    <w:p>
      <w:pPr>
        <w:widowControl/>
        <w:spacing w:line="360" w:lineRule="auto"/>
        <w:ind w:firstLine="590" w:firstLineChars="250"/>
        <w:rPr>
          <w:rFonts w:asciiTheme="minorEastAsia" w:hAnsiTheme="minorEastAsia" w:eastAsiaTheme="minorEastAsia" w:cstheme="minorEastAsia"/>
          <w:color w:val="auto"/>
          <w:spacing w:val="-2"/>
          <w:kern w:val="2"/>
          <w:highlight w:val="none"/>
        </w:rPr>
      </w:pPr>
      <w:r>
        <w:rPr>
          <w:rFonts w:hint="eastAsia" w:asciiTheme="minorEastAsia" w:hAnsiTheme="minorEastAsia" w:eastAsiaTheme="minorEastAsia" w:cstheme="minorEastAsia"/>
          <w:color w:val="auto"/>
          <w:spacing w:val="-2"/>
          <w:kern w:val="2"/>
          <w:highlight w:val="none"/>
        </w:rPr>
        <w:t>详见第四部分 资格审查及评标办法。</w:t>
      </w:r>
      <w:bookmarkEnd w:id="116"/>
    </w:p>
    <w:p>
      <w:pPr>
        <w:widowControl/>
        <w:spacing w:line="360" w:lineRule="auto"/>
        <w:ind w:firstLine="422" w:firstLineChars="15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（四）定标</w:t>
      </w:r>
    </w:p>
    <w:p>
      <w:pPr>
        <w:widowControl/>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1.中标人的确定 </w:t>
      </w:r>
    </w:p>
    <w:p>
      <w:pPr>
        <w:spacing w:line="360" w:lineRule="auto"/>
        <w:ind w:firstLine="47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highlight w:val="none"/>
        </w:rPr>
        <w:t>（1）</w:t>
      </w:r>
      <w:r>
        <w:rPr>
          <w:rFonts w:hint="eastAsia" w:asciiTheme="minorEastAsia" w:hAnsiTheme="minorEastAsia" w:eastAsiaTheme="minorEastAsia" w:cstheme="minorEastAsia"/>
          <w:color w:val="auto"/>
          <w:highlight w:val="none"/>
        </w:rPr>
        <w:t>采购人收到评审报告后5个工作日内，在评标报告确定的中标候选人名单中按顺序确定中标人，中标候选人并列的，由采购人自行确定中标人。</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（2）中标人确定后2个工作日内</w:t>
      </w:r>
      <w:r>
        <w:rPr>
          <w:rFonts w:hint="eastAsia" w:asciiTheme="minorEastAsia" w:hAnsiTheme="minorEastAsia" w:eastAsiaTheme="minorEastAsia" w:cstheme="minorEastAsia"/>
          <w:color w:val="auto"/>
          <w:spacing w:val="-6"/>
          <w:highlight w:val="none"/>
        </w:rPr>
        <w:t>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29"/>
          <w:rFonts w:hint="eastAsia" w:asciiTheme="minorEastAsia" w:hAnsiTheme="minorEastAsia" w:eastAsiaTheme="minorEastAsia" w:cstheme="minorEastAsia"/>
          <w:color w:val="auto"/>
          <w:spacing w:val="-6"/>
          <w:highlight w:val="none"/>
        </w:rPr>
        <w:t>http://www.ccgp.gov.cn/</w:t>
      </w:r>
      <w:r>
        <w:rPr>
          <w:rStyle w:val="29"/>
          <w:rFonts w:hint="eastAsia" w:asciiTheme="minorEastAsia" w:hAnsiTheme="minorEastAsia" w:eastAsiaTheme="minorEastAsia" w:cstheme="minorEastAsia"/>
          <w:color w:val="auto"/>
          <w:spacing w:val="-6"/>
          <w:highlight w:val="none"/>
        </w:rPr>
        <w:fldChar w:fldCharType="end"/>
      </w:r>
      <w:r>
        <w:rPr>
          <w:rFonts w:hint="eastAsia" w:asciiTheme="minorEastAsia" w:hAnsiTheme="minorEastAsia" w:eastAsiaTheme="minorEastAsia" w:cstheme="minorEastAsia"/>
          <w:color w:val="auto"/>
          <w:spacing w:val="-6"/>
          <w:highlight w:val="none"/>
        </w:rPr>
        <w:t xml:space="preserve">） </w:t>
      </w:r>
      <w:r>
        <w:rPr>
          <w:rFonts w:hint="eastAsia" w:asciiTheme="minorEastAsia" w:hAnsiTheme="minorEastAsia" w:eastAsiaTheme="minorEastAsia" w:cstheme="minorEastAsia"/>
          <w:color w:val="auto"/>
          <w:highlight w:val="none"/>
        </w:rPr>
        <w:t>和西南大学采购与招投标管理中心网页（</w:t>
      </w:r>
      <w:r>
        <w:rPr>
          <w:color w:val="auto"/>
          <w:highlight w:val="none"/>
        </w:rPr>
        <w:fldChar w:fldCharType="begin"/>
      </w:r>
      <w:r>
        <w:rPr>
          <w:color w:val="auto"/>
          <w:highlight w:val="none"/>
        </w:rPr>
        <w:instrText xml:space="preserve"> HYPERLINK "%20http://caigou.swu.edu.cn/sfw_cms/e?page=cms.index）公告中标结果。公告期为1" </w:instrText>
      </w:r>
      <w:r>
        <w:rPr>
          <w:color w:val="auto"/>
          <w:highlight w:val="none"/>
        </w:rPr>
        <w:fldChar w:fldCharType="separate"/>
      </w:r>
      <w:r>
        <w:rPr>
          <w:rStyle w:val="29"/>
          <w:rFonts w:hint="eastAsia" w:asciiTheme="minorEastAsia" w:hAnsiTheme="minorEastAsia" w:eastAsiaTheme="minorEastAsia" w:cstheme="minorEastAsia"/>
          <w:color w:val="auto"/>
          <w:highlight w:val="none"/>
        </w:rPr>
        <w:t>http://caigou.swu.edu.cn/sfw_cms/e?page=cms.index）</w:t>
      </w:r>
      <w:r>
        <w:rPr>
          <w:rStyle w:val="29"/>
          <w:rFonts w:hint="eastAsia" w:asciiTheme="minorEastAsia" w:hAnsiTheme="minorEastAsia" w:eastAsiaTheme="minorEastAsia" w:cstheme="minorEastAsia"/>
          <w:color w:val="auto"/>
          <w:highlight w:val="none"/>
          <w:u w:val="none"/>
        </w:rPr>
        <w:t>公告中标结果。公告期为1</w:t>
      </w:r>
      <w:r>
        <w:rPr>
          <w:rStyle w:val="29"/>
          <w:rFonts w:hint="eastAsia" w:asciiTheme="minorEastAsia" w:hAnsiTheme="minorEastAsia" w:eastAsiaTheme="minorEastAsia" w:cstheme="minorEastAsia"/>
          <w:color w:val="auto"/>
          <w:highlight w:val="none"/>
          <w:u w:val="none"/>
        </w:rPr>
        <w:fldChar w:fldCharType="end"/>
      </w:r>
      <w:r>
        <w:rPr>
          <w:rFonts w:hint="eastAsia" w:asciiTheme="minorEastAsia" w:hAnsiTheme="minorEastAsia" w:eastAsiaTheme="minorEastAsia" w:cstheme="minorEastAsia"/>
          <w:color w:val="auto"/>
          <w:highlight w:val="none"/>
        </w:rPr>
        <w:t>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2.发出中标通知</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（1）采购人或采购代理机构在公告中标结果的同时向中标人发出《中标通知书》。</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（2）《中标通知书》是合同的组成部分。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3.告知招标结果</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采购人或采购代理机构在公告中标结果的同时，告知未中标人本人的评审得分和排序。</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4.签订合同</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（1）中标人应当自发出中标通知书之日起 30 日内，派遣其授权在合同上签字的代表与采购人签订合同。</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（2）招标文件、中标人的投标文件及其澄清文件等，均为签订合同的依据。</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（3）在规定期限内，中标人拒绝与采购人签订合同的，采购人可以按照评审报告推荐的中标候选人名单排序，确定下一候选人为中标人，也可以重新开展政府采购活动。</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（4）当出现法规规定的中标无效情形时，采购人可与排名下一位的中标候选人另行签订合同，或依法重新开展采购活动。</w:t>
      </w:r>
    </w:p>
    <w:p>
      <w:pPr>
        <w:spacing w:line="420" w:lineRule="exact"/>
        <w:ind w:firstLine="482"/>
        <w:jc w:val="both"/>
        <w:rPr>
          <w:rFonts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b w:val="0"/>
          <w:bCs/>
          <w:color w:val="auto"/>
          <w:highlight w:val="none"/>
        </w:rPr>
        <w:t>（5）依据《政府采购促进中小企业发展管理办法》（财库﹝2020﹞46 号）的规定享受扶持政策获得政府采购合同的，小微企业不得将合同分包给大中型企业，中型企业不得将合同分包给大型企业。</w:t>
      </w:r>
    </w:p>
    <w:p>
      <w:pPr>
        <w:snapToGrid w:val="0"/>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pPr>
        <w:snapToGrid w:val="0"/>
        <w:spacing w:line="420" w:lineRule="exact"/>
        <w:ind w:firstLine="480" w:firstLineChars="200"/>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五、关于询问或质疑和投诉</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（一）质疑内容、时限</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公告期限为采购公告发出之日起五个工作日，供应商对招标文件如有询问或质疑的应在收到招标文件之日（获取招标文件期限内）或者招标文件公告期限届满之日起七个工作日内以书面形式向采购人提出询问或质疑，质疑须附相关证明材料。</w:t>
      </w:r>
    </w:p>
    <w:p>
      <w:pPr>
        <w:pStyle w:val="46"/>
        <w:spacing w:line="48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2.投标人对中标结果有询问或质疑的，应当在中标结果公告届满之日起七个工作日内以书面形式向采购人提出，质疑须附相关证明材料。</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3.供应商在法定质疑期内针对同一采购程序环节的质疑必须一次性提出。质疑函范本可在财政部门户网站和中国政府采购网下载。</w:t>
      </w:r>
    </w:p>
    <w:p>
      <w:pPr>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pPr>
        <w:pStyle w:val="10"/>
        <w:rPr>
          <w:rFonts w:asciiTheme="minorEastAsia" w:hAnsiTheme="minorEastAsia" w:eastAsiaTheme="minorEastAsia" w:cstheme="minorEastAsia"/>
          <w:color w:val="auto"/>
          <w:highlight w:val="none"/>
        </w:rPr>
      </w:pP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（二）询问或质疑答复时限</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采购人或采购代理机构应在收到供应商依法提出的书面质疑后7个工作日内对质疑内容作出答复；在收到供应商依法提出的询问后3个工作日内对询问内容作出答复。</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（三）不予受理或暂缓受理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1.询问或质疑有下列情形之一的，不予受理：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(1)询问或质疑超过有效期的；</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(2)对同一事项重复询问或质疑的；对同一采购程序环节的询问或质疑未一次性提出的。</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2.询问或质疑有下列情形之一的，应暂不受理并告知投标人补充材料。投标人及时补充材料的，应予受理；逾期未补充的，不予受理：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（1）询问或质疑书内容不符合政府采购相关询问或质疑投诉政策之规定的；</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（2）质疑书提供的依据或证明材料不全的；</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（3）质疑书副本数量不足的（质疑书内容涉及其他供应商，并且需要采购人处理质疑时向其他供应商进行核实的，质疑供应商未按照与质疑事项相关的供应商数量提交质疑书副本）。</w:t>
      </w:r>
    </w:p>
    <w:p>
      <w:pPr>
        <w:jc w:val="center"/>
        <w:rPr>
          <w:rFonts w:asciiTheme="minorEastAsia" w:hAnsiTheme="minorEastAsia" w:eastAsiaTheme="minorEastAsia" w:cstheme="minorEastAsia"/>
          <w:color w:val="auto"/>
          <w:highlight w:val="none"/>
        </w:rPr>
      </w:pP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（四）询问或者质疑事项可能影响中标、中标结果的，采购人应当暂停签订合同，已经签订合同的，应当中止履行合同。</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（五）投诉</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1.投标人对采购人的答复不满意或者采购人未在规定时间内答复的，可在答复期满后十五个工作日内按有关规定，向同级财政部门投诉。</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2.在提出投诉时，应附送相关证明材料。投诉书及证明材料为外文的，应同时提供其中文译本；中文与外文意思不一致的，以中文为准。</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3.在确定受理投诉后，财政部门自受理投诉之日起三十个工作日内对投诉事项做出处理决定，并将投诉处理决定书送达投诉人、被投诉人和其他与投诉处理决定有利害关系的政府采购相关当事人。</w:t>
      </w:r>
      <w:bookmarkStart w:id="117" w:name="_Toc465269272"/>
      <w:bookmarkStart w:id="118" w:name="_Toc497729855"/>
    </w:p>
    <w:p>
      <w:pPr>
        <w:pStyle w:val="7"/>
        <w:rPr>
          <w:color w:val="auto"/>
          <w:highlight w:val="none"/>
        </w:rPr>
      </w:pPr>
    </w:p>
    <w:p>
      <w:pPr>
        <w:pStyle w:val="3"/>
        <w:spacing w:line="360" w:lineRule="auto"/>
        <w:ind w:left="0"/>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六、招标代理服务费</w:t>
      </w:r>
    </w:p>
    <w:p>
      <w:pPr>
        <w:widowControl/>
        <w:spacing w:line="420" w:lineRule="exact"/>
        <w:ind w:firstLine="480" w:firstLineChars="200"/>
        <w:rPr>
          <w:rFonts w:asciiTheme="minorEastAsia" w:hAnsiTheme="minorEastAsia" w:eastAsiaTheme="minorEastAsia" w:cstheme="minorEastAsia"/>
          <w:color w:val="auto"/>
          <w:highlight w:val="none"/>
        </w:rPr>
      </w:pPr>
      <w:bookmarkStart w:id="119" w:name="_Toc345318310"/>
      <w:bookmarkStart w:id="120" w:name="_Toc343881212"/>
      <w:bookmarkStart w:id="121" w:name="_Toc429584878"/>
      <w:bookmarkStart w:id="122" w:name="_Toc342983494"/>
      <w:r>
        <w:rPr>
          <w:rFonts w:hint="eastAsia" w:asciiTheme="minorEastAsia" w:hAnsiTheme="minorEastAsia" w:eastAsiaTheme="minorEastAsia" w:cstheme="minorEastAsia"/>
          <w:color w:val="auto"/>
          <w:highlight w:val="none"/>
        </w:rPr>
        <w:t>1.</w:t>
      </w:r>
      <w:bookmarkEnd w:id="119"/>
      <w:bookmarkEnd w:id="120"/>
      <w:bookmarkEnd w:id="121"/>
      <w:bookmarkEnd w:id="122"/>
      <w:r>
        <w:rPr>
          <w:rFonts w:hint="eastAsia" w:asciiTheme="minorEastAsia" w:hAnsiTheme="minorEastAsia" w:eastAsiaTheme="minorEastAsia" w:cstheme="minorEastAsia"/>
          <w:color w:val="auto"/>
          <w:highlight w:val="none"/>
        </w:rPr>
        <w:t xml:space="preserve">中标人在领取中标通知书前一次性支付给中招国际招标有限公司重庆分公司。招标代理服务费的收取标准按照以下标准执行： </w:t>
      </w:r>
    </w:p>
    <w:p>
      <w:pPr>
        <w:widowControl/>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参照原《国家发展改革委关于降低部分建设项目收费标准规范收费行为等有关问题的通知》（发改价格[2011]534号）文件及原国家计委《招标代理服务收费管理暂行办法》（[2002]1980号）文件收费标准为依据下浮35%收取；按中标（成交）金额计算的代理服务费不足1万元的，按1万元结算，超过10万元的按10万元结算。</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2、收取采购代理服务费帐户</w:t>
      </w:r>
    </w:p>
    <w:p>
      <w:pPr>
        <w:widowControl/>
        <w:spacing w:line="42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户  名：中招国际招标有限公司重庆分公司</w:t>
      </w:r>
    </w:p>
    <w:p>
      <w:pPr>
        <w:widowControl/>
        <w:spacing w:line="420" w:lineRule="exact"/>
        <w:ind w:firstLine="480" w:firstLineChars="2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开户行：中国工商银行股份有限公司重庆两江分行</w:t>
      </w:r>
    </w:p>
    <w:p>
      <w:pPr>
        <w:widowControl/>
        <w:spacing w:line="420" w:lineRule="exact"/>
        <w:ind w:firstLine="480" w:firstLineChars="2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账  号：3100020219200339271</w:t>
      </w:r>
    </w:p>
    <w:p>
      <w:pPr>
        <w:widowControl/>
        <w:spacing w:line="420" w:lineRule="exact"/>
        <w:ind w:firstLine="480" w:firstLineChars="200"/>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color w:val="auto"/>
          <w:highlight w:val="none"/>
        </w:rPr>
        <w:sectPr>
          <w:pgSz w:w="11906" w:h="16838"/>
          <w:pgMar w:top="1134" w:right="1134" w:bottom="1134" w:left="1134" w:header="851" w:footer="851" w:gutter="0"/>
          <w:cols w:space="720" w:num="1"/>
          <w:docGrid w:linePitch="326" w:charSpace="0"/>
        </w:sectPr>
      </w:pPr>
    </w:p>
    <w:p>
      <w:pPr>
        <w:rPr>
          <w:color w:val="auto"/>
          <w:highlight w:val="none"/>
        </w:rPr>
      </w:pPr>
    </w:p>
    <w:p>
      <w:pPr>
        <w:pStyle w:val="2"/>
        <w:spacing w:before="120" w:after="120"/>
        <w:ind w:left="0" w:firstLine="2209" w:firstLineChars="500"/>
        <w:jc w:val="center"/>
        <w:rPr>
          <w:rFonts w:asciiTheme="minorEastAsia" w:hAnsiTheme="minorEastAsia" w:eastAsiaTheme="minorEastAsia" w:cstheme="minorEastAsia"/>
          <w:color w:val="auto"/>
          <w:highlight w:val="none"/>
        </w:rPr>
      </w:pPr>
      <w:bookmarkStart w:id="123" w:name="_Toc138929559"/>
      <w:r>
        <w:rPr>
          <w:rFonts w:hint="eastAsia" w:asciiTheme="minorEastAsia" w:hAnsiTheme="minorEastAsia" w:eastAsiaTheme="minorEastAsia" w:cstheme="minorEastAsia"/>
          <w:color w:val="auto"/>
          <w:highlight w:val="none"/>
        </w:rPr>
        <w:t>第六篇  合同</w:t>
      </w:r>
      <w:bookmarkEnd w:id="117"/>
      <w:r>
        <w:rPr>
          <w:rFonts w:hint="eastAsia" w:asciiTheme="minorEastAsia" w:hAnsiTheme="minorEastAsia" w:eastAsiaTheme="minorEastAsia" w:cstheme="minorEastAsia"/>
          <w:color w:val="auto"/>
          <w:highlight w:val="none"/>
        </w:rPr>
        <w:t>文本</w:t>
      </w:r>
      <w:bookmarkEnd w:id="118"/>
      <w:bookmarkEnd w:id="123"/>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应在技术、商务条款偏离表中进行响应。</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属于政府采购的项目采购合同按规定应当公告，请投标人（响应人）在投标文件（响应文件）中明确说明不予公开的合同内容（国家规定须公开的要素除外）。</w:t>
      </w:r>
    </w:p>
    <w:p>
      <w:pPr>
        <w:pStyle w:val="46"/>
        <w:spacing w:line="480" w:lineRule="exact"/>
        <w:ind w:firstLine="2409" w:firstLineChars="600"/>
        <w:jc w:val="both"/>
        <w:rPr>
          <w:rFonts w:asciiTheme="minorEastAsia" w:hAnsiTheme="minorEastAsia" w:eastAsiaTheme="minorEastAsia" w:cstheme="minorEastAsia"/>
          <w:b/>
          <w:bCs/>
          <w:color w:val="auto"/>
          <w:kern w:val="44"/>
          <w:sz w:val="40"/>
          <w:szCs w:val="40"/>
          <w:highlight w:val="none"/>
        </w:rPr>
      </w:pPr>
      <w:bookmarkStart w:id="124" w:name="_Toc449302191"/>
      <w:bookmarkStart w:id="125" w:name="_Toc528078991"/>
      <w:bookmarkStart w:id="126" w:name="_Toc528079384"/>
      <w:bookmarkStart w:id="127" w:name="_Toc449302192"/>
      <w:r>
        <w:rPr>
          <w:rFonts w:hint="eastAsia" w:asciiTheme="minorEastAsia" w:hAnsiTheme="minorEastAsia" w:eastAsiaTheme="minorEastAsia" w:cstheme="minorEastAsia"/>
          <w:b/>
          <w:bCs/>
          <w:color w:val="auto"/>
          <w:kern w:val="44"/>
          <w:sz w:val="40"/>
          <w:szCs w:val="40"/>
          <w:highlight w:val="none"/>
        </w:rPr>
        <w:t>一、</w:t>
      </w:r>
      <w:bookmarkEnd w:id="124"/>
      <w:r>
        <w:rPr>
          <w:rFonts w:hint="eastAsia" w:asciiTheme="minorEastAsia" w:hAnsiTheme="minorEastAsia" w:eastAsiaTheme="minorEastAsia" w:cstheme="minorEastAsia"/>
          <w:b/>
          <w:bCs/>
          <w:color w:val="auto"/>
          <w:kern w:val="44"/>
          <w:sz w:val="40"/>
          <w:szCs w:val="40"/>
          <w:highlight w:val="none"/>
        </w:rPr>
        <w:t>国产设备采购合同</w:t>
      </w:r>
      <w:bookmarkEnd w:id="125"/>
      <w:bookmarkEnd w:id="126"/>
    </w:p>
    <w:tbl>
      <w:tblPr>
        <w:tblStyle w:val="2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w:t>
            </w:r>
          </w:p>
        </w:tc>
        <w:tc>
          <w:tcPr>
            <w:tcW w:w="4403"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962"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合同编号：</w:t>
            </w:r>
          </w:p>
        </w:tc>
        <w:tc>
          <w:tcPr>
            <w:tcW w:w="2628"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w:t>
            </w:r>
          </w:p>
        </w:tc>
        <w:tc>
          <w:tcPr>
            <w:tcW w:w="4403" w:type="dxa"/>
            <w:tcBorders>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西南大学</w:t>
            </w:r>
          </w:p>
        </w:tc>
        <w:tc>
          <w:tcPr>
            <w:tcW w:w="1962" w:type="dxa"/>
            <w:tcBorders>
              <w:top w:val="nil"/>
              <w:left w:val="nil"/>
              <w:bottom w:val="nil"/>
              <w:right w:val="nil"/>
            </w:tcBorders>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需方用户单位：</w:t>
            </w:r>
          </w:p>
        </w:tc>
        <w:tc>
          <w:tcPr>
            <w:tcW w:w="2628" w:type="dxa"/>
            <w:tcBorders>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bl>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需方就所需仪器、设备（包括相关配套软件、硬件、集成系统在内，以下统称货物/产品）按照采购程序进行采购（采购项目编号：</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分包号：</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 xml:space="preserve"> ；项目名称：</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 xml:space="preserve"> ；申购业务号：</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lang w:val="en-US" w:eastAsia="zh-CN"/>
        </w:rPr>
        <w:t xml:space="preserve">  </w:t>
      </w:r>
      <w:r>
        <w:rPr>
          <w:rFonts w:hint="eastAsia" w:asciiTheme="minorEastAsia" w:hAnsiTheme="minorEastAsia" w:eastAsiaTheme="minorEastAsia" w:cstheme="minorEastAsia"/>
          <w:color w:val="auto"/>
          <w:sz w:val="22"/>
          <w:szCs w:val="22"/>
          <w:highlight w:val="none"/>
        </w:rPr>
        <w:t>）后，确定供方为中标（成交）供应商。依据《中华人民共和国民法典》、《中华人民共和国政府采购法》等有关法律、法规，遵循平等、自愿、公平和诚实信用原则，供、需双方协商一致，签订本合同。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一、采购内容（如有多个院系，按院系分类汇总）</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备注：采购内容与本合同各项文件发生抵触的，按本合同第10.1条执行；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pPr>
              <w:jc w:val="center"/>
              <w:rPr>
                <w:rFonts w:asciiTheme="minorEastAsia" w:hAnsiTheme="minorEastAsia" w:eastAsiaTheme="minorEastAsia" w:cstheme="minorEastAsia"/>
                <w:color w:val="auto"/>
                <w:spacing w:val="-20"/>
                <w:sz w:val="22"/>
                <w:szCs w:val="22"/>
                <w:highlight w:val="none"/>
              </w:rPr>
            </w:pPr>
            <w:r>
              <w:rPr>
                <w:rFonts w:hint="eastAsia" w:asciiTheme="minorEastAsia" w:hAnsiTheme="minorEastAsia" w:eastAsiaTheme="minorEastAsia" w:cstheme="minorEastAsia"/>
                <w:color w:val="auto"/>
                <w:spacing w:val="-20"/>
                <w:sz w:val="22"/>
                <w:szCs w:val="22"/>
                <w:highlight w:val="none"/>
              </w:rPr>
              <w:t>序号</w:t>
            </w:r>
          </w:p>
        </w:tc>
        <w:tc>
          <w:tcPr>
            <w:tcW w:w="2288"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pacing w:val="-20"/>
                <w:sz w:val="22"/>
                <w:szCs w:val="22"/>
                <w:highlight w:val="none"/>
              </w:rPr>
              <w:t>产品名称</w:t>
            </w:r>
          </w:p>
        </w:tc>
        <w:tc>
          <w:tcPr>
            <w:tcW w:w="1725"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pacing w:val="-20"/>
                <w:sz w:val="22"/>
                <w:szCs w:val="22"/>
                <w:highlight w:val="none"/>
              </w:rPr>
              <w:t>品牌及型号</w:t>
            </w:r>
          </w:p>
        </w:tc>
        <w:tc>
          <w:tcPr>
            <w:tcW w:w="1730"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产地及</w:t>
            </w:r>
          </w:p>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生产厂商</w:t>
            </w:r>
          </w:p>
        </w:tc>
        <w:tc>
          <w:tcPr>
            <w:tcW w:w="432"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单</w:t>
            </w:r>
          </w:p>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位</w:t>
            </w:r>
          </w:p>
        </w:tc>
        <w:tc>
          <w:tcPr>
            <w:tcW w:w="590"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数</w:t>
            </w:r>
          </w:p>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量</w:t>
            </w:r>
          </w:p>
        </w:tc>
        <w:tc>
          <w:tcPr>
            <w:tcW w:w="1136" w:type="dxa"/>
            <w:vAlign w:val="center"/>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pacing w:val="-20"/>
                <w:sz w:val="22"/>
                <w:szCs w:val="22"/>
                <w:highlight w:val="none"/>
              </w:rPr>
              <w:t>单价（元）</w:t>
            </w:r>
          </w:p>
        </w:tc>
        <w:tc>
          <w:tcPr>
            <w:tcW w:w="1334" w:type="dxa"/>
            <w:vAlign w:val="center"/>
          </w:tcPr>
          <w:p>
            <w:pPr>
              <w:jc w:val="center"/>
              <w:rPr>
                <w:rFonts w:asciiTheme="minorEastAsia" w:hAnsiTheme="minorEastAsia" w:eastAsiaTheme="minorEastAsia" w:cstheme="minorEastAsia"/>
                <w:color w:val="auto"/>
                <w:spacing w:val="-20"/>
                <w:sz w:val="22"/>
                <w:szCs w:val="22"/>
                <w:highlight w:val="none"/>
              </w:rPr>
            </w:pPr>
            <w:r>
              <w:rPr>
                <w:rFonts w:hint="eastAsia" w:asciiTheme="minorEastAsia" w:hAnsiTheme="minorEastAsia" w:eastAsiaTheme="minorEastAsia" w:cstheme="minorEastAsia"/>
                <w:color w:val="auto"/>
                <w:spacing w:val="-20"/>
                <w:sz w:val="22"/>
                <w:szCs w:val="22"/>
                <w:highlight w:val="none"/>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w:t>
            </w:r>
          </w:p>
        </w:tc>
        <w:tc>
          <w:tcPr>
            <w:tcW w:w="2288" w:type="dxa"/>
            <w:vAlign w:val="center"/>
          </w:tcPr>
          <w:p>
            <w:pPr>
              <w:spacing w:line="440" w:lineRule="exact"/>
              <w:ind w:right="82" w:rightChars="34"/>
              <w:rPr>
                <w:rFonts w:asciiTheme="minorEastAsia" w:hAnsiTheme="minorEastAsia" w:eastAsiaTheme="minorEastAsia" w:cstheme="minorEastAsia"/>
                <w:color w:val="auto"/>
                <w:sz w:val="22"/>
                <w:szCs w:val="22"/>
                <w:highlight w:val="none"/>
              </w:rPr>
            </w:pPr>
          </w:p>
        </w:tc>
        <w:tc>
          <w:tcPr>
            <w:tcW w:w="1725"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730" w:type="dxa"/>
            <w:vAlign w:val="center"/>
          </w:tcPr>
          <w:p>
            <w:pPr>
              <w:rPr>
                <w:rFonts w:asciiTheme="minorEastAsia" w:hAnsiTheme="minorEastAsia" w:eastAsiaTheme="minorEastAsia" w:cstheme="minorEastAsia"/>
                <w:color w:val="auto"/>
                <w:sz w:val="22"/>
                <w:szCs w:val="22"/>
                <w:highlight w:val="none"/>
              </w:rPr>
            </w:pPr>
          </w:p>
        </w:tc>
        <w:tc>
          <w:tcPr>
            <w:tcW w:w="432"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590"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color w:val="auto"/>
                <w:sz w:val="22"/>
                <w:szCs w:val="22"/>
                <w:highlight w:val="none"/>
              </w:rPr>
            </w:pPr>
          </w:p>
        </w:tc>
        <w:tc>
          <w:tcPr>
            <w:tcW w:w="1334" w:type="dxa"/>
            <w:tcMar>
              <w:left w:w="0" w:type="dxa"/>
              <w:right w:w="0" w:type="dxa"/>
            </w:tcMar>
            <w:vAlign w:val="center"/>
          </w:tcPr>
          <w:p>
            <w:pPr>
              <w:jc w:val="right"/>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p>
        </w:tc>
        <w:tc>
          <w:tcPr>
            <w:tcW w:w="9235" w:type="dxa"/>
            <w:gridSpan w:val="7"/>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w:t>
            </w:r>
          </w:p>
        </w:tc>
        <w:tc>
          <w:tcPr>
            <w:tcW w:w="2288" w:type="dxa"/>
            <w:vAlign w:val="center"/>
          </w:tcPr>
          <w:p>
            <w:pPr>
              <w:spacing w:line="440" w:lineRule="exact"/>
              <w:ind w:right="82" w:rightChars="34"/>
              <w:rPr>
                <w:rFonts w:asciiTheme="minorEastAsia" w:hAnsiTheme="minorEastAsia" w:eastAsiaTheme="minorEastAsia" w:cstheme="minorEastAsia"/>
                <w:color w:val="auto"/>
                <w:sz w:val="22"/>
                <w:szCs w:val="22"/>
                <w:highlight w:val="none"/>
              </w:rPr>
            </w:pPr>
          </w:p>
        </w:tc>
        <w:tc>
          <w:tcPr>
            <w:tcW w:w="1725"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730" w:type="dxa"/>
            <w:vAlign w:val="center"/>
          </w:tcPr>
          <w:p>
            <w:pPr>
              <w:rPr>
                <w:rFonts w:asciiTheme="minorEastAsia" w:hAnsiTheme="minorEastAsia" w:eastAsiaTheme="minorEastAsia" w:cstheme="minorEastAsia"/>
                <w:color w:val="auto"/>
                <w:sz w:val="22"/>
                <w:szCs w:val="22"/>
                <w:highlight w:val="none"/>
              </w:rPr>
            </w:pPr>
          </w:p>
        </w:tc>
        <w:tc>
          <w:tcPr>
            <w:tcW w:w="432"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590" w:type="dxa"/>
            <w:vAlign w:val="center"/>
          </w:tcPr>
          <w:p>
            <w:pPr>
              <w:spacing w:line="440" w:lineRule="exact"/>
              <w:rPr>
                <w:rFonts w:asciiTheme="minorEastAsia" w:hAnsiTheme="minorEastAsia" w:eastAsiaTheme="minorEastAsia" w:cstheme="minorEastAsia"/>
                <w:color w:val="auto"/>
                <w:sz w:val="22"/>
                <w:szCs w:val="22"/>
                <w:highlight w:val="none"/>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color w:val="auto"/>
                <w:sz w:val="22"/>
                <w:szCs w:val="22"/>
                <w:highlight w:val="none"/>
              </w:rPr>
            </w:pPr>
          </w:p>
        </w:tc>
        <w:tc>
          <w:tcPr>
            <w:tcW w:w="1334" w:type="dxa"/>
            <w:tcMar>
              <w:left w:w="0" w:type="dxa"/>
              <w:right w:w="0" w:type="dxa"/>
            </w:tcMar>
            <w:vAlign w:val="center"/>
          </w:tcPr>
          <w:p>
            <w:pPr>
              <w:jc w:val="right"/>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color w:val="auto"/>
                <w:sz w:val="22"/>
                <w:szCs w:val="22"/>
                <w:highlight w:val="none"/>
              </w:rPr>
            </w:pPr>
          </w:p>
        </w:tc>
        <w:tc>
          <w:tcPr>
            <w:tcW w:w="9235" w:type="dxa"/>
            <w:gridSpan w:val="7"/>
            <w:vAlign w:val="center"/>
          </w:tcPr>
          <w:p>
            <w:pP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技术指标：</w:t>
            </w: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二、合同总价</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2.1合同总价为人民币大写：                元整，小写：￥        。</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*三、质量要求与技术标准</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3.1供方须提供全新的、原厂包装的货物（含零部件、配件、附件、随机工具等），表面无划伤、无碰撞痕迹，内部无瑕疵。供方不收回包装。</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3.2供方提供的货物应完全符合本合同及各项文件中需方提出的，以及供方承诺的产品名称、品牌、型号、产地及生产厂商、规格配置、参数性能等各项要求与使用目的，应能够正常运行与使用。</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3.3供方提供的货物必须符合国家、行业、生产厂商及本合同各项文件要求的技术标准、安全质量标准、环保标准、售后服务标准。</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上述标准为协议签订时有效的最新标准。上述标准不一致的，以要求高者为准。</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3.4供方承诺并保证对其所提供的货物均享有合法权利的，不会侵犯第三方知识产权、所有权及其它合法权益。</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3.5（采购文件对技术标准有详细要求的，可于本款载明；此条款根据投标或投标文件承诺内容选择填写）。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四、交货及验收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*4.1交货期限、地点、方式</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4.1.1交货期限：供方应在合同签订生效后的     日内完全交货。供方应在交货前至少提前     工作日以书面或电子文件形式通知需方准备收货。</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*4.1.2交货方式：供方免费送货到 西南大学 指定位置，交需方用户单位。装卸和搬运均由供方负责，费用均由供方自行承担。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4.1.3需方指定收货人：            ，电话: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*4.2外观和数量验收</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4.2.1交货时，由供方和需方用户单位当场进行货物品名、数量、品牌、产地及生产厂商、型号及外观验收，并形成书面验收记录。货物零部件、配件、附件、随机工具等的外观和数量验收以配置清单为准。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4.2.2外观和数量验收记录由需方指定收货人签字，并加盖用户单位公章方为有效。外观和数量验收记录仅证明已按现状收到若干具体单位数量的货物。</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4.3供方应于交货后    个工作日内，或者于需方用户单位指定时间内派专业人员到现场免费安装调试，并达到正常运行状态。</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4.4质量性能验收（此条款根据投标或投标文件承诺内容选择填写）</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4.4.1安装调试完毕并试运行   个工作日后，供方可提出书面验收申请。货物采用以下第（    ）种方式进行质量性能验收：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（1）由需方组织质量性能验收，供方配合进行；验收合格的，由需方出具质量性能验收报告，验收合格时间以报告中需方确认的最后时间为准。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（2）由    方聘请具有相应检验资格的中介机构进行检验，检验费用由    方承担。</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（3）由    方提请政府机构进行检验，检验费用由    方承担；验收合格时间以需方收到政府机构检验合格报告时间为准。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（4）其他验收方式：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4.4.2质量性能验收标准按本合同第三条约定的标准执行。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4.4.3若供方拒绝在验收不合格的报告上签字的，应在    日内提出书面意见，并提交相关证据证明，否则视为供方认可该验收报告。</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4.7（用户单位对验收有其他要求的，可于本款载明，但应根据投标或投标文件承诺内容填写；）。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五、培训</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5.1 安装调试合格后，由需方用户单位与供方共同商定培训时间，培训地点由需方指定。</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5.2 供方向需方免费提供培训，培训内容与方式如下：</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供方提供必要的培训资料，并指派专业人员就所供货物的组装、试运行、运行、使用、维护、保养等对需方人员进行培训，直至全面掌握为止/（（培训的具体内容根据投标文件响应内容填写）。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5.3 完成培训后，供方才能要求需方支付货款。</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六、 付款模式（根据招标文件规定选择）</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模式一（此条款根据投标或投标文件承诺内容填写，付款模式三选一，删除其余模式）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====================履约保证金付款模式========================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纳合同总价的    %（计人民币大写          元整，小写￥          ）作履约保证金；需方收到质保金后  3  个工作日内，根据合同及数量验收记录向供方支付100%的合同总价款，计人民币大写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6.1.2本合同中货物质量性能验收合格且培训工作完成后  7  个工作日内，需方向供方无息退还作为履约保证金的合同总价的   %，计人民币大写             元整，小写￥            元。</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6.1.3质量性能验收合格之日起 1 年内若无遗留问题，需方将剩余履约保证金（合同总价的   % ）无息退还供方；若有尚未解决的遗留问题，暂不予退还。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====================进度款付款模式========================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模式二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纳合同总价的  5  %（计人民币大写            元整，小写￥          ）作履约保证金；需方收到履约保证金后  7  个工作日内，根据合同及数量验收记录向供方支付合同总额80%的进度款，计人民币大写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6.1.2本合同中货物质量性能验收合格且培训工作完成后  7  个工作日内，需方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向供方支付合同总价的20%进度款（即余款），计人民币大写             元整，小写￥            元。</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6.1.3质量性能验收合格之日起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模式三</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======================验收合格后付款模式========================</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6.1.1质量性能验收合格后  3  个工作日内，供方向需方交纳合同总价的  5  %（计人民币大写         元整，小写￥          ）作履约保证金；需方收到履约保证金后  7  个工作日内，向供方支付100%的合同总价款，计人民币大写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6.1.2质量性能验收合格之日起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6.2需方每次向供方付款前，供方应该先行向需方提供等额正式增值税专用发票。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货款及质保金均以银行转账方式支付。</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西南大学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工行重庆朝阳支行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102653000474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重庆市北碚区天生路2号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填写经办人及联系电话</w:t>
            </w: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七、售后服务</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7.1质保期为质量性能验收合格后    年，本合同约定的质保期与货物保修证书或国家规定不一致的，以时间较长者为准。</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7.2 质保期内供方应按不低于国家法律法规规定的、货物保修证书及其他资料载明的、本合同及项目其他文件要求的内容提供质保服务，质保期内的所有服务及产生的费用均由供方承担。</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 质保服务内容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7.4.2 在本合同约定时间内不能修复的，供方予以免费更换或提供相同功能档次的货物予以临时调换，保证需方的正常使用。</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7.4.3 更换的货物及其软件、硬件、集成系统及其零部件、配件、附近、随机工具和赠品等应全新、合格，与原件品牌、规格、型号等一致，符合本合同质量要求。需方有权要求对更换的货物等重新组织验收。</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7.4.4 临时调换后，供方应在需方确定的时限内对货物尽快修复，同时，需方有权随时了解或检查货物修复进度。</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7.4.5 质保期内的货物维护保养：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7.4.6 其他质保服务：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 仪器设备配套软件（硬件）的质保服务内容</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7.5.1 供方应在质保期内对软件（硬件）免费升级，免费提供技术支持，免费解决软件（硬件）使用过程中的故障、意外。</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7.5.2 供方对其提供的软件（硬件）自身漏洞、故障，应在接到需方电话通知后    日内免费修复。</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7.5.3 对定制软件或集成系统的其他质保服务：                             。</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7.5.4 供方提供的软件（硬件）出现本合同第7.5条未规定的情况的，适用本合同第七条对售后服务的其他规定。</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7.6 货物发生质量问题，由供方进行维修、更换的，维修或更换件的质保期相应延长。</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7.7 供方须指派专人负责与需方联系售后服务事宜：</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供方售后服务联系人：              ，联系电话：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7.8 质保期后服务：终身免费上门维修；涉及配件更换只收配件成本费。</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*八、违约责任（若有异议，请根据行业标准填写，并与用户确认，或根据投标投标文件、承诺内容填写）</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（1）逾期交货（包括不完全交货）的；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（2）未在合同约定时间内完成安装调试的；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（3）质量性能验收不合格的；</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（4）违反合同其他约定的。</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（1）解除合同或部分退货，供方向需方支付合同总价款 20 %的违约金；</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（2）需方使用质保金自行或请第三方进行维修、更换，供方应对维修、更换的方案和所产生的费用无条件予以完全认可；质保金不足以支付的，超出部分由供方承担。</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8.5未经需方书面同意，供方不得在市场宣传中使用与需方的合作案列，不得将需方作为业务伙伴进行宣传，不得使用需方的校名、校徽、商标、标志语等；若违反上述约定，应按合同总价的 20 %向需方支付违约金。</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8.6 因货物质量问题造成需方或其他任何人员伤、亡或财产损失的，由供方承担全部赔偿责任；需方先行垫付的，有权向供方追偿。</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8.8供方未按合同约定支付违约金、赔偿金或相关费用的，需方有权从质保金中扣除相应金额，但这并不意味着对供方违约责任、赔偿责任全部或部分的豁免或解除。</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需方根据合同约定使用或扣除质保金后，供方应在需方指定的限期内补足质保金；限期内未能补足的，需方每天按质保金总额的 5 %继续扣除或计算逾期违约金。</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8.9双方同意，本合同所约定的违约金不能不能填补并赔偿因违约行为给守约方造成损失的，违约方还应对损失进行赔偿；前述损失包括守约方为维权所支出的必要费用（包括但不限于律师费、差旅费等）。</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九、争议解决办法</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合同履行期间,若双方发生争议，应友好协商解决，协商不成的，可依法向需方所在地人民法院提起诉讼。</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十、其他</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10.1本合同中“项目其他文件”系指本合同首部载明的采购项目的招标（采购）文件、澄清表（函）、投标（响应）文件（含特殊承诺）、中标（中标）通知书等。前述文件均为本合同不可分割的部分。前述文件之间若发生抵触，应以以下优先顺序为准：本合同、本合签订后双方拟定的书面补充合同、投标时的特殊承诺函、澄清文件、投标（响应）文件、招标（采购）文件。</w:t>
      </w:r>
    </w:p>
    <w:p>
      <w:pPr>
        <w:pStyle w:val="46"/>
        <w:spacing w:line="480" w:lineRule="exact"/>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Style w:val="24"/>
        <w:tblW w:w="0" w:type="auto"/>
        <w:tblInd w:w="0" w:type="dxa"/>
        <w:tblLayout w:type="fixed"/>
        <w:tblCellMar>
          <w:top w:w="0" w:type="dxa"/>
          <w:left w:w="108" w:type="dxa"/>
          <w:bottom w:w="0" w:type="dxa"/>
          <w:right w:w="108" w:type="dxa"/>
        </w:tblCellMar>
      </w:tblPr>
      <w:tblGrid>
        <w:gridCol w:w="2064"/>
        <w:gridCol w:w="4080"/>
        <w:gridCol w:w="1327"/>
        <w:gridCol w:w="2491"/>
      </w:tblGrid>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供方通讯地址：</w:t>
            </w:r>
          </w:p>
        </w:tc>
        <w:tc>
          <w:tcPr>
            <w:tcW w:w="4080"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联系邮箱：</w:t>
            </w:r>
          </w:p>
        </w:tc>
        <w:tc>
          <w:tcPr>
            <w:tcW w:w="2491"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需方通讯地址：</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联系邮箱：</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c>
          <w:tcPr>
            <w:tcW w:w="1327" w:type="dxa"/>
          </w:tcPr>
          <w:p>
            <w:pPr>
              <w:pStyle w:val="46"/>
              <w:spacing w:line="48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一方变更本合同中约定的收货人、售后服务联系人、送达地址、联系方式或联系人而未书面通知对方的，视为原约定仍有效。</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10.3 本合同未经双方协商一致，不得变更。</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10.4 如有未尽事宜，由双方依法订立书面补充合同。</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10.5本合同一式六份，供方一份，需方五份（采招中心一份，设备处两份，用户单位两份），自双方签字盖章之日起生效，每份具有同等法律效力。 </w:t>
      </w:r>
    </w:p>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-----------------------------以下无正文--------------------------------</w:t>
      </w:r>
    </w:p>
    <w:tbl>
      <w:tblPr>
        <w:tblStyle w:val="24"/>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供方（盖章）：</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需方（合同章）：西南大学</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法定代表人：</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法定代表人：张卫国</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地址：</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地址：重庆市北碚区天生路2号</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电话：</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邮编:400715</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授权代表人（签字）：</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授权代表人（签字）：(二级单位主要负责人)</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签约日期：      年     月     日</w:t>
            </w:r>
          </w:p>
        </w:tc>
        <w:tc>
          <w:tcPr>
            <w:tcW w:w="4981" w:type="dxa"/>
          </w:tcPr>
          <w:p>
            <w:pPr>
              <w:pStyle w:val="46"/>
              <w:spacing w:line="480" w:lineRule="exact"/>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签约日期：      年     月     日</w:t>
            </w:r>
          </w:p>
        </w:tc>
      </w:tr>
    </w:tbl>
    <w:p>
      <w:pPr>
        <w:pStyle w:val="46"/>
        <w:spacing w:line="480" w:lineRule="exact"/>
        <w:ind w:firstLine="440" w:firstLineChars="200"/>
        <w:rPr>
          <w:rFonts w:asciiTheme="minorEastAsia" w:hAnsiTheme="minorEastAsia" w:eastAsiaTheme="minorEastAsia" w:cstheme="minorEastAsia"/>
          <w:color w:val="auto"/>
          <w:sz w:val="22"/>
          <w:szCs w:val="22"/>
          <w:highlight w:val="none"/>
        </w:rPr>
        <w:sectPr>
          <w:pgSz w:w="11906" w:h="16838"/>
          <w:pgMar w:top="1134" w:right="1134" w:bottom="1134" w:left="1134" w:header="851" w:footer="851" w:gutter="0"/>
          <w:cols w:space="720" w:num="1"/>
          <w:docGrid w:linePitch="326" w:charSpace="0"/>
        </w:sectPr>
      </w:pPr>
    </w:p>
    <w:p>
      <w:pPr>
        <w:pStyle w:val="10"/>
        <w:spacing w:line="400" w:lineRule="exact"/>
        <w:ind w:firstLine="640" w:firstLineChars="200"/>
        <w:jc w:val="center"/>
        <w:rPr>
          <w:rFonts w:asciiTheme="minorEastAsia" w:hAnsiTheme="minorEastAsia" w:eastAsiaTheme="minorEastAsia" w:cstheme="minorEastAsia"/>
          <w:b/>
          <w:color w:val="auto"/>
          <w:kern w:val="44"/>
          <w:sz w:val="44"/>
          <w:szCs w:val="28"/>
          <w:highlight w:val="none"/>
        </w:rPr>
      </w:pPr>
      <w:r>
        <w:rPr>
          <w:rFonts w:hint="eastAsia" w:asciiTheme="minorEastAsia" w:hAnsiTheme="minorEastAsia" w:eastAsiaTheme="minorEastAsia" w:cstheme="minorEastAsia"/>
          <w:color w:val="auto"/>
          <w:sz w:val="32"/>
          <w:szCs w:val="32"/>
          <w:highlight w:val="none"/>
        </w:rPr>
        <w:t>二、</w:t>
      </w:r>
      <w:bookmarkEnd w:id="127"/>
      <w:r>
        <w:rPr>
          <w:rFonts w:hint="eastAsia" w:asciiTheme="minorEastAsia" w:hAnsiTheme="minorEastAsia" w:eastAsiaTheme="minorEastAsia" w:cstheme="minorEastAsia"/>
          <w:b/>
          <w:color w:val="auto"/>
          <w:kern w:val="44"/>
          <w:sz w:val="32"/>
          <w:szCs w:val="32"/>
          <w:highlight w:val="none"/>
        </w:rPr>
        <w:t>进口仪器设备采购合同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191"/>
        <w:gridCol w:w="1929"/>
        <w:gridCol w:w="975"/>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spacing w:line="288"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供方：</w:t>
            </w:r>
          </w:p>
        </w:tc>
        <w:tc>
          <w:tcPr>
            <w:tcW w:w="4191" w:type="dxa"/>
            <w:tcBorders>
              <w:top w:val="nil"/>
              <w:left w:val="nil"/>
              <w:right w:val="nil"/>
            </w:tcBorders>
          </w:tcPr>
          <w:p>
            <w:pPr>
              <w:spacing w:line="288" w:lineRule="auto"/>
              <w:rPr>
                <w:rFonts w:asciiTheme="minorEastAsia" w:hAnsiTheme="minorEastAsia" w:eastAsiaTheme="minorEastAsia" w:cstheme="minorEastAsia"/>
                <w:b/>
                <w:bCs/>
                <w:color w:val="auto"/>
                <w:sz w:val="21"/>
                <w:szCs w:val="21"/>
                <w:highlight w:val="none"/>
              </w:rPr>
            </w:pPr>
          </w:p>
        </w:tc>
        <w:tc>
          <w:tcPr>
            <w:tcW w:w="2904" w:type="dxa"/>
            <w:gridSpan w:val="2"/>
            <w:tcBorders>
              <w:top w:val="nil"/>
              <w:left w:val="nil"/>
              <w:bottom w:val="nil"/>
              <w:right w:val="nil"/>
            </w:tcBorders>
          </w:tcPr>
          <w:p>
            <w:pPr>
              <w:wordWrap w:val="0"/>
              <w:spacing w:line="288" w:lineRule="auto"/>
              <w:jc w:val="righ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合同编号</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[2023]CS</w:t>
            </w:r>
          </w:p>
        </w:tc>
        <w:tc>
          <w:tcPr>
            <w:tcW w:w="1914" w:type="dxa"/>
            <w:tcBorders>
              <w:top w:val="nil"/>
              <w:left w:val="nil"/>
              <w:right w:val="nil"/>
            </w:tcBorders>
          </w:tcPr>
          <w:p>
            <w:pPr>
              <w:wordWrap w:val="0"/>
              <w:spacing w:line="288" w:lineRule="auto"/>
              <w:rPr>
                <w:rFonts w:asciiTheme="minorEastAsia" w:hAnsiTheme="minorEastAsia" w:eastAsiaTheme="minorEastAsia" w:cstheme="minorEastAsia"/>
                <w:b/>
                <w:bCs/>
                <w:vanish/>
                <w:color w:val="auto"/>
                <w:sz w:val="21"/>
                <w:szCs w:val="21"/>
                <w:highlight w:val="none"/>
              </w:rPr>
            </w:pPr>
            <w:r>
              <w:rPr>
                <w:rFonts w:hint="eastAsia" w:asciiTheme="minorEastAsia" w:hAnsiTheme="minorEastAsia" w:eastAsiaTheme="minorEastAsia" w:cstheme="minorEastAsia"/>
                <w:b/>
                <w:bCs/>
                <w:vanish/>
                <w:color w:val="auto"/>
                <w:sz w:val="21"/>
                <w:szCs w:val="21"/>
                <w:highlight w:val="none"/>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wordWrap w:val="0"/>
              <w:spacing w:line="288" w:lineRule="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需方：</w:t>
            </w:r>
          </w:p>
        </w:tc>
        <w:tc>
          <w:tcPr>
            <w:tcW w:w="4191" w:type="dxa"/>
            <w:tcBorders>
              <w:left w:val="nil"/>
              <w:right w:val="nil"/>
            </w:tcBorders>
          </w:tcPr>
          <w:p>
            <w:pPr>
              <w:wordWrap w:val="0"/>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西南大学</w:t>
            </w:r>
          </w:p>
        </w:tc>
        <w:tc>
          <w:tcPr>
            <w:tcW w:w="1929" w:type="dxa"/>
            <w:tcBorders>
              <w:top w:val="nil"/>
              <w:left w:val="nil"/>
              <w:bottom w:val="nil"/>
              <w:right w:val="nil"/>
            </w:tcBorders>
          </w:tcPr>
          <w:p>
            <w:pPr>
              <w:wordWrap w:val="0"/>
              <w:spacing w:line="288" w:lineRule="auto"/>
              <w:jc w:val="right"/>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需方用户单位：</w:t>
            </w:r>
          </w:p>
        </w:tc>
        <w:tc>
          <w:tcPr>
            <w:tcW w:w="2889" w:type="dxa"/>
            <w:gridSpan w:val="2"/>
            <w:tcBorders>
              <w:left w:val="nil"/>
              <w:right w:val="nil"/>
            </w:tcBorders>
          </w:tcPr>
          <w:p>
            <w:pPr>
              <w:wordWrap w:val="0"/>
              <w:spacing w:line="288" w:lineRule="auto"/>
              <w:rPr>
                <w:rFonts w:asciiTheme="minorEastAsia" w:hAnsiTheme="minorEastAsia" w:eastAsiaTheme="minorEastAsia" w:cstheme="minorEastAsia"/>
                <w:color w:val="auto"/>
                <w:sz w:val="21"/>
                <w:szCs w:val="21"/>
                <w:highlight w:val="none"/>
              </w:rPr>
            </w:pPr>
          </w:p>
        </w:tc>
      </w:tr>
    </w:tbl>
    <w:p>
      <w:pPr>
        <w:spacing w:line="288"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                                 </w:t>
      </w:r>
    </w:p>
    <w:p>
      <w:pPr>
        <w:spacing w:line="288"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需方就所需进口仪器设备（包括相关配套软件、硬件、集成系统在内，以下统称货物）按照采购程序进行采购（采购项目编号：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，分包：</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）后，确定供方为中标（成交）供应商。依据《中华人民共和国政府采购法》、《中华人民共和国民法典》等有关法律、法规，遵循平等、自愿、公平和诚实信用原则，供、需双方协商一致，签订本合同。</w:t>
      </w:r>
    </w:p>
    <w:p>
      <w:pPr>
        <w:spacing w:line="288"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一、商务条款</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1.1 货物清单</w:t>
      </w:r>
    </w:p>
    <w:tbl>
      <w:tblPr>
        <w:tblStyle w:val="24"/>
        <w:tblW w:w="9834" w:type="dxa"/>
        <w:tblCellSpacing w:w="0"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138"/>
        <w:gridCol w:w="913"/>
        <w:gridCol w:w="550"/>
        <w:gridCol w:w="782"/>
        <w:gridCol w:w="782"/>
        <w:gridCol w:w="782"/>
        <w:gridCol w:w="683"/>
        <w:gridCol w:w="1031"/>
        <w:gridCol w:w="1117"/>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412"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913" w:type="dxa"/>
            <w:vAlign w:val="center"/>
          </w:tcPr>
          <w:p>
            <w:pPr>
              <w:widowControl/>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申购号</w:t>
            </w:r>
          </w:p>
        </w:tc>
        <w:tc>
          <w:tcPr>
            <w:tcW w:w="3579" w:type="dxa"/>
            <w:gridSpan w:val="5"/>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031"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经费号</w:t>
            </w:r>
          </w:p>
        </w:tc>
        <w:tc>
          <w:tcPr>
            <w:tcW w:w="3173" w:type="dxa"/>
            <w:gridSpan w:val="2"/>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136"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中文名称</w:t>
            </w:r>
          </w:p>
        </w:tc>
        <w:tc>
          <w:tcPr>
            <w:tcW w:w="5523" w:type="dxa"/>
            <w:gridSpan w:val="7"/>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Merge w:val="restart"/>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制造厂家</w:t>
            </w:r>
          </w:p>
        </w:tc>
        <w:tc>
          <w:tcPr>
            <w:tcW w:w="2056" w:type="dxa"/>
            <w:vMerge w:val="restart"/>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90"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英文名称</w:t>
            </w:r>
          </w:p>
        </w:tc>
        <w:tc>
          <w:tcPr>
            <w:tcW w:w="5523" w:type="dxa"/>
            <w:gridSpan w:val="7"/>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Merge w:val="continue"/>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p>
        </w:tc>
        <w:tc>
          <w:tcPr>
            <w:tcW w:w="2056" w:type="dxa"/>
            <w:vMerge w:val="continue"/>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品牌</w:t>
            </w:r>
          </w:p>
        </w:tc>
        <w:tc>
          <w:tcPr>
            <w:tcW w:w="2245" w:type="dxa"/>
            <w:gridSpan w:val="3"/>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型号</w:t>
            </w:r>
          </w:p>
        </w:tc>
        <w:tc>
          <w:tcPr>
            <w:tcW w:w="2496" w:type="dxa"/>
            <w:gridSpan w:val="3"/>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生产国别</w:t>
            </w:r>
          </w:p>
        </w:tc>
        <w:tc>
          <w:tcPr>
            <w:tcW w:w="2056" w:type="dxa"/>
            <w:vAlign w:val="center"/>
          </w:tcPr>
          <w:p>
            <w:pPr>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w:t>
            </w:r>
          </w:p>
        </w:tc>
        <w:tc>
          <w:tcPr>
            <w:tcW w:w="1463" w:type="dxa"/>
            <w:gridSpan w:val="2"/>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p>
        </w:tc>
        <w:tc>
          <w:tcPr>
            <w:tcW w:w="782"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单价</w:t>
            </w:r>
          </w:p>
        </w:tc>
        <w:tc>
          <w:tcPr>
            <w:tcW w:w="1714" w:type="dxa"/>
            <w:gridSpan w:val="2"/>
            <w:vAlign w:val="center"/>
          </w:tcPr>
          <w:p>
            <w:pPr>
              <w:widowControl/>
              <w:spacing w:line="440" w:lineRule="exact"/>
              <w:rPr>
                <w:rFonts w:asciiTheme="minorEastAsia" w:hAnsiTheme="minorEastAsia" w:eastAsiaTheme="minorEastAsia" w:cstheme="minorEastAsia"/>
                <w:color w:val="auto"/>
                <w:sz w:val="21"/>
                <w:szCs w:val="21"/>
                <w:highlight w:val="none"/>
              </w:rPr>
            </w:pPr>
          </w:p>
        </w:tc>
        <w:tc>
          <w:tcPr>
            <w:tcW w:w="1117" w:type="dxa"/>
            <w:vAlign w:val="center"/>
          </w:tcPr>
          <w:p>
            <w:pPr>
              <w:widowControl/>
              <w:spacing w:line="44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小计</w:t>
            </w:r>
          </w:p>
        </w:tc>
        <w:tc>
          <w:tcPr>
            <w:tcW w:w="2056" w:type="dxa"/>
            <w:vAlign w:val="center"/>
          </w:tcPr>
          <w:p>
            <w:pPr>
              <w:widowControl/>
              <w:spacing w:line="44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规格技术参数：</w:t>
            </w:r>
          </w:p>
          <w:p>
            <w:pPr>
              <w:widowControl/>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配置清单：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合同总价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vanish/>
                <w:color w:val="auto"/>
                <w:sz w:val="21"/>
                <w:szCs w:val="21"/>
                <w:highlight w:val="none"/>
                <w:u w:val="single"/>
              </w:rPr>
              <w:t>此处填写</w:t>
            </w:r>
            <w:r>
              <w:rPr>
                <w:rFonts w:hint="eastAsia" w:asciiTheme="minorEastAsia" w:hAnsiTheme="minorEastAsia" w:eastAsiaTheme="minorEastAsia" w:cstheme="minorEastAsia"/>
                <w:vanish/>
                <w:color w:val="auto"/>
                <w:sz w:val="21"/>
                <w:szCs w:val="21"/>
                <w:highlight w:val="none"/>
              </w:rPr>
              <w:t>币种</w:t>
            </w:r>
            <w:r>
              <w:rPr>
                <w:rFonts w:hint="eastAsia" w:asciiTheme="minorEastAsia" w:hAnsiTheme="minorEastAsia" w:eastAsiaTheme="minorEastAsia" w:cstheme="minorEastAsia"/>
                <w:color w:val="auto"/>
                <w:sz w:val="21"/>
                <w:szCs w:val="21"/>
                <w:highlight w:val="none"/>
              </w:rPr>
              <w:t>(大写):</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(小写:</w:t>
            </w:r>
            <w:r>
              <w:rPr>
                <w:rFonts w:hint="eastAsia" w:asciiTheme="minorEastAsia" w:hAnsiTheme="minorEastAsia" w:eastAsiaTheme="minorEastAsia" w:cstheme="minorEastAsia"/>
                <w:vanish/>
                <w:color w:val="auto"/>
                <w:sz w:val="21"/>
                <w:szCs w:val="21"/>
                <w:highlight w:val="none"/>
              </w:rPr>
              <w:t>币种符号+数字</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widowControl/>
              <w:spacing w:line="288"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除1.2价格条件约定外，合同总价已包含但不限于货物、包装、运输、装卸、安装、调试、培训、验收（试剂耗材消耗）、免费保修期内的售后服务、强制性第三方监督检验机构的验收检验及技术资料等费用。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spacing w:line="288" w:lineRule="auto"/>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color w:val="auto"/>
                <w:sz w:val="21"/>
                <w:szCs w:val="21"/>
                <w:highlight w:val="none"/>
              </w:rPr>
              <w:t>备注:采购内容与本合同各项文件发生抵触的，按本合同第</w:t>
            </w:r>
            <w:r>
              <w:rPr>
                <w:rFonts w:hint="eastAsia" w:asciiTheme="minorEastAsia" w:hAnsiTheme="minorEastAsia" w:eastAsiaTheme="minorEastAsia" w:cstheme="minorEastAsia"/>
                <w:b/>
                <w:bCs/>
                <w:color w:val="auto"/>
                <w:sz w:val="21"/>
                <w:szCs w:val="21"/>
                <w:highlight w:val="none"/>
              </w:rPr>
              <w:t>8.1</w:t>
            </w:r>
            <w:r>
              <w:rPr>
                <w:rFonts w:hint="eastAsia" w:asciiTheme="minorEastAsia" w:hAnsiTheme="minorEastAsia" w:eastAsiaTheme="minorEastAsia" w:cstheme="minorEastAsia"/>
                <w:color w:val="auto"/>
                <w:sz w:val="21"/>
                <w:szCs w:val="21"/>
                <w:highlight w:val="none"/>
              </w:rPr>
              <w:t>条执行。</w:t>
            </w:r>
          </w:p>
        </w:tc>
      </w:tr>
    </w:tbl>
    <w:p>
      <w:pPr>
        <w:widowControl/>
        <w:spacing w:line="288" w:lineRule="auto"/>
        <w:ind w:firstLine="567"/>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1.2价格条件：</w:t>
      </w:r>
      <w:r>
        <w:rPr>
          <w:rFonts w:hint="eastAsia" w:asciiTheme="minorEastAsia" w:hAnsiTheme="minorEastAsia" w:eastAsiaTheme="minorEastAsia" w:cstheme="minorEastAsia"/>
          <w:color w:val="auto"/>
          <w:sz w:val="21"/>
          <w:szCs w:val="21"/>
          <w:highlight w:val="none"/>
          <w:u w:val="single"/>
        </w:rPr>
        <w:t>DDP、DAP、DAT、CIP等</w:t>
      </w:r>
      <w:r>
        <w:rPr>
          <w:rFonts w:hint="eastAsia" w:asciiTheme="minorEastAsia" w:hAnsiTheme="minorEastAsia" w:eastAsiaTheme="minorEastAsia" w:cstheme="minorEastAsia"/>
          <w:color w:val="auto"/>
          <w:sz w:val="21"/>
          <w:szCs w:val="21"/>
          <w:highlight w:val="none"/>
        </w:rPr>
        <w:t>西南大学项目现场。</w:t>
      </w:r>
    </w:p>
    <w:p>
      <w:pPr>
        <w:widowControl/>
        <w:spacing w:line="288" w:lineRule="auto"/>
        <w:ind w:firstLine="567"/>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vanish/>
          <w:color w:val="auto"/>
          <w:sz w:val="21"/>
          <w:szCs w:val="21"/>
          <w:highlight w:val="none"/>
        </w:rPr>
        <w:t>（此条款根据投标或投标文件承诺内容填写。）</w:t>
      </w:r>
    </w:p>
    <w:p>
      <w:pPr>
        <w:tabs>
          <w:tab w:val="left" w:pos="8100"/>
          <w:tab w:val="left" w:pos="8280"/>
        </w:tabs>
        <w:spacing w:line="400" w:lineRule="exact"/>
        <w:ind w:firstLine="491" w:firstLineChars="233"/>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1.3 外贸代理</w:t>
      </w:r>
    </w:p>
    <w:p>
      <w:pPr>
        <w:tabs>
          <w:tab w:val="left" w:pos="8100"/>
          <w:tab w:val="left" w:pos="8280"/>
        </w:tabs>
        <w:spacing w:line="400" w:lineRule="exact"/>
        <w:ind w:firstLine="489" w:firstLineChars="233"/>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1.3.1需方委托经需方招标的</w:t>
      </w:r>
      <w:r>
        <w:rPr>
          <w:rFonts w:hint="eastAsia" w:asciiTheme="minorEastAsia" w:hAnsiTheme="minorEastAsia" w:eastAsiaTheme="minorEastAsia" w:cstheme="minorEastAsia"/>
          <w:b/>
          <w:color w:val="auto"/>
          <w:sz w:val="21"/>
          <w:szCs w:val="21"/>
          <w:highlight w:val="none"/>
        </w:rPr>
        <w:t>外贸代理公司（以下简称外贸合同买方）</w:t>
      </w:r>
      <w:r>
        <w:rPr>
          <w:rFonts w:hint="eastAsia" w:asciiTheme="minorEastAsia" w:hAnsiTheme="minorEastAsia" w:eastAsiaTheme="minorEastAsia" w:cstheme="minorEastAsia"/>
          <w:bCs/>
          <w:color w:val="auto"/>
          <w:sz w:val="21"/>
          <w:szCs w:val="21"/>
          <w:highlight w:val="none"/>
        </w:rPr>
        <w:t>签订外贸合同，供方委托</w:t>
      </w:r>
      <w:r>
        <w:rPr>
          <w:rFonts w:hint="eastAsia" w:asciiTheme="minorEastAsia" w:hAnsiTheme="minorEastAsia" w:eastAsiaTheme="minorEastAsia" w:cstheme="minorEastAsia"/>
          <w:b/>
          <w:color w:val="auto"/>
          <w:sz w:val="21"/>
          <w:szCs w:val="21"/>
          <w:highlight w:val="none"/>
        </w:rPr>
        <w:t>其指定的外贸代理公司（以下简称外贸合同卖方）</w:t>
      </w:r>
      <w:r>
        <w:rPr>
          <w:rFonts w:hint="eastAsia" w:asciiTheme="minorEastAsia" w:hAnsiTheme="minorEastAsia" w:eastAsiaTheme="minorEastAsia" w:cstheme="minorEastAsia"/>
          <w:bCs/>
          <w:color w:val="auto"/>
          <w:sz w:val="21"/>
          <w:szCs w:val="21"/>
          <w:highlight w:val="none"/>
        </w:rPr>
        <w:t>签订外贸合同。若</w:t>
      </w:r>
      <w:r>
        <w:rPr>
          <w:rFonts w:hint="eastAsia" w:asciiTheme="minorEastAsia" w:hAnsiTheme="minorEastAsia" w:eastAsiaTheme="minorEastAsia" w:cstheme="minorEastAsia"/>
          <w:b/>
          <w:color w:val="auto"/>
          <w:sz w:val="21"/>
          <w:szCs w:val="21"/>
          <w:highlight w:val="none"/>
        </w:rPr>
        <w:t>外贸合同卖方</w:t>
      </w:r>
      <w:r>
        <w:rPr>
          <w:rFonts w:hint="eastAsia" w:asciiTheme="minorEastAsia" w:hAnsiTheme="minorEastAsia" w:eastAsiaTheme="minorEastAsia" w:cstheme="minorEastAsia"/>
          <w:bCs/>
          <w:color w:val="auto"/>
          <w:sz w:val="21"/>
          <w:szCs w:val="21"/>
          <w:highlight w:val="none"/>
        </w:rPr>
        <w:t>在外贸合同执行中给需方及外贸合同买方造成任何经济及名誉损失，均由供方承担。</w:t>
      </w:r>
    </w:p>
    <w:p>
      <w:pPr>
        <w:tabs>
          <w:tab w:val="left" w:pos="8100"/>
          <w:tab w:val="left" w:pos="8280"/>
        </w:tabs>
        <w:spacing w:line="400" w:lineRule="exact"/>
        <w:ind w:firstLine="489" w:firstLineChars="233"/>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1.3.2需方委托</w:t>
      </w:r>
      <w:r>
        <w:rPr>
          <w:rFonts w:hint="eastAsia" w:asciiTheme="minorEastAsia" w:hAnsiTheme="minorEastAsia" w:eastAsiaTheme="minorEastAsia" w:cstheme="minorEastAsia"/>
          <w:b/>
          <w:color w:val="auto"/>
          <w:sz w:val="21"/>
          <w:szCs w:val="21"/>
          <w:highlight w:val="none"/>
        </w:rPr>
        <w:t>外贸合同买方</w:t>
      </w:r>
      <w:r>
        <w:rPr>
          <w:rFonts w:hint="eastAsia" w:asciiTheme="minorEastAsia" w:hAnsiTheme="minorEastAsia" w:eastAsiaTheme="minorEastAsia" w:cstheme="minorEastAsia"/>
          <w:bCs/>
          <w:color w:val="auto"/>
          <w:sz w:val="21"/>
          <w:szCs w:val="21"/>
          <w:highlight w:val="none"/>
        </w:rPr>
        <w:t>办理中国境内的货物进口批文、免税手续并代理进口业务。</w:t>
      </w:r>
    </w:p>
    <w:p>
      <w:pPr>
        <w:tabs>
          <w:tab w:val="left" w:pos="8100"/>
          <w:tab w:val="left" w:pos="8280"/>
        </w:tabs>
        <w:spacing w:line="400" w:lineRule="exact"/>
        <w:ind w:firstLine="495" w:firstLineChars="236"/>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1.3.3进口代理费由（□供方 □需方）支付。</w:t>
      </w:r>
    </w:p>
    <w:p>
      <w:pPr>
        <w:tabs>
          <w:tab w:val="left" w:pos="8100"/>
          <w:tab w:val="left" w:pos="8280"/>
        </w:tabs>
        <w:spacing w:line="400" w:lineRule="exact"/>
        <w:ind w:firstLine="495" w:firstLineChars="236"/>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供方外贸业务联系人：</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，电话：</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w:t>
      </w:r>
    </w:p>
    <w:p>
      <w:pPr>
        <w:spacing w:before="120" w:beforeLines="50" w:line="288" w:lineRule="auto"/>
        <w:ind w:firstLine="489" w:firstLineChars="23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1.4付款方式</w:t>
      </w:r>
      <w:r>
        <w:rPr>
          <w:rFonts w:hint="eastAsia" w:asciiTheme="minorEastAsia" w:hAnsiTheme="minorEastAsia" w:eastAsiaTheme="minorEastAsia" w:cstheme="minorEastAsia"/>
          <w:vanish/>
          <w:color w:val="auto"/>
          <w:sz w:val="21"/>
          <w:szCs w:val="21"/>
          <w:highlight w:val="none"/>
        </w:rPr>
        <w:t>（此条款根据投标或投标文件承诺内容填写）</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1.4.2 需方银行账号信息：</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开户名称：</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西南大学</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银行账号：</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3100028109024968877</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工行重庆朝阳支行</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统一社会信用代码：</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12100000450401733W</w:t>
      </w:r>
    </w:p>
    <w:p>
      <w:pPr>
        <w:spacing w:line="288" w:lineRule="auto"/>
        <w:ind w:firstLine="424" w:firstLineChars="20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银行行号：</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102653000474</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注册地址：</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重庆市北碚区天生路2号</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1.5包装</w:t>
      </w:r>
      <w:r>
        <w:rPr>
          <w:rFonts w:hint="eastAsia" w:asciiTheme="minorEastAsia" w:hAnsiTheme="minorEastAsia" w:eastAsiaTheme="minorEastAsia" w:cstheme="minorEastAsia"/>
          <w:color w:val="auto"/>
          <w:sz w:val="21"/>
          <w:szCs w:val="21"/>
          <w:highlight w:val="none"/>
        </w:rPr>
        <w:t>：供方须按进口通用标准包装全部货物，保证货物的包装符合整个运输过程的要求。由于包装不良所发生的损失，或由于采用不充分或不妥善的防护措施而造成的任何损害，乙方应负担由此产生的费用和损失。</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1.6到货时间</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u w:val="single"/>
        </w:rPr>
        <w:t>L/C</w:t>
      </w:r>
      <w:r>
        <w:rPr>
          <w:rFonts w:hint="eastAsia" w:asciiTheme="minorEastAsia" w:hAnsiTheme="minorEastAsia" w:eastAsiaTheme="minorEastAsia" w:cstheme="minorEastAsia"/>
          <w:color w:val="auto"/>
          <w:sz w:val="21"/>
          <w:szCs w:val="21"/>
          <w:highlight w:val="none"/>
        </w:rPr>
        <w:t xml:space="preserve">开出后 </w:t>
      </w:r>
      <w:r>
        <w:rPr>
          <w:rFonts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日内到货。供方应当提前三日通知需方用户单位准备接收货物。</w:t>
      </w:r>
    </w:p>
    <w:p>
      <w:pPr>
        <w:spacing w:line="288" w:lineRule="auto"/>
        <w:ind w:firstLine="489" w:firstLineChars="233"/>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1.7</w:t>
      </w:r>
      <w:r>
        <w:rPr>
          <w:rFonts w:hint="eastAsia" w:asciiTheme="minorEastAsia" w:hAnsiTheme="minorEastAsia" w:eastAsiaTheme="minorEastAsia" w:cstheme="minorEastAsia"/>
          <w:b/>
          <w:color w:val="auto"/>
          <w:sz w:val="21"/>
          <w:szCs w:val="21"/>
          <w:highlight w:val="none"/>
        </w:rPr>
        <w:t>到货地点：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1.8质量要求</w:t>
      </w:r>
      <w:r>
        <w:rPr>
          <w:rFonts w:hint="eastAsia" w:asciiTheme="minorEastAsia" w:hAnsiTheme="minorEastAsia" w:eastAsiaTheme="minorEastAsia" w:cstheme="minorEastAsia"/>
          <w:color w:val="auto"/>
          <w:sz w:val="21"/>
          <w:szCs w:val="21"/>
          <w:highlight w:val="none"/>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1.9知识产权：</w:t>
      </w:r>
      <w:r>
        <w:rPr>
          <w:rFonts w:hint="eastAsia" w:asciiTheme="minorEastAsia" w:hAnsiTheme="minorEastAsia" w:eastAsiaTheme="minorEastAsia" w:cstheme="minorEastAsia"/>
          <w:color w:val="auto"/>
          <w:sz w:val="21"/>
          <w:szCs w:val="21"/>
          <w:highlight w:val="none"/>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pPr>
        <w:spacing w:line="288" w:lineRule="auto"/>
        <w:ind w:firstLine="489"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1.10技术资料</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1.10.1</w:t>
      </w:r>
      <w:r>
        <w:rPr>
          <w:rFonts w:hint="eastAsia" w:asciiTheme="minorEastAsia" w:hAnsiTheme="minorEastAsia" w:eastAsiaTheme="minorEastAsia" w:cstheme="minorEastAsia"/>
          <w:color w:val="auto"/>
          <w:sz w:val="21"/>
          <w:szCs w:val="21"/>
          <w:highlight w:val="none"/>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1.10.2</w:t>
      </w:r>
      <w:r>
        <w:rPr>
          <w:rFonts w:hint="eastAsia" w:asciiTheme="minorEastAsia" w:hAnsiTheme="minorEastAsia" w:eastAsiaTheme="minorEastAsia" w:cstheme="minorEastAsia"/>
          <w:color w:val="auto"/>
          <w:sz w:val="21"/>
          <w:szCs w:val="21"/>
          <w:highlight w:val="none"/>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1.10.3</w:t>
      </w:r>
      <w:r>
        <w:rPr>
          <w:rFonts w:hint="eastAsia" w:asciiTheme="minorEastAsia" w:hAnsiTheme="minorEastAsia" w:eastAsiaTheme="minorEastAsia" w:cstheme="minorEastAsia"/>
          <w:color w:val="auto"/>
          <w:sz w:val="21"/>
          <w:szCs w:val="21"/>
          <w:highlight w:val="none"/>
        </w:rPr>
        <w:t>供方在交货时，应随货交付下列相关的技术资料及物品：</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1)原产地证明；</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2)使用说明书、设备操作及维护手册；</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3)由制造商签发的质量证明书；</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4)送货清单，易损件、备品备件清单（含易损件、备件的名称、规格、型号、数量、成本价、产地等）。</w:t>
      </w:r>
    </w:p>
    <w:p>
      <w:pPr>
        <w:spacing w:line="288" w:lineRule="auto"/>
        <w:ind w:firstLine="491" w:firstLineChars="233"/>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5)生产厂商售后服务承诺书、保修协议、保修卡等售后服务资料。</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1.10.4</w:t>
      </w:r>
      <w:r>
        <w:rPr>
          <w:rFonts w:hint="eastAsia" w:asciiTheme="minorEastAsia" w:hAnsiTheme="minorEastAsia" w:eastAsiaTheme="minorEastAsia" w:cstheme="minorEastAsia"/>
          <w:color w:val="auto"/>
          <w:sz w:val="21"/>
          <w:szCs w:val="21"/>
          <w:highlight w:val="none"/>
        </w:rPr>
        <w:t xml:space="preserve">  1.10.3所列技术资料及物品作为需方所购产品不可或缺的一部分，供方应使用标准包装袋装好免费提供给需方。若供方没有按时将合同约定的资料提供给需方，需方有权拒绝接收货物。</w:t>
      </w:r>
    </w:p>
    <w:p>
      <w:pPr>
        <w:spacing w:line="288" w:lineRule="auto"/>
        <w:ind w:firstLine="491"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二、货物开箱、安装调试、培训与验收</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2.1货物抵达需方用户单位指定地点后，由供方与需方或需方用户单位于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5</w:t>
      </w:r>
      <w:r>
        <w:rPr>
          <w:rFonts w:hint="eastAsia" w:asciiTheme="minorEastAsia" w:hAnsiTheme="minorEastAsia" w:eastAsiaTheme="minorEastAsia" w:cstheme="minorEastAsia"/>
          <w:color w:val="auto"/>
          <w:sz w:val="21"/>
          <w:szCs w:val="21"/>
          <w:highlight w:val="none"/>
        </w:rPr>
        <w:t>个工作日内共同开箱，并填写开箱记录。在开箱验收中如发现货物不符合合同约定，需方有权拒绝接收货物、要求换货、退货、补货或解除合同。</w:t>
      </w:r>
    </w:p>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需方指定收货人：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，电话: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2.2开箱后</w:t>
      </w:r>
      <w:r>
        <w:rPr>
          <w:rFonts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个工作日内供方完成安装调试。合同货物的安装、调试由供方负责，需方给予协调配合。</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2.3在安装调试完成后</w:t>
      </w:r>
      <w:r>
        <w:rPr>
          <w:rFonts w:hint="eastAsia" w:asciiTheme="minorEastAsia" w:hAnsiTheme="minorEastAsia" w:eastAsiaTheme="minorEastAsia" w:cstheme="minorEastAsia"/>
          <w:b/>
          <w:bCs/>
          <w:color w:val="auto"/>
          <w:sz w:val="21"/>
          <w:szCs w:val="21"/>
          <w:highlight w:val="none"/>
          <w:u w:val="single"/>
        </w:rPr>
        <w:t>10</w:t>
      </w:r>
      <w:r>
        <w:rPr>
          <w:rFonts w:hint="eastAsia" w:asciiTheme="minorEastAsia" w:hAnsiTheme="minorEastAsia" w:eastAsiaTheme="minorEastAsia" w:cstheme="minorEastAsia"/>
          <w:color w:val="auto"/>
          <w:sz w:val="21"/>
          <w:szCs w:val="21"/>
          <w:highlight w:val="none"/>
        </w:rPr>
        <w:t>日内，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2.4在合同约定的全部货物、相关技术资料及物品到齐（包括试剂耗材），供方安装、调试合格且完成培训后,供方向需方提出验收申请，需方受理申请且资料完整后</w:t>
      </w:r>
      <w:r>
        <w:rPr>
          <w:rFonts w:hint="eastAsia" w:asciiTheme="minorEastAsia" w:hAnsiTheme="minorEastAsia" w:eastAsiaTheme="minorEastAsia" w:cstheme="minorEastAsia"/>
          <w:b/>
          <w:bCs/>
          <w:color w:val="auto"/>
          <w:sz w:val="21"/>
          <w:szCs w:val="21"/>
          <w:highlight w:val="none"/>
          <w:u w:val="single"/>
        </w:rPr>
        <w:t xml:space="preserve"> 15 </w:t>
      </w:r>
      <w:r>
        <w:rPr>
          <w:rFonts w:hint="eastAsia" w:asciiTheme="minorEastAsia" w:hAnsiTheme="minorEastAsia" w:eastAsiaTheme="minorEastAsia" w:cstheme="minorEastAsia"/>
          <w:color w:val="auto"/>
          <w:sz w:val="21"/>
          <w:szCs w:val="21"/>
          <w:highlight w:val="none"/>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pPr>
        <w:spacing w:line="288" w:lineRule="auto"/>
        <w:ind w:firstLine="491"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*三、售后服务及维修</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3.1</w:t>
      </w:r>
      <w:r>
        <w:rPr>
          <w:rFonts w:hint="eastAsia" w:asciiTheme="minorEastAsia" w:hAnsiTheme="minorEastAsia" w:eastAsiaTheme="minorEastAsia" w:cstheme="minorEastAsia"/>
          <w:color w:val="auto"/>
          <w:sz w:val="21"/>
          <w:szCs w:val="21"/>
          <w:highlight w:val="none"/>
        </w:rPr>
        <w:t>由供方承担售后服务及维修。</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，联系电话：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3.2保修期限：供方承诺本合同项下货物自验收合格之日起，由供方提供</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年免费保修服务。若保修期内出现故障，故障件的质保期从故障排除之日起重新起计；故障时间累计超过</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rPr>
        <w:t xml:space="preserve">壹 </w:t>
      </w:r>
      <w:r>
        <w:rPr>
          <w:rFonts w:hint="eastAsia" w:asciiTheme="minorEastAsia" w:hAnsiTheme="minorEastAsia" w:eastAsiaTheme="minorEastAsia" w:cstheme="minorEastAsia"/>
          <w:color w:val="auto"/>
          <w:sz w:val="21"/>
          <w:szCs w:val="21"/>
          <w:highlight w:val="none"/>
        </w:rPr>
        <w:t>个月，整机保修期顺延</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rPr>
        <w:t xml:space="preserve">叁 </w:t>
      </w:r>
      <w:r>
        <w:rPr>
          <w:rFonts w:hint="eastAsia" w:asciiTheme="minorEastAsia" w:hAnsiTheme="minorEastAsia" w:eastAsiaTheme="minorEastAsia" w:cstheme="minorEastAsia"/>
          <w:color w:val="auto"/>
          <w:sz w:val="21"/>
          <w:szCs w:val="21"/>
          <w:highlight w:val="none"/>
        </w:rPr>
        <w:t>个月。</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3.3保修期内，供方接到维修通知，供方人员应于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小时内到达现场处理，如货物在检修</w:t>
      </w:r>
      <w:r>
        <w:rPr>
          <w:rFonts w:hint="eastAsia" w:asciiTheme="minorEastAsia" w:hAnsiTheme="minorEastAsia" w:eastAsiaTheme="minorEastAsia" w:cstheme="minorEastAsia"/>
          <w:b/>
          <w:bCs/>
          <w:color w:val="auto"/>
          <w:sz w:val="21"/>
          <w:szCs w:val="21"/>
          <w:highlight w:val="none"/>
          <w:u w:val="single"/>
        </w:rPr>
        <w:t xml:space="preserve"> 8 </w:t>
      </w:r>
      <w:r>
        <w:rPr>
          <w:rFonts w:hint="eastAsia" w:asciiTheme="minorEastAsia" w:hAnsiTheme="minorEastAsia" w:eastAsiaTheme="minorEastAsia" w:cstheme="minorEastAsia"/>
          <w:color w:val="auto"/>
          <w:sz w:val="21"/>
          <w:szCs w:val="21"/>
          <w:highlight w:val="none"/>
        </w:rPr>
        <w:t>小时后故障仍无法排除，供方应在最短</w:t>
      </w:r>
      <w:r>
        <w:rPr>
          <w:rFonts w:hint="eastAsia" w:asciiTheme="minorEastAsia" w:hAnsiTheme="minorEastAsia" w:eastAsiaTheme="minorEastAsia" w:cstheme="minorEastAsia"/>
          <w:b/>
          <w:bCs/>
          <w:color w:val="auto"/>
          <w:sz w:val="21"/>
          <w:szCs w:val="21"/>
          <w:highlight w:val="none"/>
          <w:u w:val="single"/>
        </w:rPr>
        <w:t xml:space="preserve"> 72 </w:t>
      </w:r>
      <w:r>
        <w:rPr>
          <w:rFonts w:hint="eastAsia" w:asciiTheme="minorEastAsia" w:hAnsiTheme="minorEastAsia" w:eastAsiaTheme="minorEastAsia" w:cstheme="minorEastAsia"/>
          <w:color w:val="auto"/>
          <w:sz w:val="21"/>
          <w:szCs w:val="21"/>
          <w:highlight w:val="none"/>
        </w:rPr>
        <w:t>小时内更换零配件，修复故障货物。若</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小时不能到达现场，视为供方拒绝维修，需方可自行联系维修并由供方承担所有维修费用和承担带来的扩大损失。</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3.4所有货物保修服务方式均为供方派员到用户货物使用现场进行保修，保修期内产生的一切费用均由</w:t>
      </w:r>
      <w:r>
        <w:rPr>
          <w:rFonts w:hint="eastAsia" w:asciiTheme="minorEastAsia" w:hAnsiTheme="minorEastAsia" w:eastAsiaTheme="minorEastAsia" w:cstheme="minorEastAsia"/>
          <w:bCs/>
          <w:color w:val="auto"/>
          <w:sz w:val="21"/>
          <w:szCs w:val="21"/>
          <w:highlight w:val="none"/>
        </w:rPr>
        <w:t>供方</w:t>
      </w:r>
      <w:r>
        <w:rPr>
          <w:rFonts w:hint="eastAsia" w:asciiTheme="minorEastAsia" w:hAnsiTheme="minorEastAsia" w:eastAsiaTheme="minorEastAsia" w:cstheme="minorEastAsia"/>
          <w:color w:val="auto"/>
          <w:sz w:val="21"/>
          <w:szCs w:val="21"/>
          <w:highlight w:val="none"/>
        </w:rPr>
        <w:t>承担。</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3.5质保期内货物不能及时维修时，供方应向需方提供相同的货物，以保证需方的正常使用。</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pPr>
        <w:spacing w:line="288" w:lineRule="auto"/>
        <w:ind w:firstLine="489"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四、违约与索赔条款</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4.2供方逾期交付货物或随货相关的技术资料及物品的，则每逾期一天，按合同总额的</w:t>
      </w: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b/>
          <w:bCs/>
          <w:color w:val="auto"/>
          <w:sz w:val="21"/>
          <w:szCs w:val="21"/>
          <w:highlight w:val="none"/>
          <w:u w:val="single"/>
        </w:rPr>
        <w:t xml:space="preserve">3‰ </w:t>
      </w:r>
      <w:r>
        <w:rPr>
          <w:rFonts w:hint="eastAsia" w:asciiTheme="minorEastAsia" w:hAnsiTheme="minorEastAsia" w:eastAsiaTheme="minorEastAsia" w:cstheme="minorEastAsia"/>
          <w:color w:val="auto"/>
          <w:sz w:val="21"/>
          <w:szCs w:val="21"/>
          <w:highlight w:val="none"/>
        </w:rPr>
        <w:t xml:space="preserve">向需方支付违约金，违约金累计不超过合同总价的 </w:t>
      </w:r>
      <w:r>
        <w:rPr>
          <w:rFonts w:hint="eastAsia" w:asciiTheme="minorEastAsia" w:hAnsiTheme="minorEastAsia" w:eastAsiaTheme="minorEastAsia" w:cstheme="minorEastAsia"/>
          <w:b/>
          <w:bCs/>
          <w:color w:val="auto"/>
          <w:sz w:val="21"/>
          <w:szCs w:val="21"/>
          <w:highlight w:val="none"/>
          <w:u w:val="single"/>
        </w:rPr>
        <w:t xml:space="preserve">10% </w:t>
      </w:r>
      <w:r>
        <w:rPr>
          <w:rFonts w:hint="eastAsia" w:asciiTheme="minorEastAsia" w:hAnsiTheme="minorEastAsia" w:eastAsiaTheme="minorEastAsia" w:cstheme="minorEastAsia"/>
          <w:color w:val="auto"/>
          <w:sz w:val="21"/>
          <w:szCs w:val="21"/>
          <w:highlight w:val="none"/>
        </w:rPr>
        <w:t xml:space="preserve">，并承担因此给需方造成的实际损失。逾期交付超过 </w:t>
      </w:r>
      <w:r>
        <w:rPr>
          <w:rFonts w:hint="eastAsia" w:asciiTheme="minorEastAsia" w:hAnsiTheme="minorEastAsia" w:eastAsiaTheme="minorEastAsia" w:cstheme="minorEastAsia"/>
          <w:b/>
          <w:bCs/>
          <w:color w:val="auto"/>
          <w:sz w:val="21"/>
          <w:szCs w:val="21"/>
          <w:highlight w:val="none"/>
          <w:u w:val="single"/>
        </w:rPr>
        <w:t>30</w:t>
      </w:r>
      <w:r>
        <w:rPr>
          <w:rFonts w:hint="eastAsia" w:asciiTheme="minorEastAsia" w:hAnsiTheme="minorEastAsia" w:eastAsiaTheme="minorEastAsia" w:cstheme="minorEastAsia"/>
          <w:color w:val="auto"/>
          <w:sz w:val="21"/>
          <w:szCs w:val="21"/>
          <w:highlight w:val="none"/>
        </w:rPr>
        <w:t xml:space="preserve"> 日的，需方有权单方解除合同，并要求供方支付合同总金额 </w:t>
      </w:r>
      <w:r>
        <w:rPr>
          <w:rFonts w:hint="eastAsia" w:asciiTheme="minorEastAsia" w:hAnsiTheme="minorEastAsia" w:eastAsiaTheme="minorEastAsia" w:cstheme="minorEastAsia"/>
          <w:b/>
          <w:bCs/>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 xml:space="preserve"> 的违约金。</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hint="eastAsia" w:asciiTheme="minorEastAsia" w:hAnsiTheme="minorEastAsia" w:eastAsiaTheme="minorEastAsia" w:cstheme="minorEastAsia"/>
          <w:b/>
          <w:bCs/>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 xml:space="preserve"> 的违约金给需方，如需方选择退货，则供方支付退货货物金额 </w:t>
      </w:r>
      <w:r>
        <w:rPr>
          <w:rFonts w:hint="eastAsia" w:asciiTheme="minorEastAsia" w:hAnsiTheme="minorEastAsia" w:eastAsiaTheme="minorEastAsia" w:cstheme="minorEastAsia"/>
          <w:b/>
          <w:bCs/>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 xml:space="preserve"> 的违约金给需方，供方在</w:t>
      </w:r>
      <w:r>
        <w:rPr>
          <w:rFonts w:hint="eastAsia" w:asciiTheme="minorEastAsia" w:hAnsiTheme="minorEastAsia" w:eastAsiaTheme="minorEastAsia" w:cstheme="minorEastAsia"/>
          <w:b/>
          <w:bCs/>
          <w:color w:val="auto"/>
          <w:sz w:val="21"/>
          <w:szCs w:val="21"/>
          <w:highlight w:val="none"/>
          <w:u w:val="single"/>
        </w:rPr>
        <w:t>15</w:t>
      </w:r>
      <w:r>
        <w:rPr>
          <w:rFonts w:hint="eastAsia" w:asciiTheme="minorEastAsia" w:hAnsiTheme="minorEastAsia" w:eastAsiaTheme="minorEastAsia" w:cstheme="minorEastAsia"/>
          <w:color w:val="auto"/>
          <w:sz w:val="21"/>
          <w:szCs w:val="21"/>
          <w:highlight w:val="none"/>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hint="eastAsia" w:asciiTheme="minorEastAsia" w:hAnsiTheme="minorEastAsia" w:eastAsiaTheme="minorEastAsia" w:cstheme="minorEastAsia"/>
          <w:b/>
          <w:bCs/>
          <w:color w:val="auto"/>
          <w:sz w:val="21"/>
          <w:szCs w:val="21"/>
          <w:highlight w:val="none"/>
          <w:u w:val="single"/>
        </w:rPr>
        <w:t>5%</w:t>
      </w:r>
      <w:r>
        <w:rPr>
          <w:rFonts w:hint="eastAsia" w:asciiTheme="minorEastAsia" w:hAnsiTheme="minorEastAsia" w:eastAsiaTheme="minorEastAsia" w:cstheme="minorEastAsia"/>
          <w:color w:val="auto"/>
          <w:sz w:val="21"/>
          <w:szCs w:val="21"/>
          <w:highlight w:val="none"/>
        </w:rPr>
        <w:t xml:space="preserve"> 的违约金给需方，然后需方选择折价的，由双方共同协商定价，供方应在重新定价后</w:t>
      </w:r>
      <w:r>
        <w:rPr>
          <w:rFonts w:hint="eastAsia" w:asciiTheme="minorEastAsia" w:hAnsiTheme="minorEastAsia" w:eastAsiaTheme="minorEastAsia" w:cstheme="minorEastAsia"/>
          <w:b/>
          <w:bCs/>
          <w:color w:val="auto"/>
          <w:sz w:val="21"/>
          <w:szCs w:val="21"/>
          <w:highlight w:val="none"/>
          <w:u w:val="single"/>
        </w:rPr>
        <w:t>10</w:t>
      </w:r>
      <w:r>
        <w:rPr>
          <w:rFonts w:hint="eastAsia" w:asciiTheme="minorEastAsia" w:hAnsiTheme="minorEastAsia" w:eastAsiaTheme="minorEastAsia" w:cstheme="minorEastAsia"/>
          <w:color w:val="auto"/>
          <w:sz w:val="21"/>
          <w:szCs w:val="21"/>
          <w:highlight w:val="none"/>
        </w:rPr>
        <w:t>日内退还需方货物差价，需方选择补货、换货、提供符合合同约定的相关的技术资料及物品的，供方在</w:t>
      </w:r>
      <w:r>
        <w:rPr>
          <w:rFonts w:hint="eastAsia" w:asciiTheme="minorEastAsia" w:hAnsiTheme="minorEastAsia" w:eastAsiaTheme="minorEastAsia" w:cstheme="minorEastAsia"/>
          <w:b/>
          <w:bCs/>
          <w:color w:val="auto"/>
          <w:sz w:val="21"/>
          <w:szCs w:val="21"/>
          <w:highlight w:val="none"/>
          <w:u w:val="single"/>
        </w:rPr>
        <w:t xml:space="preserve"> 40 </w:t>
      </w:r>
      <w:r>
        <w:rPr>
          <w:rFonts w:hint="eastAsia" w:asciiTheme="minorEastAsia" w:hAnsiTheme="minorEastAsia" w:eastAsiaTheme="minorEastAsia" w:cstheme="minorEastAsia"/>
          <w:color w:val="auto"/>
          <w:sz w:val="21"/>
          <w:szCs w:val="21"/>
          <w:highlight w:val="none"/>
        </w:rPr>
        <w:t>日内重新换货或补充提供符合合同约定的货物，未能提供的，按</w:t>
      </w:r>
      <w:r>
        <w:rPr>
          <w:rFonts w:hint="eastAsia" w:asciiTheme="minorEastAsia" w:hAnsiTheme="minorEastAsia" w:eastAsiaTheme="minorEastAsia" w:cstheme="minorEastAsia"/>
          <w:b/>
          <w:color w:val="auto"/>
          <w:sz w:val="21"/>
          <w:szCs w:val="21"/>
          <w:highlight w:val="none"/>
        </w:rPr>
        <w:t>4.2</w:t>
      </w:r>
      <w:r>
        <w:rPr>
          <w:rFonts w:hint="eastAsia" w:asciiTheme="minorEastAsia" w:hAnsiTheme="minorEastAsia" w:eastAsiaTheme="minorEastAsia" w:cstheme="minorEastAsia"/>
          <w:color w:val="auto"/>
          <w:sz w:val="21"/>
          <w:szCs w:val="21"/>
          <w:highlight w:val="none"/>
        </w:rPr>
        <w:t>约定的违约责任处理，需方给予的宽限期内不免除供方逾期交货或随货物品的违约责任。</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4.4凡因供方原因造成解除合同的，需方已支付的费用由供方返还。</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4.5若供方未按本合同的约定提供保修服务或在货物发生故障后</w:t>
      </w:r>
      <w:r>
        <w:rPr>
          <w:rFonts w:hint="eastAsia" w:asciiTheme="minorEastAsia" w:hAnsiTheme="minorEastAsia" w:eastAsiaTheme="minorEastAsia" w:cstheme="minorEastAsia"/>
          <w:b/>
          <w:bCs/>
          <w:color w:val="auto"/>
          <w:sz w:val="21"/>
          <w:szCs w:val="21"/>
          <w:highlight w:val="none"/>
          <w:u w:val="single"/>
        </w:rPr>
        <w:t xml:space="preserve"> 30 </w:t>
      </w:r>
      <w:r>
        <w:rPr>
          <w:rFonts w:hint="eastAsia" w:asciiTheme="minorEastAsia" w:hAnsiTheme="minorEastAsia" w:eastAsiaTheme="minorEastAsia" w:cstheme="minorEastAsia"/>
          <w:color w:val="auto"/>
          <w:sz w:val="21"/>
          <w:szCs w:val="21"/>
          <w:highlight w:val="none"/>
        </w:rPr>
        <w:t>日内无法修复货物使之正常运行的，需方有权要求供方按本合同约定价格全额退还损坏货物的货款，如因此造成需方损失的，供方应承担赔偿责任。</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4.6因货物质量问题造成需方或者任何第三人伤亡或财产损失的，由供方承担全部赔偿责任，需方先行垫付费用的，有权向供方追偿。</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hint="eastAsia" w:asciiTheme="minorEastAsia" w:hAnsiTheme="minorEastAsia" w:eastAsiaTheme="minorEastAsia" w:cstheme="minorEastAsia"/>
          <w:b/>
          <w:color w:val="auto"/>
          <w:sz w:val="21"/>
          <w:szCs w:val="21"/>
          <w:highlight w:val="none"/>
          <w:u w:val="single"/>
        </w:rPr>
        <w:t>20%</w:t>
      </w:r>
      <w:r>
        <w:rPr>
          <w:rFonts w:hint="eastAsia" w:asciiTheme="minorEastAsia" w:hAnsiTheme="minorEastAsia" w:eastAsiaTheme="minorEastAsia" w:cstheme="minorEastAsia"/>
          <w:color w:val="auto"/>
          <w:sz w:val="21"/>
          <w:szCs w:val="21"/>
          <w:highlight w:val="none"/>
        </w:rPr>
        <w:t>向需方支付违约金。给需方造成罚款、诉讼费、律师费等损失的，由供方承担全部责任，需方先行垫付费用的，有权向供方追偿。</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hint="eastAsia" w:asciiTheme="minorEastAsia" w:hAnsiTheme="minorEastAsia" w:eastAsiaTheme="minorEastAsia" w:cstheme="minorEastAsia"/>
          <w:color w:val="auto"/>
          <w:sz w:val="21"/>
          <w:szCs w:val="21"/>
          <w:highlight w:val="none"/>
          <w:u w:val="single"/>
        </w:rPr>
        <w:t xml:space="preserve"> 5% </w:t>
      </w:r>
      <w:r>
        <w:rPr>
          <w:rFonts w:hint="eastAsia" w:asciiTheme="minorEastAsia" w:hAnsiTheme="minorEastAsia" w:eastAsiaTheme="minorEastAsia" w:cstheme="minorEastAsia"/>
          <w:color w:val="auto"/>
          <w:sz w:val="21"/>
          <w:szCs w:val="21"/>
          <w:highlight w:val="none"/>
        </w:rPr>
        <w:t>承担违约金。</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4.9未经需方书面同意，供方不得在市场宣传中使用与需方的合作案列，不得将需方作为业务伙伴进行宣传，不得使用需方的校名、校徽、商标、标志语等；若违反上述约定，应按合同总价的</w:t>
      </w:r>
      <w:r>
        <w:rPr>
          <w:rFonts w:hint="eastAsia" w:asciiTheme="minorEastAsia" w:hAnsiTheme="minorEastAsia" w:eastAsiaTheme="minorEastAsia" w:cstheme="minorEastAsia"/>
          <w:color w:val="auto"/>
          <w:sz w:val="21"/>
          <w:szCs w:val="21"/>
          <w:highlight w:val="none"/>
          <w:u w:val="single"/>
        </w:rPr>
        <w:t xml:space="preserve"> 20 </w:t>
      </w:r>
      <w:r>
        <w:rPr>
          <w:rFonts w:hint="eastAsia" w:asciiTheme="minorEastAsia" w:hAnsiTheme="minorEastAsia" w:eastAsiaTheme="minorEastAsia" w:cstheme="minorEastAsia"/>
          <w:color w:val="auto"/>
          <w:sz w:val="21"/>
          <w:szCs w:val="21"/>
          <w:highlight w:val="none"/>
        </w:rPr>
        <w:t>%向需方支付违约金。</w:t>
      </w:r>
    </w:p>
    <w:p>
      <w:pPr>
        <w:spacing w:line="288" w:lineRule="auto"/>
        <w:ind w:firstLine="489" w:firstLineChars="233"/>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4.10供需双方的任何一方遇法定不可抗因素，造成合同履行不能或延时，由双方协商解决。</w:t>
      </w:r>
    </w:p>
    <w:p>
      <w:pPr>
        <w:spacing w:line="288" w:lineRule="auto"/>
        <w:ind w:firstLine="491"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五、变更</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本合同任何条款的变更及修改须经双方同意，采用书面形式改动，包括但不限于直接修改合同、重签合同、签订补充合同等形式。</w:t>
      </w:r>
    </w:p>
    <w:p>
      <w:pPr>
        <w:spacing w:line="288" w:lineRule="auto"/>
        <w:ind w:firstLine="491" w:firstLineChars="233"/>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六、关于法律适用和争议解决</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 本合同的执行和争议的解决应适用中华人民共和国的法律并按照中华人民共和国的法律进行解释。</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 因本合同而产生的或与本合同有关的任何争议由双方协商解决，协商不成，应提交需方所在地法院起诉。</w:t>
      </w:r>
    </w:p>
    <w:p>
      <w:pPr>
        <w:spacing w:line="288"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七、送达地址确认</w:t>
      </w:r>
    </w:p>
    <w:p>
      <w:pPr>
        <w:spacing w:line="288" w:lineRule="auto"/>
        <w:ind w:firstLine="489" w:firstLineChars="233"/>
        <w:jc w:val="both"/>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hint="eastAsia" w:asciiTheme="minorEastAsia" w:hAnsiTheme="minorEastAsia" w:eastAsiaTheme="minorEastAsia" w:cstheme="minorEastAsia"/>
          <w:bCs/>
          <w:color w:val="auto"/>
          <w:sz w:val="21"/>
          <w:szCs w:val="21"/>
          <w:highlight w:val="none"/>
          <w:u w:val="single"/>
        </w:rPr>
        <w:t>10</w:t>
      </w:r>
      <w:r>
        <w:rPr>
          <w:rFonts w:hint="eastAsia" w:asciiTheme="minorEastAsia" w:hAnsiTheme="minorEastAsia" w:eastAsiaTheme="minorEastAsia" w:cstheme="minorEastAsia"/>
          <w:bCs/>
          <w:color w:val="auto"/>
          <w:sz w:val="21"/>
          <w:szCs w:val="21"/>
          <w:highlight w:val="none"/>
        </w:rPr>
        <w:t>日视为送达对方之日。</w:t>
      </w:r>
    </w:p>
    <w:p>
      <w:pPr>
        <w:spacing w:line="288" w:lineRule="auto"/>
        <w:ind w:firstLine="489" w:firstLineChars="233"/>
        <w:jc w:val="both"/>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供方如需变更约定送达地址，应将变更后的送达地址通知需方；未通知需方变更的，原约定送达地址仍为有效送达地址。</w:t>
      </w:r>
    </w:p>
    <w:tbl>
      <w:tblPr>
        <w:tblStyle w:val="24"/>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5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供方经营地址：</w:t>
            </w:r>
          </w:p>
        </w:tc>
        <w:tc>
          <w:tcPr>
            <w:tcW w:w="5080" w:type="dxa"/>
            <w:tcBorders>
              <w:top w:val="nil"/>
              <w:left w:val="nil"/>
              <w:right w:val="nil"/>
            </w:tcBorders>
          </w:tcPr>
          <w:p>
            <w:pPr>
              <w:spacing w:line="288" w:lineRule="auto"/>
              <w:rPr>
                <w:rFonts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供方传真号码：</w:t>
            </w:r>
          </w:p>
        </w:tc>
        <w:tc>
          <w:tcPr>
            <w:tcW w:w="5080" w:type="dxa"/>
            <w:tcBorders>
              <w:left w:val="nil"/>
              <w:right w:val="nil"/>
            </w:tcBorders>
          </w:tcPr>
          <w:p>
            <w:pPr>
              <w:spacing w:line="288" w:lineRule="auto"/>
              <w:rPr>
                <w:rFonts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供方邮箱地址：</w:t>
            </w:r>
          </w:p>
        </w:tc>
        <w:tc>
          <w:tcPr>
            <w:tcW w:w="5080" w:type="dxa"/>
            <w:tcBorders>
              <w:left w:val="nil"/>
              <w:right w:val="nil"/>
            </w:tcBorders>
          </w:tcPr>
          <w:p>
            <w:pPr>
              <w:spacing w:line="288" w:lineRule="auto"/>
              <w:rPr>
                <w:rFonts w:asciiTheme="minorEastAsia" w:hAnsiTheme="minorEastAsia" w:eastAsiaTheme="minorEastAsia" w:cstheme="minorEastAsia"/>
                <w:bCs/>
                <w:color w:val="auto"/>
                <w:sz w:val="21"/>
                <w:szCs w:val="21"/>
                <w:highlight w:val="none"/>
              </w:rPr>
            </w:pPr>
          </w:p>
        </w:tc>
      </w:tr>
    </w:tbl>
    <w:p>
      <w:pPr>
        <w:spacing w:line="288"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八、其他</w:t>
      </w:r>
    </w:p>
    <w:p>
      <w:pPr>
        <w:spacing w:line="288" w:lineRule="auto"/>
        <w:ind w:firstLine="489" w:firstLineChars="233"/>
        <w:jc w:val="both"/>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hint="eastAsia" w:asciiTheme="minorEastAsia" w:hAnsiTheme="minorEastAsia" w:eastAsiaTheme="minorEastAsia" w:cstheme="minorEastAsia"/>
          <w:color w:val="auto"/>
          <w:sz w:val="21"/>
          <w:szCs w:val="21"/>
          <w:highlight w:val="none"/>
          <w:u w:val="single"/>
        </w:rPr>
        <w:t>本合同签订后双方拟定的书面补充合同、本合同、投标时的特殊承诺函、澄清文件、投标（响应）文件、招标（采购）文件。</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 如有未尽事宜，由双方依法订立书面补充合同。</w:t>
      </w:r>
    </w:p>
    <w:p>
      <w:pPr>
        <w:spacing w:line="288" w:lineRule="auto"/>
        <w:ind w:firstLine="489" w:firstLineChars="233"/>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8.3本合同一式七份，供方一份，需方六份（采招中心一份，设备处三份，用户单位两份），自双方法定代表人或授权代表人签字或盖章并加盖合同专用章后生效，每份具有同等法律效力。</w:t>
      </w:r>
    </w:p>
    <w:p>
      <w:pPr>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-----------------------------以下无正文--------------------------------</w:t>
      </w:r>
    </w:p>
    <w:p>
      <w:pPr>
        <w:spacing w:line="288" w:lineRule="auto"/>
        <w:jc w:val="center"/>
        <w:rPr>
          <w:rFonts w:asciiTheme="minorEastAsia" w:hAnsiTheme="minorEastAsia" w:eastAsiaTheme="minorEastAsia" w:cstheme="minorEastAsia"/>
          <w:color w:val="auto"/>
          <w:sz w:val="21"/>
          <w:szCs w:val="21"/>
          <w:highlight w:val="none"/>
        </w:rPr>
      </w:pPr>
    </w:p>
    <w:tbl>
      <w:tblPr>
        <w:tblStyle w:val="24"/>
        <w:tblW w:w="0" w:type="auto"/>
        <w:jc w:val="center"/>
        <w:tblLayout w:type="fixed"/>
        <w:tblCellMar>
          <w:top w:w="0" w:type="dxa"/>
          <w:left w:w="108" w:type="dxa"/>
          <w:bottom w:w="0" w:type="dxa"/>
          <w:right w:w="108" w:type="dxa"/>
        </w:tblCellMar>
      </w:tblPr>
      <w:tblGrid>
        <w:gridCol w:w="1520"/>
        <w:gridCol w:w="3461"/>
        <w:gridCol w:w="4981"/>
      </w:tblGrid>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供方（盖章）：</w:t>
            </w:r>
          </w:p>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需方（盖章）：西南大学</w:t>
            </w:r>
          </w:p>
          <w:p>
            <w:pPr>
              <w:rPr>
                <w:rFonts w:asciiTheme="minorEastAsia" w:hAnsiTheme="minorEastAsia" w:eastAsiaTheme="minorEastAsia" w:cstheme="minorEastAsia"/>
                <w:color w:val="auto"/>
                <w:sz w:val="21"/>
                <w:szCs w:val="21"/>
                <w:highlight w:val="none"/>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统一社会信用代码：</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法定代表人：张卫国</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银行账号：</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地址：重庆市北碚区天生路2号</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注册地址：</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邮编:400715</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公司电话：</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授权代表人（签字）：</w:t>
            </w:r>
            <w:r>
              <w:rPr>
                <w:rFonts w:hint="eastAsia" w:asciiTheme="minorEastAsia" w:hAnsiTheme="minorEastAsia" w:eastAsiaTheme="minorEastAsia" w:cstheme="minorEastAsia"/>
                <w:vanish/>
                <w:color w:val="auto"/>
                <w:sz w:val="21"/>
                <w:szCs w:val="21"/>
                <w:highlight w:val="none"/>
              </w:rPr>
              <w:t>(二级单位主要负责人)</w:t>
            </w:r>
          </w:p>
        </w:tc>
      </w:tr>
      <w:tr>
        <w:tblPrEx>
          <w:tblCellMar>
            <w:top w:w="0" w:type="dxa"/>
            <w:left w:w="108" w:type="dxa"/>
            <w:bottom w:w="0" w:type="dxa"/>
            <w:right w:w="108" w:type="dxa"/>
          </w:tblCellMar>
        </w:tblPrEx>
        <w:trPr>
          <w:cantSplit/>
          <w:jc w:val="center"/>
          <w:hidden/>
        </w:trPr>
        <w:tc>
          <w:tcPr>
            <w:tcW w:w="1520" w:type="dxa"/>
          </w:tcPr>
          <w:p>
            <w:pPr>
              <w:wordWrap w:val="0"/>
              <w:spacing w:line="440" w:lineRule="exact"/>
              <w:ind w:right="-120" w:rightChars="-50"/>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vanish/>
                <w:color w:val="auto"/>
                <w:sz w:val="21"/>
                <w:szCs w:val="21"/>
                <w:highlight w:val="none"/>
              </w:rPr>
              <w:t>授权代表人</w:t>
            </w:r>
          </w:p>
        </w:tc>
        <w:tc>
          <w:tcPr>
            <w:tcW w:w="3461" w:type="dxa"/>
            <w:vAlign w:val="center"/>
          </w:tcPr>
          <w:p>
            <w:pPr>
              <w:spacing w:line="440" w:lineRule="exact"/>
              <w:ind w:left="-120" w:leftChars="-50"/>
              <w:rPr>
                <w:rFonts w:asciiTheme="minorEastAsia" w:hAnsiTheme="minorEastAsia" w:eastAsiaTheme="minorEastAsia" w:cstheme="minorEastAsia"/>
                <w:vanish/>
                <w:color w:val="auto"/>
                <w:sz w:val="21"/>
                <w:szCs w:val="21"/>
                <w:highlight w:val="none"/>
              </w:rPr>
            </w:pPr>
            <w:r>
              <w:rPr>
                <w:rFonts w:hint="eastAsia" w:asciiTheme="minorEastAsia" w:hAnsiTheme="minorEastAsia" w:eastAsiaTheme="minorEastAsia" w:cstheme="minorEastAsia"/>
                <w:vanish/>
                <w:color w:val="auto"/>
                <w:sz w:val="21"/>
                <w:szCs w:val="21"/>
                <w:highlight w:val="none"/>
              </w:rPr>
              <w:t>（签字）：</w:t>
            </w:r>
          </w:p>
        </w:tc>
        <w:tc>
          <w:tcPr>
            <w:tcW w:w="4981" w:type="dxa"/>
            <w:vAlign w:val="center"/>
          </w:tcPr>
          <w:p>
            <w:pPr>
              <w:spacing w:line="440" w:lineRule="exact"/>
              <w:rPr>
                <w:rFonts w:asciiTheme="minorEastAsia" w:hAnsiTheme="minorEastAsia" w:eastAsiaTheme="minorEastAsia" w:cstheme="minorEastAsia"/>
                <w:color w:val="auto"/>
                <w:sz w:val="21"/>
                <w:szCs w:val="21"/>
                <w:highlight w:val="none"/>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签约日期：      年     月     日</w:t>
            </w:r>
          </w:p>
        </w:tc>
        <w:tc>
          <w:tcPr>
            <w:tcW w:w="4981" w:type="dxa"/>
          </w:tcPr>
          <w:p>
            <w:pPr>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签约日期：      年     月     日</w:t>
            </w:r>
          </w:p>
        </w:tc>
      </w:tr>
    </w:tbl>
    <w:p>
      <w:pPr>
        <w:spacing w:line="288" w:lineRule="auto"/>
        <w:rPr>
          <w:rFonts w:asciiTheme="minorEastAsia" w:hAnsiTheme="minorEastAsia" w:eastAsiaTheme="minorEastAsia" w:cstheme="minorEastAsia"/>
          <w:color w:val="auto"/>
          <w:sz w:val="21"/>
          <w:szCs w:val="21"/>
          <w:highlight w:val="none"/>
        </w:rPr>
      </w:pPr>
    </w:p>
    <w:p>
      <w:pPr>
        <w:spacing w:line="360" w:lineRule="auto"/>
        <w:rPr>
          <w:rFonts w:asciiTheme="minorEastAsia" w:hAnsiTheme="minorEastAsia" w:eastAsiaTheme="minorEastAsia" w:cstheme="minorEastAsia"/>
          <w:color w:val="auto"/>
          <w:highlight w:val="none"/>
        </w:rPr>
      </w:pPr>
    </w:p>
    <w:p>
      <w:pPr>
        <w:spacing w:line="460" w:lineRule="exact"/>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注：合同签订流程详见</w:t>
      </w:r>
      <w:r>
        <w:rPr>
          <w:color w:val="auto"/>
          <w:highlight w:val="none"/>
        </w:rPr>
        <w:fldChar w:fldCharType="begin"/>
      </w:r>
      <w:r>
        <w:rPr>
          <w:color w:val="auto"/>
          <w:highlight w:val="none"/>
        </w:rPr>
        <w:instrText xml:space="preserve"> HYPERLINK "http://sysbc.swu.edu.cn/s/sbc/sbgl/20171011/1983989.html" </w:instrText>
      </w:r>
      <w:r>
        <w:rPr>
          <w:color w:val="auto"/>
          <w:highlight w:val="none"/>
        </w:rPr>
        <w:fldChar w:fldCharType="separate"/>
      </w:r>
      <w:r>
        <w:rPr>
          <w:rStyle w:val="29"/>
          <w:rFonts w:hint="eastAsia" w:asciiTheme="minorEastAsia" w:hAnsiTheme="minorEastAsia" w:eastAsiaTheme="minorEastAsia" w:cstheme="minorEastAsia"/>
          <w:b/>
          <w:color w:val="auto"/>
          <w:highlight w:val="none"/>
        </w:rPr>
        <w:t>http://sysbc.swu.edu.cn/s/sbc/sbgl/20171011/1983989.html</w:t>
      </w:r>
      <w:r>
        <w:rPr>
          <w:rStyle w:val="29"/>
          <w:rFonts w:hint="eastAsia" w:asciiTheme="minorEastAsia" w:hAnsiTheme="minorEastAsia" w:eastAsiaTheme="minorEastAsia" w:cstheme="minorEastAsia"/>
          <w:b/>
          <w:color w:val="auto"/>
          <w:highlight w:val="none"/>
        </w:rPr>
        <w:fldChar w:fldCharType="end"/>
      </w: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异地清关风险提示及承诺书</w:t>
      </w:r>
    </w:p>
    <w:p>
      <w:pPr>
        <w:spacing w:line="360" w:lineRule="auto"/>
        <w:ind w:firstLine="48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货物异地（ 异地保税区 ）清关可能造成的风险 ：</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1、异地清关可能导致不同海关对同一商品的认定存在差异，即异地海关不认同我校所在地海关对商品的认定和归类，从而导致货物没办法清关；</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2、如在保税区特别是异地保税区清关，供应商可能在向海关申报时，把走私货物夹带到我校申报的货物中，该行为一经海关查出，我校和外贸公司可能被追究相关刑事责任，并取消我校申请免税的资格。</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3、货物异地清关，货物从异地到重庆用户处运输和保险均由供应商负责，外贸公司无法监督发货时间和保证货物的安全性。</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4、异地清关需要在重庆办好免税证后再邮寄单证至异地，常常导致无法及时清出货物和造成时间的拖延，产生滞报、仓储等相关费用。</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pPr>
        <w:spacing w:line="360" w:lineRule="auto"/>
        <w:ind w:firstLine="600" w:firstLineChars="25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6、保税区内可以对货物进行组装加工，用户采购的货物可能被供应商在异地保税区内进行重组加工再发出（非保税区内禁止对货物进行拆箱，海关查货除外）。</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甲方用户代表签名：</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（用户单位盖章）</w:t>
      </w:r>
    </w:p>
    <w:p>
      <w:pPr>
        <w:spacing w:line="360" w:lineRule="auto"/>
        <w:rPr>
          <w:rFonts w:asciiTheme="minorEastAsia" w:hAnsiTheme="minorEastAsia" w:eastAsiaTheme="minorEastAsia" w:cstheme="minorEastAsia"/>
          <w:color w:val="auto"/>
          <w:highlight w:val="none"/>
        </w:rPr>
      </w:pPr>
    </w:p>
    <w:p>
      <w:pPr>
        <w:spacing w:line="360" w:lineRule="auto"/>
        <w:ind w:firstLine="600" w:firstLineChars="25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pPr>
        <w:spacing w:line="360" w:lineRule="auto"/>
        <w:ind w:firstLine="600" w:firstLineChars="25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乙方法定代表人（授权代表）签名：</w:t>
      </w:r>
    </w:p>
    <w:p>
      <w:pPr>
        <w:spacing w:line="360" w:lineRule="auto"/>
        <w:jc w:val="center"/>
        <w:rPr>
          <w:rFonts w:asciiTheme="minorEastAsia" w:hAnsiTheme="minorEastAsia" w:eastAsiaTheme="minorEastAsia" w:cstheme="minorEastAsia"/>
          <w:b/>
          <w:color w:val="auto"/>
          <w:sz w:val="44"/>
          <w:szCs w:val="44"/>
          <w:highlight w:val="none"/>
        </w:rPr>
      </w:pPr>
    </w:p>
    <w:p>
      <w:pPr>
        <w:spacing w:line="360" w:lineRule="auto"/>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签订协议书注意事项</w:t>
      </w:r>
    </w:p>
    <w:p>
      <w:pPr>
        <w:spacing w:line="360" w:lineRule="auto"/>
        <w:jc w:val="center"/>
        <w:rPr>
          <w:rFonts w:asciiTheme="minorEastAsia" w:hAnsiTheme="minorEastAsia" w:eastAsiaTheme="minorEastAsia" w:cstheme="minorEastAsia"/>
          <w:color w:val="auto"/>
          <w:highlight w:val="none"/>
        </w:rPr>
      </w:pP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1、学校指定的外贸代理公司将参照本协议书签订外贸合同，协议书中的条款与外贸合同的相关条款严格一致（详见外贸合同模版），请仔细阅读具体条款。</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2、招标采购的中标公司在签订协议书时应提供中文产品说明彩页一式三份。</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3、提供的三份中文产品说明书主要用于办理免税及清关，说明书与协议书上首页及配置清单中的货物</w:t>
      </w:r>
      <w:r>
        <w:rPr>
          <w:rFonts w:hint="eastAsia" w:asciiTheme="minorEastAsia" w:hAnsiTheme="minorEastAsia" w:eastAsiaTheme="minorEastAsia" w:cstheme="minorEastAsia"/>
          <w:b/>
          <w:color w:val="auto"/>
          <w:highlight w:val="none"/>
        </w:rPr>
        <w:t>名称</w:t>
      </w:r>
      <w:r>
        <w:rPr>
          <w:rFonts w:hint="eastAsia" w:asciiTheme="minorEastAsia" w:hAnsiTheme="minorEastAsia" w:eastAsiaTheme="minorEastAsia" w:cstheme="minorEastAsia"/>
          <w:color w:val="auto"/>
          <w:highlight w:val="none"/>
        </w:rPr>
        <w:t>和</w:t>
      </w:r>
      <w:r>
        <w:rPr>
          <w:rFonts w:hint="eastAsia" w:asciiTheme="minorEastAsia" w:hAnsiTheme="minorEastAsia" w:eastAsiaTheme="minorEastAsia" w:cstheme="minorEastAsia"/>
          <w:b/>
          <w:color w:val="auto"/>
          <w:highlight w:val="none"/>
        </w:rPr>
        <w:t>型号</w:t>
      </w:r>
      <w:r>
        <w:rPr>
          <w:rFonts w:hint="eastAsia" w:asciiTheme="minorEastAsia" w:hAnsiTheme="minorEastAsia" w:eastAsiaTheme="minorEastAsia" w:cstheme="minorEastAsia"/>
          <w:color w:val="auto"/>
          <w:highlight w:val="none"/>
        </w:rPr>
        <w:t xml:space="preserve">必须一致，并含有该产品彩色外观图片(需√出)，如只有外文的，应附中文翻译。若说明书为供应商自行制作的彩色打印版，需要加盖供应商骑缝章并交学校用户每一页签名。 </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5、办理软件免税进口必须含有该软件的安装介质。</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6、甲方“ 用户单位负责人”是指专项经费负责人；学院主管该经费、项目的院长；科研经费的经费负责人。</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甲方联系人 ：是指后续合同跟进、办理免税等工作的单位办事人员。</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7、编号由甲方职能部门编写。“□”代表选择项，选定后删掉其它项。</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8、正式协议书签字盖章前，须先将双方拟定的电子版本发给职能部门初审。</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联系人及电话: 李老师  023-68366150</w:t>
      </w:r>
    </w:p>
    <w:p>
      <w:pPr>
        <w:spacing w:line="360" w:lineRule="auto"/>
        <w:ind w:firstLine="480" w:firstLineChars="200"/>
        <w:jc w:val="both"/>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bookmarkStart w:id="128" w:name="_Toc138929560"/>
      <w:bookmarkStart w:id="129" w:name="_Toc497729856"/>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2"/>
        <w:spacing w:before="120" w:after="120"/>
        <w:ind w:left="0" w:firstLine="2209" w:firstLineChars="5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第七篇  投标文件格式</w:t>
      </w:r>
      <w:bookmarkEnd w:id="128"/>
      <w:bookmarkEnd w:id="129"/>
    </w:p>
    <w:p>
      <w:pPr>
        <w:spacing w:line="360" w:lineRule="auto"/>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r>
        <w:rPr>
          <w:rFonts w:hint="eastAsia" w:ascii="宋体" w:hAnsi="宋体"/>
          <w:color w:val="auto"/>
          <w:sz w:val="30"/>
          <w:szCs w:val="30"/>
          <w:highlight w:val="none"/>
        </w:rPr>
        <w:t>（未规定格式的，由投标人自定）</w:t>
      </w: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adjustRightInd/>
        <w:snapToGrid w:val="0"/>
        <w:spacing w:line="360" w:lineRule="auto"/>
        <w:ind w:firstLine="482" w:firstLineChars="200"/>
        <w:textAlignment w:val="auto"/>
        <w:rPr>
          <w:rFonts w:ascii="宋体" w:hAnsi="宋体"/>
          <w:b/>
          <w:color w:val="auto"/>
          <w:kern w:val="2"/>
          <w:highlight w:val="none"/>
        </w:rPr>
      </w:pPr>
      <w:bookmarkStart w:id="130" w:name="_Toc465269277"/>
    </w:p>
    <w:p>
      <w:pPr>
        <w:keepNext/>
        <w:keepLines/>
        <w:pageBreakBefore/>
        <w:snapToGrid w:val="0"/>
        <w:spacing w:line="560" w:lineRule="exact"/>
        <w:jc w:val="center"/>
        <w:textAlignment w:val="auto"/>
        <w:outlineLvl w:val="1"/>
        <w:rPr>
          <w:rFonts w:ascii="宋体" w:hAnsi="宋体"/>
          <w:b/>
          <w:color w:val="auto"/>
          <w:kern w:val="2"/>
          <w:sz w:val="36"/>
          <w:szCs w:val="36"/>
          <w:highlight w:val="none"/>
        </w:rPr>
      </w:pPr>
      <w:bookmarkStart w:id="131" w:name="_Toc322965783"/>
      <w:bookmarkStart w:id="132" w:name="_Toc313883490"/>
      <w:bookmarkStart w:id="133" w:name="_Toc370305019"/>
      <w:bookmarkStart w:id="134" w:name="_Toc418512143"/>
      <w:bookmarkStart w:id="135" w:name="_Toc316479515"/>
      <w:r>
        <w:rPr>
          <w:rFonts w:hint="eastAsia" w:ascii="宋体" w:hAnsi="宋体"/>
          <w:b/>
          <w:color w:val="auto"/>
          <w:kern w:val="2"/>
          <w:sz w:val="36"/>
          <w:szCs w:val="36"/>
          <w:highlight w:val="none"/>
        </w:rPr>
        <w:t>第</w:t>
      </w:r>
      <w:r>
        <w:rPr>
          <w:rFonts w:ascii="宋体" w:hAnsi="宋体"/>
          <w:b/>
          <w:color w:val="auto"/>
          <w:kern w:val="2"/>
          <w:sz w:val="36"/>
          <w:szCs w:val="36"/>
          <w:highlight w:val="none"/>
        </w:rPr>
        <w:t xml:space="preserve">一部分  </w:t>
      </w:r>
      <w:r>
        <w:rPr>
          <w:rFonts w:hint="eastAsia" w:ascii="宋体" w:hAnsi="宋体"/>
          <w:b/>
          <w:color w:val="auto"/>
          <w:kern w:val="2"/>
          <w:sz w:val="36"/>
          <w:szCs w:val="36"/>
          <w:highlight w:val="none"/>
        </w:rPr>
        <w:t>资格文件</w:t>
      </w:r>
      <w:bookmarkEnd w:id="131"/>
      <w:bookmarkEnd w:id="132"/>
      <w:bookmarkEnd w:id="133"/>
      <w:bookmarkEnd w:id="134"/>
      <w:bookmarkEnd w:id="135"/>
    </w:p>
    <w:p>
      <w:pPr>
        <w:tabs>
          <w:tab w:val="left" w:pos="7445"/>
        </w:tabs>
        <w:autoSpaceDE w:val="0"/>
        <w:autoSpaceDN w:val="0"/>
        <w:snapToGrid w:val="0"/>
        <w:spacing w:line="360" w:lineRule="auto"/>
        <w:rPr>
          <w:rFonts w:ascii="宋体" w:hAnsi="宋体"/>
          <w:b/>
          <w:color w:val="auto"/>
          <w:szCs w:val="28"/>
          <w:highlight w:val="none"/>
          <w:u w:val="single"/>
        </w:rPr>
      </w:pPr>
    </w:p>
    <w:p>
      <w:pPr>
        <w:tabs>
          <w:tab w:val="left" w:pos="7445"/>
        </w:tabs>
        <w:autoSpaceDE w:val="0"/>
        <w:autoSpaceDN w:val="0"/>
        <w:snapToGrid w:val="0"/>
        <w:spacing w:line="480" w:lineRule="auto"/>
        <w:jc w:val="right"/>
        <w:rPr>
          <w:rFonts w:cs="微软雅黑"/>
          <w:b/>
          <w:color w:val="auto"/>
          <w:sz w:val="44"/>
          <w:szCs w:val="44"/>
          <w:highlight w:val="none"/>
        </w:rPr>
        <w:sectPr>
          <w:headerReference r:id="rId17" w:type="default"/>
          <w:footerReference r:id="rId18" w:type="default"/>
          <w:pgSz w:w="11906" w:h="16838"/>
          <w:pgMar w:top="1418" w:right="1247" w:bottom="1247" w:left="1418" w:header="851" w:footer="851" w:gutter="0"/>
          <w:cols w:space="720" w:num="1"/>
          <w:docGrid w:linePitch="326" w:charSpace="0"/>
        </w:sect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资格投标文件封面格式</w:t>
      </w:r>
    </w:p>
    <w:p>
      <w:pPr>
        <w:spacing w:line="360" w:lineRule="auto"/>
        <w:jc w:val="center"/>
        <w:rPr>
          <w:rFonts w:asciiTheme="minorEastAsia" w:hAnsiTheme="minorEastAsia" w:eastAsiaTheme="minorEastAsia" w:cstheme="minorEastAsia"/>
          <w:b/>
          <w:color w:val="auto"/>
          <w:sz w:val="44"/>
          <w:szCs w:val="44"/>
          <w:highlight w:val="none"/>
        </w:rPr>
      </w:pPr>
    </w:p>
    <w:p>
      <w:pPr>
        <w:spacing w:line="360" w:lineRule="auto"/>
        <w:jc w:val="center"/>
        <w:rPr>
          <w:rFonts w:asciiTheme="minorEastAsia" w:hAnsiTheme="minorEastAsia" w:eastAsiaTheme="minorEastAsia" w:cstheme="minorEastAsia"/>
          <w:b/>
          <w:color w:val="auto"/>
          <w:sz w:val="52"/>
          <w:szCs w:val="52"/>
          <w:highlight w:val="none"/>
        </w:rPr>
      </w:pPr>
      <w:r>
        <w:rPr>
          <w:rFonts w:hint="eastAsia" w:asciiTheme="minorEastAsia" w:hAnsiTheme="minorEastAsia" w:eastAsiaTheme="minorEastAsia" w:cstheme="minorEastAsia"/>
          <w:b/>
          <w:color w:val="auto"/>
          <w:sz w:val="52"/>
          <w:szCs w:val="52"/>
          <w:highlight w:val="none"/>
        </w:rPr>
        <w:t>投 标 文 件</w:t>
      </w: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（封面）</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资格文件</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ind w:firstLine="1820" w:firstLineChars="65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 </w:t>
      </w:r>
    </w:p>
    <w:p>
      <w:pPr>
        <w:spacing w:line="360" w:lineRule="auto"/>
        <w:ind w:firstLine="1820" w:firstLineChars="650"/>
        <w:rPr>
          <w:rFonts w:asciiTheme="minorEastAsia" w:hAnsiTheme="minorEastAsia" w:eastAsiaTheme="minorEastAsia" w:cstheme="minorEastAsia"/>
          <w:color w:val="auto"/>
          <w:sz w:val="28"/>
          <w:szCs w:val="28"/>
          <w:highlight w:val="none"/>
        </w:rPr>
      </w:pPr>
    </w:p>
    <w:p>
      <w:pPr>
        <w:spacing w:line="360" w:lineRule="auto"/>
        <w:ind w:firstLine="1820" w:firstLineChars="6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招标编号：</w:t>
      </w: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（正本/ 副本）</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  ：</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法定代表人姓名：                    手机：</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                              邮编：</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                              传真：</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网址：</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电子邮箱：</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投标代表（印刷体）：                签字：</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手机：                              日期  ：  年  月  日</w:t>
      </w:r>
    </w:p>
    <w:p>
      <w:pPr>
        <w:spacing w:line="360" w:lineRule="auto"/>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ascii="宋体" w:hAnsi="宋体"/>
          <w:color w:val="auto"/>
          <w:kern w:val="2"/>
          <w:sz w:val="36"/>
          <w:szCs w:val="36"/>
          <w:highlight w:val="none"/>
        </w:rPr>
        <w:br w:type="page"/>
      </w: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资格投标文件目录格式</w:t>
      </w: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资格投标文件目录</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一、法定代表人（单位负责人）身份证明………………………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二、法定代表人（单位负责人）授权书……………………………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 关于资格的声明函……………………………………………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四、投标人的资格声明………………………………………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 单位营业执照等资格证明文件……………………………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六、制造厂商出具的授权函………………………………………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七、制造商资格声明………………………………………页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八、其它材料……………………………………………………… 页</w:t>
      </w:r>
    </w:p>
    <w:p>
      <w:pPr>
        <w:pStyle w:val="3"/>
        <w:spacing w:line="360" w:lineRule="auto"/>
        <w:ind w:left="0"/>
        <w:rPr>
          <w:rFonts w:asciiTheme="minorEastAsia" w:hAnsiTheme="minorEastAsia" w:eastAsiaTheme="minorEastAsia" w:cstheme="minorEastAsia"/>
          <w:b w:val="0"/>
          <w:color w:val="auto"/>
          <w:highlight w:val="none"/>
        </w:rPr>
        <w:sectPr>
          <w:pgSz w:w="11906" w:h="16838"/>
          <w:pgMar w:top="1418" w:right="1247" w:bottom="1247" w:left="1418" w:header="851" w:footer="851" w:gutter="0"/>
          <w:cols w:space="720" w:num="1"/>
          <w:docGrid w:linePitch="326" w:charSpace="0"/>
        </w:sectPr>
      </w:pPr>
    </w:p>
    <w:p>
      <w:pPr>
        <w:rPr>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一、法定代表人（单位负责人）身份证明格式</w:t>
      </w:r>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法定代表人（单位负责人）身份证明</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单位性质：</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成立时间：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经营期限：</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姓名：           性别：           年龄：           职务：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                        （投标人名称）的法定代表人（单位负责人）。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特此证明。</w:t>
      </w:r>
    </w:p>
    <w:p>
      <w:pPr>
        <w:spacing w:line="360" w:lineRule="auto"/>
        <w:rPr>
          <w:rFonts w:asciiTheme="minorEastAsia" w:hAnsiTheme="minorEastAsia" w:eastAsiaTheme="minorEastAsia" w:cstheme="minorEastAsia"/>
          <w:color w:val="auto"/>
          <w:highlight w:val="none"/>
        </w:rPr>
      </w:pPr>
    </w:p>
    <w:p>
      <w:pPr>
        <w:spacing w:line="360" w:lineRule="auto"/>
        <w:jc w:val="righ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                 （盖单位章）</w:t>
      </w:r>
    </w:p>
    <w:p>
      <w:pPr>
        <w:spacing w:line="360" w:lineRule="auto"/>
        <w:jc w:val="right"/>
        <w:rPr>
          <w:rFonts w:asciiTheme="minorEastAsia" w:hAnsiTheme="minorEastAsia" w:eastAsiaTheme="minorEastAsia" w:cstheme="minorEastAsia"/>
          <w:color w:val="auto"/>
          <w:highlight w:val="none"/>
        </w:rPr>
      </w:pPr>
    </w:p>
    <w:p>
      <w:pPr>
        <w:spacing w:line="360" w:lineRule="auto"/>
        <w:ind w:right="560" w:firstLine="5160" w:firstLineChars="2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    月   日</w:t>
      </w:r>
    </w:p>
    <w:p>
      <w:pPr>
        <w:spacing w:line="360" w:lineRule="auto"/>
        <w:ind w:right="56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注：此处所述“法定代表人（单位负责人）”须与投标人“营业执照”上的内容一致。</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[附：法定代表人（单位负责人）身份证正反面复印件]</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sectPr>
          <w:pgSz w:w="11906" w:h="16838"/>
          <w:pgMar w:top="1418" w:right="1247" w:bottom="1247" w:left="1418" w:header="851" w:footer="851" w:gutter="0"/>
          <w:cols w:space="720" w:num="1"/>
          <w:docGrid w:linePitch="326" w:charSpace="0"/>
        </w:sectPr>
      </w:pPr>
    </w:p>
    <w:p>
      <w:pPr>
        <w:pStyle w:val="16"/>
        <w:rPr>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二、法定代表人（单位负责人）授权书格式</w:t>
      </w: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法定代表人（单位负责人）授权书</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（投标人全称）</w:t>
      </w:r>
      <w:r>
        <w:rPr>
          <w:rFonts w:hint="eastAsia" w:asciiTheme="minorEastAsia" w:hAnsiTheme="minorEastAsia" w:eastAsiaTheme="minorEastAsia" w:cstheme="minorEastAsia"/>
          <w:color w:val="auto"/>
          <w:highlight w:val="none"/>
        </w:rPr>
        <w:t xml:space="preserve">的法定代表人（单位负责人） </w:t>
      </w:r>
      <w:r>
        <w:rPr>
          <w:rFonts w:hint="eastAsia" w:asciiTheme="minorEastAsia" w:hAnsiTheme="minorEastAsia" w:eastAsiaTheme="minorEastAsia" w:cstheme="minorEastAsia"/>
          <w:color w:val="auto"/>
          <w:highlight w:val="none"/>
          <w:u w:val="single"/>
        </w:rPr>
        <w:t>（姓名、职务）</w:t>
      </w:r>
      <w:r>
        <w:rPr>
          <w:rFonts w:hint="eastAsia" w:asciiTheme="minorEastAsia" w:hAnsiTheme="minorEastAsia" w:eastAsiaTheme="minorEastAsia" w:cstheme="minorEastAsia"/>
          <w:color w:val="auto"/>
          <w:highlight w:val="none"/>
        </w:rPr>
        <w:t>现授权本单位职工</w:t>
      </w:r>
      <w:r>
        <w:rPr>
          <w:rFonts w:hint="eastAsia" w:asciiTheme="minorEastAsia" w:hAnsiTheme="minorEastAsia" w:eastAsiaTheme="minorEastAsia" w:cstheme="minorEastAsia"/>
          <w:color w:val="auto"/>
          <w:highlight w:val="none"/>
          <w:u w:val="single"/>
        </w:rPr>
        <w:t>（投标代表姓名）</w:t>
      </w:r>
      <w:r>
        <w:rPr>
          <w:rFonts w:hint="eastAsia" w:asciiTheme="minorEastAsia" w:hAnsiTheme="minorEastAsia" w:eastAsiaTheme="minorEastAsia" w:cstheme="minorEastAsia"/>
          <w:color w:val="auto"/>
          <w:highlight w:val="none"/>
        </w:rPr>
        <w:t>为投标代表，代表本公司参加贵单位组织的</w:t>
      </w:r>
      <w:r>
        <w:rPr>
          <w:rFonts w:hint="eastAsia" w:asciiTheme="minorEastAsia" w:hAnsiTheme="minorEastAsia" w:eastAsiaTheme="minorEastAsia" w:cstheme="minorEastAsia"/>
          <w:color w:val="auto"/>
          <w:highlight w:val="none"/>
          <w:u w:val="single"/>
        </w:rPr>
        <w:t xml:space="preserve">         项</w:t>
      </w:r>
      <w:r>
        <w:rPr>
          <w:rFonts w:hint="eastAsia" w:asciiTheme="minorEastAsia" w:hAnsiTheme="minorEastAsia" w:eastAsiaTheme="minorEastAsia" w:cstheme="minorEastAsia"/>
          <w:color w:val="auto"/>
          <w:highlight w:val="none"/>
        </w:rPr>
        <w:t>目（招标编号：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特此授权！本授权书自出具之日起生效。</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（盖单位章）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法定代表人（单位负责人）姓名：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（签字）</w:t>
      </w:r>
    </w:p>
    <w:p>
      <w:pPr>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法定代表人（单位负责人）身份证号码：</w:t>
      </w:r>
      <w:r>
        <w:rPr>
          <w:rFonts w:hint="eastAsia" w:asciiTheme="minorEastAsia" w:hAnsiTheme="minorEastAsia" w:eastAsiaTheme="minorEastAsia" w:cstheme="minorEastAsia"/>
          <w:color w:val="auto"/>
          <w:highlight w:val="none"/>
          <w:u w:val="single"/>
        </w:rPr>
        <w:t xml:space="preserve">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（签字）</w:t>
      </w:r>
    </w:p>
    <w:p>
      <w:pPr>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被授权人身份证号码：</w:t>
      </w:r>
      <w:r>
        <w:rPr>
          <w:rFonts w:hint="eastAsia" w:asciiTheme="minorEastAsia" w:hAnsiTheme="minorEastAsia" w:eastAsiaTheme="minorEastAsia" w:cstheme="minorEastAsia"/>
          <w:color w:val="auto"/>
          <w:highlight w:val="none"/>
          <w:u w:val="single"/>
        </w:rPr>
        <w:t xml:space="preserve">                          </w:t>
      </w: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w:t>
      </w:r>
    </w:p>
    <w:p>
      <w:pPr>
        <w:spacing w:line="360" w:lineRule="auto"/>
        <w:ind w:firstLine="1200" w:firstLineChars="50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法定代表人（单位负责人）</w:t>
            </w:r>
          </w:p>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身份证粘贴处</w:t>
            </w:r>
          </w:p>
        </w:tc>
        <w:tc>
          <w:tcPr>
            <w:tcW w:w="4810"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被授权人身份证件粘贴处</w:t>
            </w:r>
          </w:p>
        </w:tc>
      </w:tr>
    </w:tbl>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三、关于资格的声明函格式</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关于资格的声明函</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西南大学</w:t>
      </w:r>
      <w:r>
        <w:rPr>
          <w:rFonts w:hint="eastAsia" w:asciiTheme="minorEastAsia" w:hAnsiTheme="minorEastAsia" w:eastAsiaTheme="minorEastAsia" w:cstheme="minorEastAsia"/>
          <w:color w:val="auto"/>
          <w:highlight w:val="none"/>
        </w:rPr>
        <w:t>：</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关于贵方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（招标编号）投标邀请，本签字人愿意参加投标，提供招标文件“采购需求”中规定的</w:t>
      </w:r>
      <w:r>
        <w:rPr>
          <w:rFonts w:hint="eastAsia" w:asciiTheme="minorEastAsia" w:hAnsiTheme="minorEastAsia" w:eastAsiaTheme="minorEastAsia" w:cstheme="minorEastAsia"/>
          <w:color w:val="auto"/>
          <w:highlight w:val="none"/>
          <w:u w:val="single"/>
        </w:rPr>
        <w:t xml:space="preserve"> （货物名称）</w:t>
      </w:r>
      <w:r>
        <w:rPr>
          <w:rFonts w:hint="eastAsia" w:asciiTheme="minorEastAsia" w:hAnsiTheme="minorEastAsia" w:eastAsiaTheme="minorEastAsia" w:cstheme="minorEastAsia"/>
          <w:color w:val="auto"/>
          <w:highlight w:val="none"/>
        </w:rPr>
        <w:t>，并证明提交的下列文件和说明是准确的和真实的。</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1.本签字人确认资格文件中的说明以及投标文件中所有提交的文件和材料是真实的、准确的。</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2.我方的资格声明随投标文件一同递交。</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 址：</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 编：</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 话/传真：</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投标人代表签字：</w:t>
      </w:r>
    </w:p>
    <w:p>
      <w:pPr>
        <w:spacing w:line="360" w:lineRule="auto"/>
        <w:rPr>
          <w:rFonts w:asciiTheme="minorEastAsia" w:hAnsiTheme="minorEastAsia" w:eastAsiaTheme="minorEastAsia" w:cstheme="minorEastAsia"/>
          <w:color w:val="auto"/>
          <w:sz w:val="20"/>
          <w:szCs w:val="20"/>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sz w:val="20"/>
          <w:szCs w:val="20"/>
          <w:highlight w:val="none"/>
        </w:rPr>
      </w:pPr>
    </w:p>
    <w:p>
      <w:pPr>
        <w:pStyle w:val="7"/>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四、投标人的资格声明格式</w:t>
      </w: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投标人的资格声明</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1．投标人概况：</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Ａ．投标人名称：</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Ｂ．注册地址：</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Ｃ．成立或注册日期：</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Ｄ．法定代表人： （姓名、职务）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实收资本：</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其中 国家资本： 法人资本：</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个人资本： 外商资本：</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Ｅ．最近资产负债表（到    年   月  日为止）。</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(1)固定资产合计: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(2)流动资产合计: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(3)长期负债合计: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(4)流动负债合计:</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Ｆ．最近损益表（到    年    月    日为止）。</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(1)本年（期）利润总额累计：</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(2)本年（期）净利润累计：</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2．我方在此声明，我方具备并满足下列各项条款的规定。本声明如有虚假或不实之处，我方将失去合格投标人资格并承担法律责任。</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（1）具有独立承担民事责任的能力；</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（2）具有良好的商业信誉和健全的财务会计制度；</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（3）具有履行合同所必需的货物和专业技术能力；</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（4）有依法缴纳税收和社会保障资金的良好记录；</w:t>
      </w:r>
    </w:p>
    <w:p>
      <w:pPr>
        <w:spacing w:line="360" w:lineRule="exact"/>
        <w:ind w:firstLine="360" w:firstLineChars="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（5）近三年内，在经营活动中没有重大违法记录。</w:t>
      </w:r>
    </w:p>
    <w:p>
      <w:pPr>
        <w:spacing w:line="360" w:lineRule="exact"/>
        <w:ind w:firstLine="360" w:firstLineChars="15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（6）我方未列入在信用中国网站（www.creditchina.gov.cn）“失信被执行人”、“重大税收违法失信主体”中，也未列入中国政府采购网（www.ccgp.gov.cn）“政府采购严重违法失信行为记录名单”中。</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3．我方在采购项目评审（评标）环节结束后，随时接受采购人、采购组织机构、采购代理机构的检查验证，配合提供相关证明材料，证明我方符合《中华人民共和国政府采购法》规定的投标人基本资格条件。</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4．投标货物近三年以来的主要用户的情况（另见附表） </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5．法人营业执照、税务登记证和组织机构代码证见以下附件。</w:t>
      </w:r>
    </w:p>
    <w:p>
      <w:pPr>
        <w:spacing w:line="360" w:lineRule="exact"/>
        <w:ind w:firstLine="48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rPr>
        <w:t>6．制造商或授权方出具的授权函等招标文件中要求提供的其他资格证明文件见以下附件。</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就我方全部所知，兹证明上述声明是真实、正确的， 并已提供了全部现有资料和数据，我方同意根据贵方要求出示文件予以证实。</w:t>
      </w:r>
    </w:p>
    <w:p>
      <w:pPr>
        <w:spacing w:line="700" w:lineRule="exact"/>
        <w:rPr>
          <w:rFonts w:asciiTheme="minorEastAsia" w:hAnsiTheme="minorEastAsia" w:eastAsiaTheme="minorEastAsia" w:cstheme="minorEastAsia"/>
          <w:color w:val="auto"/>
          <w:highlight w:val="none"/>
        </w:rPr>
      </w:pPr>
    </w:p>
    <w:p>
      <w:pPr>
        <w:spacing w:line="7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投标人（全称并加盖公章）：</w:t>
      </w:r>
    </w:p>
    <w:p>
      <w:pPr>
        <w:spacing w:line="7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投标代表签字：</w:t>
      </w:r>
    </w:p>
    <w:p>
      <w:pPr>
        <w:spacing w:line="7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    年   月   日</w:t>
      </w: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sectPr>
          <w:pgSz w:w="11906" w:h="16838"/>
          <w:pgMar w:top="1418" w:right="1247" w:bottom="1247" w:left="1418" w:header="851" w:footer="851" w:gutter="0"/>
          <w:cols w:space="720" w:num="1"/>
          <w:docGrid w:linePitch="326" w:charSpace="0"/>
        </w:sectPr>
      </w:pPr>
    </w:p>
    <w:p>
      <w:pPr>
        <w:pStyle w:val="16"/>
        <w:rPr>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五、单位营业执照等资格证明文件格式</w:t>
      </w:r>
    </w:p>
    <w:p>
      <w:pPr>
        <w:spacing w:line="360" w:lineRule="auto"/>
        <w:jc w:val="both"/>
        <w:rPr>
          <w:rFonts w:asciiTheme="minorEastAsia" w:hAnsiTheme="minorEastAsia" w:eastAsiaTheme="minorEastAsia" w:cstheme="minorEastAsia"/>
          <w:color w:val="auto"/>
          <w:sz w:val="40"/>
          <w:szCs w:val="40"/>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单位营业执照等资格证明文件</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 ******（签发机关名称）签发的我方法人（或其他组织）营业执照副本复印件，该执照已经年检，真实有效。</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现附上由******（签发机关名称）签发的我方税务登记证副本复印件，该证件已经年检，真实有效。</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现附上由******（签发机关名称）签发的我方组织机构代码证副本复印件，该证件已经年检，真实有效。</w:t>
      </w:r>
    </w:p>
    <w:p>
      <w:pPr>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现附上由******（签发机关名称）签发的我方证件副本复印件，该证件已经年检，真实有效。</w:t>
      </w:r>
    </w:p>
    <w:p>
      <w:pPr>
        <w:spacing w:line="360" w:lineRule="auto"/>
        <w:ind w:firstLine="480" w:firstLineChars="200"/>
        <w:rPr>
          <w:rFonts w:asciiTheme="minorEastAsia" w:hAnsiTheme="minorEastAsia" w:eastAsiaTheme="minorEastAsia" w:cstheme="minorEastAsia"/>
          <w:color w:val="auto"/>
          <w:highlight w:val="none"/>
        </w:rPr>
      </w:pPr>
    </w:p>
    <w:p>
      <w:pPr>
        <w:spacing w:line="4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[注：法人（或其他组织）营业执照、税务登记证、组织机构代码证等相关证明需复印包括能说明经年检合格的内容，并加盖公章，复印件必须</w:t>
      </w:r>
      <w:r>
        <w:rPr>
          <w:rFonts w:hint="eastAsia" w:asciiTheme="minorEastAsia" w:hAnsiTheme="minorEastAsia" w:eastAsiaTheme="minorEastAsia" w:cstheme="minorEastAsia"/>
          <w:b/>
          <w:color w:val="auto"/>
          <w:highlight w:val="none"/>
        </w:rPr>
        <w:t>与原件一致</w:t>
      </w:r>
      <w:r>
        <w:rPr>
          <w:rFonts w:hint="eastAsia" w:asciiTheme="minorEastAsia" w:hAnsiTheme="minorEastAsia" w:eastAsiaTheme="minorEastAsia" w:cstheme="minorEastAsia"/>
          <w:color w:val="auto"/>
          <w:highlight w:val="none"/>
        </w:rPr>
        <w:t>]。</w:t>
      </w:r>
    </w:p>
    <w:p>
      <w:pPr>
        <w:spacing w:line="360" w:lineRule="auto"/>
        <w:ind w:firstLine="480" w:firstLineChars="200"/>
        <w:rPr>
          <w:rFonts w:asciiTheme="minorEastAsia" w:hAnsiTheme="minorEastAsia" w:eastAsiaTheme="minorEastAsia" w:cstheme="minorEastAsia"/>
          <w:color w:val="auto"/>
          <w:highlight w:val="none"/>
        </w:rPr>
      </w:pPr>
    </w:p>
    <w:p>
      <w:pPr>
        <w:spacing w:line="7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 标 人（全称并加盖公章）：</w:t>
      </w:r>
    </w:p>
    <w:p>
      <w:pPr>
        <w:spacing w:line="7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投标代表签字：</w:t>
      </w:r>
    </w:p>
    <w:p>
      <w:pPr>
        <w:spacing w:line="7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pPr>
        <w:spacing w:line="360" w:lineRule="auto"/>
        <w:ind w:firstLine="560" w:firstLineChars="200"/>
        <w:rPr>
          <w:rFonts w:asciiTheme="minorEastAsia" w:hAnsiTheme="minorEastAsia" w:eastAsiaTheme="minorEastAsia" w:cstheme="minorEastAsia"/>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pStyle w:val="7"/>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color w:val="auto"/>
          <w:sz w:val="28"/>
          <w:szCs w:val="28"/>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六、制造厂商出具的授权函格式</w:t>
      </w:r>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制造厂商出具的授权函</w:t>
      </w:r>
    </w:p>
    <w:p>
      <w:pPr>
        <w:spacing w:line="360" w:lineRule="auto"/>
        <w:jc w:val="center"/>
        <w:rPr>
          <w:rFonts w:asciiTheme="minorEastAsia" w:hAnsiTheme="minorEastAsia" w:eastAsiaTheme="minorEastAsia" w:cstheme="minorEastAsia"/>
          <w:color w:val="auto"/>
          <w:sz w:val="21"/>
          <w:szCs w:val="21"/>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致：西南大学</w:t>
      </w:r>
    </w:p>
    <w:p>
      <w:pPr>
        <w:spacing w:line="360" w:lineRule="auto"/>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我们</w:t>
      </w:r>
      <w:r>
        <w:rPr>
          <w:rFonts w:hint="eastAsia" w:asciiTheme="minorEastAsia" w:hAnsiTheme="minorEastAsia" w:eastAsiaTheme="minorEastAsia" w:cstheme="minorEastAsia"/>
          <w:color w:val="auto"/>
          <w:sz w:val="22"/>
          <w:szCs w:val="22"/>
          <w:highlight w:val="none"/>
          <w:u w:val="single"/>
        </w:rPr>
        <w:t>（ 制造厂商名称）</w:t>
      </w:r>
      <w:r>
        <w:rPr>
          <w:rFonts w:hint="eastAsia" w:asciiTheme="minorEastAsia" w:hAnsiTheme="minorEastAsia" w:eastAsiaTheme="minorEastAsia" w:cstheme="minorEastAsia"/>
          <w:color w:val="auto"/>
          <w:sz w:val="22"/>
          <w:szCs w:val="22"/>
          <w:highlight w:val="none"/>
        </w:rPr>
        <w:t>是按</w:t>
      </w:r>
      <w:r>
        <w:rPr>
          <w:rFonts w:hint="eastAsia" w:asciiTheme="minorEastAsia" w:hAnsiTheme="minorEastAsia" w:eastAsiaTheme="minorEastAsia" w:cstheme="minorEastAsia"/>
          <w:color w:val="auto"/>
          <w:sz w:val="22"/>
          <w:szCs w:val="22"/>
          <w:highlight w:val="none"/>
          <w:u w:val="single"/>
        </w:rPr>
        <w:t xml:space="preserve"> （ 国家名称 ）</w:t>
      </w:r>
      <w:r>
        <w:rPr>
          <w:rFonts w:hint="eastAsia" w:asciiTheme="minorEastAsia" w:hAnsiTheme="minorEastAsia" w:eastAsiaTheme="minorEastAsia" w:cstheme="minorEastAsia"/>
          <w:color w:val="auto"/>
          <w:sz w:val="22"/>
          <w:szCs w:val="22"/>
          <w:highlight w:val="none"/>
        </w:rPr>
        <w:t>法律成立的一家制造商，主要营业地点设在</w:t>
      </w:r>
      <w:r>
        <w:rPr>
          <w:rFonts w:hint="eastAsia" w:asciiTheme="minorEastAsia" w:hAnsiTheme="minorEastAsia" w:eastAsiaTheme="minorEastAsia" w:cstheme="minorEastAsia"/>
          <w:color w:val="auto"/>
          <w:sz w:val="22"/>
          <w:szCs w:val="22"/>
          <w:highlight w:val="none"/>
          <w:u w:val="single"/>
        </w:rPr>
        <w:t>（ 制造厂商地址 ）</w:t>
      </w:r>
      <w:r>
        <w:rPr>
          <w:rFonts w:hint="eastAsia" w:asciiTheme="minorEastAsia" w:hAnsiTheme="minorEastAsia" w:eastAsiaTheme="minorEastAsia" w:cstheme="minorEastAsia"/>
          <w:color w:val="auto"/>
          <w:sz w:val="22"/>
          <w:szCs w:val="22"/>
          <w:highlight w:val="none"/>
        </w:rPr>
        <w:t>。兹指派按</w:t>
      </w:r>
      <w:r>
        <w:rPr>
          <w:rFonts w:hint="eastAsia" w:asciiTheme="minorEastAsia" w:hAnsiTheme="minorEastAsia" w:eastAsiaTheme="minorEastAsia" w:cstheme="minorEastAsia"/>
          <w:color w:val="auto"/>
          <w:sz w:val="22"/>
          <w:szCs w:val="22"/>
          <w:highlight w:val="none"/>
          <w:u w:val="single"/>
        </w:rPr>
        <w:t>（国家名称）</w:t>
      </w:r>
      <w:r>
        <w:rPr>
          <w:rFonts w:hint="eastAsia" w:asciiTheme="minorEastAsia" w:hAnsiTheme="minorEastAsia" w:eastAsiaTheme="minorEastAsia" w:cstheme="minorEastAsia"/>
          <w:color w:val="auto"/>
          <w:sz w:val="22"/>
          <w:szCs w:val="22"/>
          <w:highlight w:val="none"/>
        </w:rPr>
        <w:t>的法律正式成立的，主要营业地点设在</w:t>
      </w:r>
      <w:r>
        <w:rPr>
          <w:rFonts w:hint="eastAsia" w:asciiTheme="minorEastAsia" w:hAnsiTheme="minorEastAsia" w:eastAsiaTheme="minorEastAsia" w:cstheme="minorEastAsia"/>
          <w:color w:val="auto"/>
          <w:sz w:val="22"/>
          <w:szCs w:val="22"/>
          <w:highlight w:val="none"/>
          <w:u w:val="single"/>
        </w:rPr>
        <w:t>（投标人地址）</w:t>
      </w:r>
      <w:r>
        <w:rPr>
          <w:rFonts w:hint="eastAsia" w:asciiTheme="minorEastAsia" w:hAnsiTheme="minorEastAsia" w:eastAsiaTheme="minorEastAsia" w:cstheme="minorEastAsia"/>
          <w:color w:val="auto"/>
          <w:sz w:val="22"/>
          <w:szCs w:val="22"/>
          <w:highlight w:val="none"/>
        </w:rPr>
        <w:t>的</w:t>
      </w:r>
      <w:r>
        <w:rPr>
          <w:rFonts w:hint="eastAsia" w:asciiTheme="minorEastAsia" w:hAnsiTheme="minorEastAsia" w:eastAsiaTheme="minorEastAsia" w:cstheme="minorEastAsia"/>
          <w:color w:val="auto"/>
          <w:sz w:val="22"/>
          <w:szCs w:val="22"/>
          <w:highlight w:val="none"/>
          <w:u w:val="single"/>
        </w:rPr>
        <w:t xml:space="preserve"> （投标人名称 ）</w:t>
      </w:r>
      <w:r>
        <w:rPr>
          <w:rFonts w:hint="eastAsia" w:asciiTheme="minorEastAsia" w:hAnsiTheme="minorEastAsia" w:eastAsiaTheme="minorEastAsia" w:cstheme="minorEastAsia"/>
          <w:color w:val="auto"/>
          <w:sz w:val="22"/>
          <w:szCs w:val="22"/>
          <w:highlight w:val="none"/>
        </w:rPr>
        <w:t>作为我方真正的和合法的代理人进行下列有效的活动：</w:t>
      </w:r>
    </w:p>
    <w:p>
      <w:pPr>
        <w:spacing w:line="360" w:lineRule="auto"/>
        <w:ind w:firstLine="440" w:firstLineChars="200"/>
        <w:jc w:val="both"/>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 代表我方在中华人民共和国办理贵方第</w:t>
      </w:r>
      <w:r>
        <w:rPr>
          <w:rFonts w:hint="eastAsia" w:asciiTheme="minorEastAsia" w:hAnsiTheme="minorEastAsia" w:eastAsiaTheme="minorEastAsia" w:cstheme="minorEastAsia"/>
          <w:color w:val="auto"/>
          <w:sz w:val="22"/>
          <w:szCs w:val="22"/>
          <w:highlight w:val="none"/>
          <w:u w:val="single"/>
        </w:rPr>
        <w:t xml:space="preserve"> （招标编号）</w:t>
      </w:r>
      <w:r>
        <w:rPr>
          <w:rFonts w:hint="eastAsia" w:asciiTheme="minorEastAsia" w:hAnsiTheme="minorEastAsia" w:eastAsiaTheme="minorEastAsia" w:cstheme="minorEastAsia"/>
          <w:color w:val="auto"/>
          <w:sz w:val="22"/>
          <w:szCs w:val="22"/>
          <w:highlight w:val="none"/>
        </w:rPr>
        <w:t>号投标邀请要求提供的由我方制造的货物之有关事宜，并对我方有约束力。</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 作为制造商，我方保证以投标合作者来约束自己，并对该投标共同和分别承担招标文件中规定的义务。</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 我方兹授予</w:t>
      </w:r>
      <w:r>
        <w:rPr>
          <w:rFonts w:hint="eastAsia" w:asciiTheme="minorEastAsia" w:hAnsiTheme="minorEastAsia" w:eastAsiaTheme="minorEastAsia" w:cstheme="minorEastAsia"/>
          <w:color w:val="auto"/>
          <w:sz w:val="22"/>
          <w:szCs w:val="22"/>
          <w:highlight w:val="none"/>
          <w:u w:val="single"/>
        </w:rPr>
        <w:t xml:space="preserve"> （投标人名称）</w:t>
      </w:r>
      <w:r>
        <w:rPr>
          <w:rFonts w:hint="eastAsia" w:asciiTheme="minorEastAsia" w:hAnsiTheme="minorEastAsia" w:eastAsiaTheme="minorEastAsia" w:cstheme="minorEastAsia"/>
          <w:color w:val="auto"/>
          <w:sz w:val="22"/>
          <w:szCs w:val="22"/>
          <w:highlight w:val="none"/>
        </w:rPr>
        <w:t xml:space="preserve"> 全权办理和履行上述我方为完成上述各点所必须的事宜，具有替换和撤销的全权。兹确认</w:t>
      </w:r>
      <w:r>
        <w:rPr>
          <w:rFonts w:hint="eastAsia" w:asciiTheme="minorEastAsia" w:hAnsiTheme="minorEastAsia" w:eastAsiaTheme="minorEastAsia" w:cstheme="minorEastAsia"/>
          <w:color w:val="auto"/>
          <w:sz w:val="22"/>
          <w:szCs w:val="22"/>
          <w:highlight w:val="none"/>
          <w:u w:val="single"/>
        </w:rPr>
        <w:t>（投标人名称）</w:t>
      </w:r>
      <w:r>
        <w:rPr>
          <w:rFonts w:hint="eastAsia" w:asciiTheme="minorEastAsia" w:hAnsiTheme="minorEastAsia" w:eastAsiaTheme="minorEastAsia" w:cstheme="minorEastAsia"/>
          <w:color w:val="auto"/>
          <w:sz w:val="22"/>
          <w:szCs w:val="22"/>
          <w:highlight w:val="none"/>
        </w:rPr>
        <w:t>或其正式授权代表依此合法地办理一切事宜。</w:t>
      </w:r>
    </w:p>
    <w:p>
      <w:pPr>
        <w:spacing w:line="360" w:lineRule="auto"/>
        <w:ind w:firstLine="44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（4）我方于</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年</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月</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日签署本文件，</w:t>
      </w:r>
      <w:r>
        <w:rPr>
          <w:rFonts w:hint="eastAsia" w:asciiTheme="minorEastAsia" w:hAnsiTheme="minorEastAsia" w:eastAsiaTheme="minorEastAsia" w:cstheme="minorEastAsia"/>
          <w:color w:val="auto"/>
          <w:sz w:val="22"/>
          <w:szCs w:val="22"/>
          <w:highlight w:val="none"/>
          <w:u w:val="single"/>
        </w:rPr>
        <w:t>（投标人名称）</w:t>
      </w:r>
      <w:r>
        <w:rPr>
          <w:rFonts w:hint="eastAsia" w:asciiTheme="minorEastAsia" w:hAnsiTheme="minorEastAsia" w:eastAsiaTheme="minorEastAsia" w:cstheme="minorEastAsia"/>
          <w:color w:val="auto"/>
          <w:sz w:val="22"/>
          <w:szCs w:val="22"/>
          <w:highlight w:val="none"/>
        </w:rPr>
        <w:t>于</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年</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月</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rPr>
        <w:t>日接受此件，以此为证。</w:t>
      </w:r>
    </w:p>
    <w:p>
      <w:pPr>
        <w:spacing w:line="360" w:lineRule="auto"/>
        <w:ind w:firstLine="440" w:firstLineChars="200"/>
        <w:rPr>
          <w:rFonts w:asciiTheme="minorEastAsia" w:hAnsiTheme="minorEastAsia" w:eastAsiaTheme="minorEastAsia" w:cstheme="minorEastAsia"/>
          <w:color w:val="auto"/>
          <w:sz w:val="22"/>
          <w:szCs w:val="22"/>
          <w:highlight w:val="none"/>
        </w:rPr>
      </w:pPr>
    </w:p>
    <w:p>
      <w:pPr>
        <w:spacing w:line="360" w:lineRule="auto"/>
        <w:ind w:firstLine="440" w:firstLineChars="200"/>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投标人名称：                                  出具授权书的制造厂商名称：</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（投标人印章）                                   （制造商印章）</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签字人职务和部门：                            签字人职务和部门：</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签字人姓名：                                  签字人姓名：</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移动电话：                                    移动电话：</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联系电话：                                    联系电话：</w:t>
      </w:r>
    </w:p>
    <w:p>
      <w:pPr>
        <w:widowControl/>
        <w:spacing w:line="500" w:lineRule="exact"/>
        <w:rPr>
          <w:rFonts w:hint="eastAsia" w:asciiTheme="minorEastAsia" w:hAnsiTheme="minorEastAsia" w:eastAsiaTheme="minorEastAsia" w:cstheme="minorEastAsia"/>
          <w:b/>
          <w:color w:val="auto"/>
          <w:spacing w:val="-4"/>
          <w:highlight w:val="none"/>
        </w:rPr>
      </w:pPr>
      <w:r>
        <w:rPr>
          <w:rFonts w:hint="eastAsia" w:asciiTheme="minorEastAsia" w:hAnsiTheme="minorEastAsia" w:eastAsiaTheme="minorEastAsia" w:cstheme="minorEastAsia"/>
          <w:b/>
          <w:color w:val="auto"/>
          <w:spacing w:val="-4"/>
          <w:highlight w:val="none"/>
        </w:rPr>
        <w:t>注：进口货物若非制造商参与竞标的，须提供该授权函。若由代理商对投标产品授权的，需提供代理商具有有效授权权限的相关证明文件，证明文件需能显示产品制造厂家对竞标产品授权链条的完整性。</w:t>
      </w:r>
    </w:p>
    <w:p>
      <w:pPr>
        <w:pStyle w:val="7"/>
        <w:ind w:firstLine="466" w:firstLineChars="200"/>
        <w:rPr>
          <w:rFonts w:asciiTheme="minorEastAsia" w:hAnsiTheme="minorEastAsia" w:eastAsiaTheme="minorEastAsia" w:cstheme="minorEastAsia"/>
          <w:b/>
          <w:color w:val="auto"/>
          <w:spacing w:val="-4"/>
          <w:sz w:val="24"/>
          <w:szCs w:val="24"/>
          <w:highlight w:val="none"/>
        </w:rPr>
      </w:pPr>
      <w:r>
        <w:rPr>
          <w:rFonts w:hint="eastAsia" w:asciiTheme="minorEastAsia" w:hAnsiTheme="minorEastAsia" w:eastAsiaTheme="minorEastAsia" w:cstheme="minorEastAsia"/>
          <w:b/>
          <w:color w:val="auto"/>
          <w:spacing w:val="-4"/>
          <w:sz w:val="24"/>
          <w:szCs w:val="24"/>
          <w:highlight w:val="none"/>
        </w:rPr>
        <w:t>2.本授权函格式非强制要求，但其所有要素及信息须填写完整。</w:t>
      </w:r>
    </w:p>
    <w:p>
      <w:pPr>
        <w:widowControl/>
        <w:spacing w:line="500" w:lineRule="exact"/>
        <w:rPr>
          <w:rFonts w:hint="eastAsia" w:asciiTheme="minorEastAsia" w:hAnsiTheme="minorEastAsia" w:eastAsiaTheme="minorEastAsia" w:cstheme="minorEastAsia"/>
          <w:b/>
          <w:color w:val="auto"/>
          <w:spacing w:val="-4"/>
          <w:highlight w:val="none"/>
        </w:rPr>
      </w:pPr>
    </w:p>
    <w:p>
      <w:pPr>
        <w:pStyle w:val="3"/>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七、制造商资格声明</w:t>
      </w:r>
    </w:p>
    <w:p>
      <w:pPr>
        <w:spacing w:line="36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制造商资格声明（如适用）</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1．名称及概况：</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(1)制造商名称：</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(2)总部地址：</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电传/传真/电话号码：</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(3)成立和/或注册日期：</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(4)实收资本：</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(5)近期资产负债表(到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日止)</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①固定资产：</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②流动资产：</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③长期负债：</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④流动负债：</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⑤净值：</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(6)主要负责人姓名(可选填)：</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(7)制造商在中国的代表的姓名和地址(如有的话)：</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2．(1)关于制造投标货物的设施及其它情况</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工厂名称地址         生产的项目       年生产能力         职工人数</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u w:val="singl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(2)本制造厂不生产，而须从其它制造厂购买的主要零部件：</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制造商名称和地址                    主要零部件名称</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u w:val="single"/>
        </w:rPr>
      </w:pPr>
    </w:p>
    <w:p>
      <w:pPr>
        <w:spacing w:line="360" w:lineRule="exact"/>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3．本制造商生产投标货物的经验(包括年限、项目业主、额定能力、商业运营的起始日期等)：</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4．近3年投标货物主要销售给国内、外主要客户的名称地址：</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(1)出口销售</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(名称和地址)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(销售项目)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(2)国内销售</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(名称和地址)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(销售项目)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5．近3年的年营业额：</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年份                   国内                 出口               总额</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6．易损件供应商的名称和地址：</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部件名称                   供应商</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7．最近3年直接或间接向中国提供的投标货物：</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合同编号：</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签字日期：</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合同金额：</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8．有关开户银行的名称和地址：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9．制造商所属的集团公司（如有的话）：</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p>
      <w:pPr>
        <w:spacing w:line="360" w:lineRule="exact"/>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10．其他情况：</w:t>
      </w:r>
      <w:r>
        <w:rPr>
          <w:rFonts w:hint="eastAsia" w:asciiTheme="minorEastAsia" w:hAnsiTheme="minorEastAsia" w:eastAsiaTheme="minorEastAsia" w:cstheme="minorEastAsia"/>
          <w:color w:val="auto"/>
          <w:highlight w:val="none"/>
          <w:u w:val="single"/>
        </w:rPr>
        <w:t xml:space="preserve">                                                                        </w:t>
      </w:r>
    </w:p>
    <w:p>
      <w:pPr>
        <w:spacing w:line="360" w:lineRule="exact"/>
        <w:rPr>
          <w:rFonts w:asciiTheme="minorEastAsia" w:hAnsiTheme="minorEastAsia" w:eastAsiaTheme="minorEastAsia" w:cstheme="minorEastAsia"/>
          <w:color w:val="auto"/>
          <w:highlight w:val="none"/>
        </w:rPr>
      </w:pPr>
    </w:p>
    <w:p>
      <w:pPr>
        <w:spacing w:line="360" w:lineRule="exact"/>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兹证明上述声明是真实、正确的，并提供了全部能提供的资料和数据，我们同意遵照贵方要求出示有关证明文件。</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制造商名称：</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签字人姓名和职务：</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签字人签名：</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签字日期：</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传真：</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电子邮件：</w:t>
      </w:r>
    </w:p>
    <w:p>
      <w:pPr>
        <w:pStyle w:val="5"/>
        <w:rPr>
          <w:rFonts w:asciiTheme="minorEastAsia" w:hAnsiTheme="minorEastAsia" w:eastAsiaTheme="minorEastAsia" w:cstheme="minorEastAsia"/>
          <w:color w:val="auto"/>
          <w:highlight w:val="none"/>
        </w:rPr>
        <w:sectPr>
          <w:pgSz w:w="11906" w:h="16838"/>
          <w:pgMar w:top="1418" w:right="1247" w:bottom="1247" w:left="1418" w:header="851" w:footer="851" w:gutter="0"/>
          <w:cols w:space="720" w:num="1"/>
          <w:docGrid w:linePitch="326" w:charSpace="0"/>
        </w:sectPr>
      </w:pPr>
    </w:p>
    <w:p>
      <w:pPr>
        <w:pStyle w:val="5"/>
        <w:rPr>
          <w:rFonts w:asciiTheme="minorEastAsia" w:hAnsiTheme="minorEastAsia" w:eastAsiaTheme="minorEastAsia" w:cstheme="minorEastAsia"/>
          <w:color w:val="auto"/>
          <w:highlight w:val="none"/>
        </w:rPr>
      </w:pPr>
    </w:p>
    <w:p>
      <w:pPr>
        <w:pStyle w:val="3"/>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八、其他</w:t>
      </w:r>
    </w:p>
    <w:p>
      <w:pPr>
        <w:pStyle w:val="5"/>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本项目所需或投标人认为应该提供的其他资格文件，格式可自拟</w:t>
      </w: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br w:type="page"/>
      </w:r>
    </w:p>
    <w:p>
      <w:pPr>
        <w:pStyle w:val="5"/>
        <w:ind w:firstLine="0"/>
        <w:rPr>
          <w:rFonts w:asciiTheme="minorEastAsia" w:hAnsiTheme="minorEastAsia" w:eastAsiaTheme="minorEastAsia" w:cstheme="minorEastAsia"/>
          <w:color w:val="auto"/>
          <w:highlight w:val="none"/>
        </w:rPr>
      </w:pPr>
    </w:p>
    <w:p>
      <w:pPr>
        <w:pStyle w:val="5"/>
        <w:ind w:firstLine="0"/>
        <w:rPr>
          <w:rFonts w:asciiTheme="minorEastAsia" w:hAnsiTheme="minorEastAsia" w:eastAsiaTheme="minorEastAsia" w:cstheme="minorEastAsia"/>
          <w:color w:val="auto"/>
          <w:highlight w:val="none"/>
        </w:rPr>
      </w:pPr>
    </w:p>
    <w:p>
      <w:pPr>
        <w:keepNext/>
        <w:keepLines/>
        <w:snapToGrid w:val="0"/>
        <w:spacing w:line="560" w:lineRule="exact"/>
        <w:jc w:val="center"/>
        <w:textAlignment w:val="auto"/>
        <w:outlineLvl w:val="1"/>
        <w:rPr>
          <w:rFonts w:ascii="宋体" w:hAnsi="宋体"/>
          <w:b/>
          <w:color w:val="auto"/>
          <w:kern w:val="2"/>
          <w:sz w:val="36"/>
          <w:szCs w:val="36"/>
          <w:highlight w:val="none"/>
        </w:rPr>
      </w:pPr>
      <w:bookmarkStart w:id="136" w:name="_Toc285722716"/>
      <w:bookmarkStart w:id="137" w:name="_Toc418512142"/>
      <w:bookmarkStart w:id="138" w:name="_Toc370305018"/>
      <w:bookmarkStart w:id="139" w:name="_Toc277084874"/>
      <w:bookmarkStart w:id="140" w:name="_Toc315941084"/>
      <w:bookmarkStart w:id="141" w:name="_Toc315942083"/>
      <w:bookmarkStart w:id="142" w:name="_Toc316375214"/>
      <w:bookmarkStart w:id="143" w:name="_Toc297020926"/>
      <w:r>
        <w:rPr>
          <w:rFonts w:hint="eastAsia" w:ascii="宋体" w:hAnsi="宋体"/>
          <w:b/>
          <w:color w:val="auto"/>
          <w:kern w:val="2"/>
          <w:sz w:val="36"/>
          <w:szCs w:val="36"/>
          <w:highlight w:val="none"/>
        </w:rPr>
        <w:t>第</w:t>
      </w:r>
      <w:r>
        <w:rPr>
          <w:rFonts w:ascii="宋体" w:hAnsi="宋体"/>
          <w:b/>
          <w:color w:val="auto"/>
          <w:kern w:val="2"/>
          <w:sz w:val="36"/>
          <w:szCs w:val="36"/>
          <w:highlight w:val="none"/>
        </w:rPr>
        <w:t>二部</w:t>
      </w:r>
      <w:r>
        <w:rPr>
          <w:rFonts w:hint="eastAsia" w:ascii="宋体" w:hAnsi="宋体"/>
          <w:b/>
          <w:color w:val="auto"/>
          <w:kern w:val="2"/>
          <w:sz w:val="36"/>
          <w:szCs w:val="36"/>
          <w:highlight w:val="none"/>
        </w:rPr>
        <w:t>分  技术、经济、商务文件</w:t>
      </w:r>
      <w:bookmarkEnd w:id="136"/>
      <w:bookmarkEnd w:id="137"/>
      <w:bookmarkEnd w:id="138"/>
      <w:bookmarkEnd w:id="139"/>
      <w:bookmarkEnd w:id="140"/>
      <w:bookmarkEnd w:id="141"/>
      <w:bookmarkEnd w:id="142"/>
      <w:bookmarkEnd w:id="143"/>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bookmarkEnd w:id="130"/>
    <w:p>
      <w:pPr>
        <w:spacing w:line="360" w:lineRule="exact"/>
        <w:jc w:val="center"/>
        <w:rPr>
          <w:rFonts w:asciiTheme="minorEastAsia" w:hAnsiTheme="minorEastAsia" w:eastAsiaTheme="minorEastAsia" w:cstheme="minorEastAsia"/>
          <w:color w:val="auto"/>
          <w:highlight w:val="none"/>
        </w:rPr>
      </w:pPr>
    </w:p>
    <w:p>
      <w:pPr>
        <w:spacing w:line="360" w:lineRule="exact"/>
        <w:jc w:val="center"/>
        <w:rPr>
          <w:rFonts w:asciiTheme="minorEastAsia" w:hAnsiTheme="minorEastAsia" w:eastAsiaTheme="minorEastAsia" w:cstheme="minorEastAsia"/>
          <w:color w:val="auto"/>
          <w:highlight w:val="none"/>
        </w:rPr>
      </w:pPr>
    </w:p>
    <w:p>
      <w:pPr>
        <w:spacing w:line="360" w:lineRule="exact"/>
        <w:jc w:val="center"/>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投标文件封面格式</w:t>
      </w:r>
    </w:p>
    <w:p>
      <w:pPr>
        <w:spacing w:line="360" w:lineRule="auto"/>
        <w:jc w:val="center"/>
        <w:rPr>
          <w:rFonts w:asciiTheme="minorEastAsia" w:hAnsiTheme="minorEastAsia" w:eastAsiaTheme="minorEastAsia" w:cstheme="minorEastAsia"/>
          <w:b/>
          <w:color w:val="auto"/>
          <w:sz w:val="44"/>
          <w:szCs w:val="44"/>
          <w:highlight w:val="none"/>
        </w:rPr>
      </w:pPr>
    </w:p>
    <w:p>
      <w:pPr>
        <w:spacing w:line="360" w:lineRule="auto"/>
        <w:jc w:val="center"/>
        <w:rPr>
          <w:rFonts w:asciiTheme="minorEastAsia" w:hAnsiTheme="minorEastAsia" w:eastAsiaTheme="minorEastAsia" w:cstheme="minorEastAsia"/>
          <w:b/>
          <w:color w:val="auto"/>
          <w:sz w:val="52"/>
          <w:szCs w:val="52"/>
          <w:highlight w:val="none"/>
        </w:rPr>
      </w:pPr>
      <w:r>
        <w:rPr>
          <w:rFonts w:hint="eastAsia" w:asciiTheme="minorEastAsia" w:hAnsiTheme="minorEastAsia" w:eastAsiaTheme="minorEastAsia" w:cstheme="minorEastAsia"/>
          <w:b/>
          <w:color w:val="auto"/>
          <w:sz w:val="52"/>
          <w:szCs w:val="52"/>
          <w:highlight w:val="none"/>
        </w:rPr>
        <w:t>投 标 文 件</w:t>
      </w: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（封面）</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技术、经济、商务文件</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ind w:firstLine="1820" w:firstLineChars="65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 </w:t>
      </w:r>
    </w:p>
    <w:p>
      <w:pPr>
        <w:spacing w:line="360" w:lineRule="auto"/>
        <w:ind w:firstLine="1820" w:firstLineChars="650"/>
        <w:rPr>
          <w:rFonts w:asciiTheme="minorEastAsia" w:hAnsiTheme="minorEastAsia" w:eastAsiaTheme="minorEastAsia" w:cstheme="minorEastAsia"/>
          <w:color w:val="auto"/>
          <w:sz w:val="28"/>
          <w:szCs w:val="28"/>
          <w:highlight w:val="none"/>
        </w:rPr>
      </w:pPr>
    </w:p>
    <w:p>
      <w:pPr>
        <w:spacing w:line="360" w:lineRule="auto"/>
        <w:ind w:firstLine="1820" w:firstLineChars="6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招标编号：</w:t>
      </w:r>
    </w:p>
    <w:p>
      <w:pPr>
        <w:spacing w:line="360" w:lineRule="auto"/>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（正本/ 副本）</w:t>
      </w: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ind w:firstLine="480" w:firstLineChars="200"/>
        <w:rPr>
          <w:rFonts w:asciiTheme="minorEastAsia" w:hAnsiTheme="minorEastAsia" w:eastAsiaTheme="minorEastAsia" w:cstheme="minorEastAsia"/>
          <w:color w:val="auto"/>
          <w:highlight w:val="none"/>
        </w:rPr>
      </w:pP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  ：</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法定代表人姓名：                 手机：</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                           邮编：</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                           传真：</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网址：</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电子邮箱：</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投标代表（印刷体）：              签字：</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手机：                            日期  ：  年  月  日</w:t>
      </w:r>
    </w:p>
    <w:p>
      <w:pPr>
        <w:spacing w:line="360" w:lineRule="auto"/>
        <w:rPr>
          <w:rFonts w:asciiTheme="minorEastAsia" w:hAnsiTheme="minorEastAsia" w:eastAsiaTheme="minorEastAsia" w:cstheme="minorEastAsia"/>
          <w:color w:val="auto"/>
          <w:highlight w:val="none"/>
        </w:rPr>
      </w:pPr>
    </w:p>
    <w:p>
      <w:pPr>
        <w:pStyle w:val="7"/>
        <w:rPr>
          <w:color w:val="auto"/>
          <w:highlight w:val="none"/>
        </w:rPr>
      </w:pPr>
    </w:p>
    <w:p>
      <w:pPr>
        <w:spacing w:line="360" w:lineRule="exact"/>
        <w:rPr>
          <w:rFonts w:asciiTheme="minorEastAsia" w:hAnsiTheme="minorEastAsia" w:eastAsiaTheme="minorEastAsia" w:cstheme="minorEastAsia"/>
          <w:color w:val="auto"/>
          <w:highlight w:val="none"/>
        </w:rPr>
      </w:pPr>
      <w:bookmarkStart w:id="144" w:name="_Toc465269279"/>
    </w:p>
    <w:p>
      <w:pPr>
        <w:spacing w:line="360" w:lineRule="exact"/>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投标文件目录格式</w:t>
      </w: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投标文件目录</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一、投标函………………………………………………………………………………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 廉洁投标承诺书……………………………………………………………………页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三、开标一览表…………………………………………………………………………页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四、投标分项报价表……………………………………………………………………页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五、配置清单……………………………………………………………………………页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六、法定代表人（单位负责人）身份证明及法定代表人（单位负责人）授权书…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七、技术规格/要求偏离表………………………………………………………………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八、商务条款偏离表……………………………………………………………………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九、售后服务承诺书……………………………………………………………………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十、同类项目业绩………………………………………………………………………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十一、中小企业情况说明………………………………………………………………页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十二、承诺书…………………………………………………………………………… 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十三、其它材料………………………………………………………………………… 页</w:t>
      </w: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sectPr>
          <w:pgSz w:w="11906" w:h="16838"/>
          <w:pgMar w:top="1418" w:right="1247" w:bottom="1247" w:left="1418" w:header="851" w:footer="851" w:gutter="0"/>
          <w:cols w:space="720" w:num="1"/>
          <w:docGrid w:linePitch="326" w:charSpace="0"/>
        </w:sectPr>
      </w:pPr>
    </w:p>
    <w:bookmarkEnd w:id="144"/>
    <w:p>
      <w:pPr>
        <w:pStyle w:val="3"/>
        <w:spacing w:line="400" w:lineRule="exact"/>
        <w:ind w:left="0"/>
        <w:rPr>
          <w:rFonts w:asciiTheme="minorEastAsia" w:hAnsiTheme="minorEastAsia" w:eastAsiaTheme="minorEastAsia" w:cstheme="minorEastAsia"/>
          <w:b w:val="0"/>
          <w:color w:val="auto"/>
          <w:highlight w:val="none"/>
        </w:rPr>
      </w:pPr>
      <w:bookmarkStart w:id="145" w:name="_Toc465269280"/>
      <w:r>
        <w:rPr>
          <w:rFonts w:hint="eastAsia" w:asciiTheme="minorEastAsia" w:hAnsiTheme="minorEastAsia" w:eastAsiaTheme="minorEastAsia" w:cstheme="minorEastAsia"/>
          <w:b w:val="0"/>
          <w:color w:val="auto"/>
          <w:highlight w:val="none"/>
        </w:rPr>
        <w:t>一、投标函格式</w:t>
      </w:r>
    </w:p>
    <w:p>
      <w:pPr>
        <w:spacing w:line="400" w:lineRule="exact"/>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投 标 函</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8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根据贵方 </w:t>
      </w:r>
      <w:r>
        <w:rPr>
          <w:rFonts w:hint="eastAsia" w:asciiTheme="minorEastAsia" w:hAnsiTheme="minorEastAsia" w:eastAsiaTheme="minorEastAsia" w:cstheme="minorEastAsia"/>
          <w:color w:val="auto"/>
          <w:highlight w:val="none"/>
          <w:u w:val="single"/>
        </w:rPr>
        <w:t>（项目名称 ）</w:t>
      </w:r>
      <w:r>
        <w:rPr>
          <w:rFonts w:hint="eastAsia" w:asciiTheme="minorEastAsia" w:hAnsiTheme="minorEastAsia" w:eastAsiaTheme="minorEastAsia" w:cstheme="minorEastAsia"/>
          <w:color w:val="auto"/>
          <w:highlight w:val="none"/>
        </w:rPr>
        <w:t xml:space="preserve">项目招标采购货物及服务的投标邀请 </w:t>
      </w:r>
      <w:r>
        <w:rPr>
          <w:rFonts w:hint="eastAsia" w:asciiTheme="minorEastAsia" w:hAnsiTheme="minorEastAsia" w:eastAsiaTheme="minorEastAsia" w:cstheme="minorEastAsia"/>
          <w:color w:val="auto"/>
          <w:highlight w:val="none"/>
          <w:u w:val="single"/>
        </w:rPr>
        <w:t>（招标编号 ）</w:t>
      </w:r>
      <w:r>
        <w:rPr>
          <w:rFonts w:hint="eastAsia" w:asciiTheme="minorEastAsia" w:hAnsiTheme="minorEastAsia" w:eastAsiaTheme="minorEastAsia" w:cstheme="minorEastAsia"/>
          <w:color w:val="auto"/>
          <w:highlight w:val="none"/>
        </w:rPr>
        <w:t>，签字代表</w:t>
      </w:r>
      <w:r>
        <w:rPr>
          <w:rFonts w:hint="eastAsia" w:asciiTheme="minorEastAsia" w:hAnsiTheme="minorEastAsia" w:eastAsiaTheme="minorEastAsia" w:cstheme="minorEastAsia"/>
          <w:color w:val="auto"/>
          <w:highlight w:val="none"/>
          <w:u w:val="single"/>
        </w:rPr>
        <w:t>（ 姓名， 职务 ）</w:t>
      </w:r>
      <w:r>
        <w:rPr>
          <w:rFonts w:hint="eastAsia" w:asciiTheme="minorEastAsia" w:hAnsiTheme="minorEastAsia" w:eastAsiaTheme="minorEastAsia" w:cstheme="minorEastAsia"/>
          <w:color w:val="auto"/>
          <w:highlight w:val="none"/>
        </w:rPr>
        <w:t>经正式授权并代表投标人</w:t>
      </w:r>
      <w:r>
        <w:rPr>
          <w:rFonts w:hint="eastAsia" w:asciiTheme="minorEastAsia" w:hAnsiTheme="minorEastAsia" w:eastAsiaTheme="minorEastAsia" w:cstheme="minorEastAsia"/>
          <w:color w:val="auto"/>
          <w:highlight w:val="none"/>
          <w:u w:val="single"/>
        </w:rPr>
        <w:t>( 投标人名称和地址)</w:t>
      </w:r>
      <w:r>
        <w:rPr>
          <w:rFonts w:hint="eastAsia" w:asciiTheme="minorEastAsia" w:hAnsiTheme="minorEastAsia" w:eastAsiaTheme="minorEastAsia" w:cstheme="minorEastAsia"/>
          <w:color w:val="auto"/>
          <w:highlight w:val="none"/>
        </w:rPr>
        <w:t>提交投标文件</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t>资格文件正本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份，副本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份；经济商务技术文件正本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份，副本</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份）。</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签字人代表以此函申明并同意如下:</w:t>
      </w:r>
    </w:p>
    <w:p>
      <w:pPr>
        <w:spacing w:line="380" w:lineRule="exact"/>
        <w:ind w:firstLine="472" w:firstLineChars="200"/>
        <w:jc w:val="both"/>
        <w:rPr>
          <w:rFonts w:asciiTheme="minorEastAsia" w:hAnsiTheme="minorEastAsia" w:eastAsiaTheme="minorEastAsia" w:cstheme="minorEastAsia"/>
          <w:color w:val="auto"/>
          <w:spacing w:val="-2"/>
          <w:highlight w:val="none"/>
        </w:rPr>
      </w:pPr>
      <w:r>
        <w:rPr>
          <w:rFonts w:hint="eastAsia" w:asciiTheme="minorEastAsia" w:hAnsiTheme="minorEastAsia" w:eastAsiaTheme="minorEastAsia" w:cstheme="minorEastAsia"/>
          <w:color w:val="auto"/>
          <w:spacing w:val="-2"/>
          <w:highlight w:val="none"/>
        </w:rPr>
        <w:t>（1）所附投标报价表规定的应提交和交付的货物及服务的投标总价为货交采购人指定地点（包括安装调试）价格，其中国内货物总价为人民币</w:t>
      </w:r>
      <w:r>
        <w:rPr>
          <w:rFonts w:hint="eastAsia" w:asciiTheme="minorEastAsia" w:hAnsiTheme="minorEastAsia" w:eastAsiaTheme="minorEastAsia" w:cstheme="minorEastAsia"/>
          <w:color w:val="auto"/>
          <w:spacing w:val="-2"/>
          <w:highlight w:val="none"/>
          <w:u w:val="single"/>
        </w:rPr>
        <w:t xml:space="preserve">              </w:t>
      </w:r>
      <w:r>
        <w:rPr>
          <w:rFonts w:hint="eastAsia" w:asciiTheme="minorEastAsia" w:hAnsiTheme="minorEastAsia" w:eastAsiaTheme="minorEastAsia" w:cstheme="minorEastAsia"/>
          <w:color w:val="auto"/>
          <w:spacing w:val="-2"/>
          <w:highlight w:val="none"/>
        </w:rPr>
        <w:t>元（以大写和数字表示，国内货物报含税人民币价），进口货物的总价为</w:t>
      </w:r>
      <w:r>
        <w:rPr>
          <w:rFonts w:hint="eastAsia" w:asciiTheme="minorEastAsia" w:hAnsiTheme="minorEastAsia" w:eastAsiaTheme="minorEastAsia" w:cstheme="minorEastAsia"/>
          <w:color w:val="auto"/>
          <w:spacing w:val="-2"/>
          <w:highlight w:val="none"/>
          <w:u w:val="single"/>
        </w:rPr>
        <w:t xml:space="preserve">              </w:t>
      </w:r>
      <w:r>
        <w:rPr>
          <w:rFonts w:hint="eastAsia" w:asciiTheme="minorEastAsia" w:hAnsiTheme="minorEastAsia" w:eastAsiaTheme="minorEastAsia" w:cstheme="minorEastAsia"/>
          <w:color w:val="auto"/>
          <w:spacing w:val="-2"/>
          <w:highlight w:val="none"/>
        </w:rPr>
        <w:t>（以大写和数字表示，</w:t>
      </w:r>
      <w:r>
        <w:rPr>
          <w:rFonts w:hint="eastAsia" w:asciiTheme="minorEastAsia" w:hAnsiTheme="minorEastAsia" w:eastAsiaTheme="minorEastAsia" w:cstheme="minorEastAsia"/>
          <w:b/>
          <w:bCs/>
          <w:color w:val="auto"/>
          <w:spacing w:val="-2"/>
          <w:highlight w:val="none"/>
        </w:rPr>
        <w:t>进口货物可报外币价，注明报价方式</w:t>
      </w:r>
      <w:r>
        <w:rPr>
          <w:rFonts w:hint="eastAsia" w:asciiTheme="minorEastAsia" w:hAnsiTheme="minorEastAsia" w:eastAsiaTheme="minorEastAsia" w:cstheme="minorEastAsia"/>
          <w:color w:val="auto"/>
          <w:spacing w:val="-2"/>
          <w:highlight w:val="none"/>
        </w:rPr>
        <w:t>）。</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（2）投标人将按招标文件的规定履行合同责任和义务。</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（3）投标人已详细审查全部招标文件，包括第（编号、补遗书）(如果有的话)。我们完全理解并同意放弃对这方面有不明及误解的权力。</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（4）投标人之投标有效期为自开标之日起 90 个日历天。</w:t>
      </w:r>
    </w:p>
    <w:p>
      <w:pPr>
        <w:spacing w:line="38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（5）投标人保证遵守招标文件的全部规定，所提交的材料中所含的信息均为真实、准确、完整，且不具有任何误导性，并同意提供按照采购人可能的要求的与该项目投标有关的一切数据或资料。</w:t>
      </w:r>
    </w:p>
    <w:p>
      <w:pPr>
        <w:spacing w:line="38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pPr>
        <w:spacing w:line="38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（7）我方承诺，与采购人聘请的为此项目提供咨询服务的公司及任何附属机构均无关联，我方不是采购人的附属机构。</w:t>
      </w:r>
    </w:p>
    <w:p>
      <w:pPr>
        <w:spacing w:line="38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（8）我方承诺具有所投标的物的合法供货能力，具有履行合同所必需的设备和专业技术能力以及提供设备的安装、培训和提供长期售后服务的能力并能按贵方要求提供相关证明材料；</w:t>
      </w:r>
    </w:p>
    <w:p>
      <w:pPr>
        <w:spacing w:line="44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（9）我方承诺，不存在招标文件中规定的其他限制投标情形。</w:t>
      </w:r>
    </w:p>
    <w:p>
      <w:pPr>
        <w:spacing w:line="38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（10）所有与本次投标有关的一切正式信函请寄：</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                                    传真:</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                                    邮政编码:</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投标人授权代表姓名、职务（印刷体）：    投标人名称：</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投标人授权代表签名：                    投标人法人公章：</w:t>
      </w:r>
    </w:p>
    <w:p>
      <w:pPr>
        <w:spacing w:line="38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投标人授权代表移动电话：                日期：</w:t>
      </w:r>
    </w:p>
    <w:bookmarkEnd w:id="145"/>
    <w:p>
      <w:pPr>
        <w:pStyle w:val="3"/>
        <w:spacing w:line="360" w:lineRule="auto"/>
        <w:ind w:left="0"/>
        <w:rPr>
          <w:rFonts w:asciiTheme="minorEastAsia" w:hAnsiTheme="minorEastAsia" w:eastAsiaTheme="minorEastAsia" w:cstheme="minorEastAsia"/>
          <w:b w:val="0"/>
          <w:color w:val="auto"/>
          <w:highlight w:val="none"/>
        </w:rPr>
        <w:sectPr>
          <w:pgSz w:w="11906" w:h="16838"/>
          <w:pgMar w:top="1418" w:right="1247" w:bottom="1247" w:left="1418" w:header="851" w:footer="851" w:gutter="0"/>
          <w:cols w:space="720" w:num="1"/>
          <w:docGrid w:linePitch="326" w:charSpace="0"/>
        </w:sectPr>
      </w:pPr>
      <w:bookmarkStart w:id="146" w:name="_Toc465269281"/>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二、廉洁投标承诺书格式</w:t>
      </w:r>
    </w:p>
    <w:p>
      <w:pPr>
        <w:spacing w:line="420" w:lineRule="exact"/>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廉洁投标承诺书</w:t>
      </w:r>
    </w:p>
    <w:p>
      <w:pPr>
        <w:spacing w:line="42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42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为加强招标采购活动中的廉政建设，防止发生商业贿赂等违法违纪行为，保护国家、集体和当事人的合法权益，根据《中华人民共和国政府采购法》等法律、法规规定，特向贵单位承诺如下事项：</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一、参与招标采购活动时，除具备采购文件规定的资格、资质要求外，我方还将严格遵守有关法律、法规、政策以及国家、地方关于廉政建设的各项规定。</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二、遵循公开、公平、公正、诚实信用原则参加投标活动，不发生损害上述原则及各方当事人合法权益的不正当竞争行为。</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三、与采购各方当事人保持正常的业务交往，不向采购用户单位和个人、政府采购与招投标管理中心及工作人员、监督机构、评审专家及其他参与采购活动的人员提供不正当利益。</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主要有：</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1、不向上述人员赠送礼金、有价证券、贵重物品及回扣、好处费、感谢费等。</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2、不为上述人员或单位报销应由对方支付的费用。</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3、不为上述人员装修住房、婚丧嫁娶、配偶子女的工作安排以及出国(境)、旅游等提供方便。</w:t>
      </w:r>
    </w:p>
    <w:p>
      <w:pPr>
        <w:spacing w:line="400" w:lineRule="exact"/>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4、不为上述人员或单位提供可能影响采购活动的宴请、健身、娱乐等活动。</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四、如获中标，将严格执行采购合同，自觉按合同办事。在合同执行过程中，不发生本承诺书第三条中所列不良行为。</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五、发现采购活动各方当事人有违规、违纪、违法行为的，及时提醒对方，情节严重的，主动向其主管部门或纪检监察、司法等机关举报。</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六、自觉接受监管。在采购活动中出现违反本承诺书规定行为的，自觉接受采购管理部门的处罚，因违法违规行为给其他当事人造成经济损失的，按规定予以赔偿。</w:t>
      </w:r>
    </w:p>
    <w:p>
      <w:pPr>
        <w:spacing w:line="40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我方自愿将本承诺书作为采购文件的必备要件。在投标、报价时，由我方法定代表人或其委托代理人签署，并随投标、报价文件一并提交，否则可视为未实质响应采购文件，自愿接受由此造成的一切后果和损失。</w:t>
      </w:r>
    </w:p>
    <w:p>
      <w:pPr>
        <w:spacing w:line="40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八、本承诺书自签署之日起生效。</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投标人(全称并加盖章)：</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法定代表人签字：</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投标人代表签字：</w:t>
      </w:r>
    </w:p>
    <w:p>
      <w:pPr>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bookmarkEnd w:id="146"/>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三、开标一览表</w:t>
      </w:r>
    </w:p>
    <w:p>
      <w:pPr>
        <w:spacing w:line="360" w:lineRule="auto"/>
        <w:ind w:firstLine="3080" w:firstLineChars="700"/>
        <w:jc w:val="both"/>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开标一览表</w:t>
      </w:r>
    </w:p>
    <w:p>
      <w:pPr>
        <w:spacing w:line="360" w:lineRule="auto"/>
        <w:ind w:firstLine="120" w:firstLineChars="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项目名称：热场发射扫描电镜采购</w:t>
      </w:r>
    </w:p>
    <w:p>
      <w:pPr>
        <w:spacing w:line="360" w:lineRule="auto"/>
        <w:rPr>
          <w:rFonts w:asciiTheme="minorEastAsia" w:hAnsiTheme="minorEastAsia" w:eastAsiaTheme="minorEastAsia" w:cstheme="minorEastAsia"/>
          <w:color w:val="auto"/>
          <w:sz w:val="44"/>
          <w:szCs w:val="44"/>
          <w:highlight w:val="none"/>
          <w:u w:val="single"/>
        </w:rPr>
      </w:pPr>
      <w:r>
        <w:rPr>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tbl>
      <w:tblPr>
        <w:tblStyle w:val="25"/>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4"/>
        <w:gridCol w:w="1494"/>
        <w:gridCol w:w="2146"/>
        <w:gridCol w:w="1122"/>
        <w:gridCol w:w="977"/>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334"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序号</w:t>
            </w:r>
          </w:p>
        </w:tc>
        <w:tc>
          <w:tcPr>
            <w:tcW w:w="1494"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报价方式</w:t>
            </w:r>
          </w:p>
        </w:tc>
        <w:tc>
          <w:tcPr>
            <w:tcW w:w="2146"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投标货币</w:t>
            </w:r>
          </w:p>
        </w:tc>
        <w:tc>
          <w:tcPr>
            <w:tcW w:w="1122" w:type="dxa"/>
            <w:vAlign w:val="center"/>
          </w:tcPr>
          <w:p>
            <w:pPr>
              <w:spacing w:line="360" w:lineRule="auto"/>
              <w:jc w:val="both"/>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投标报价</w:t>
            </w:r>
          </w:p>
        </w:tc>
        <w:tc>
          <w:tcPr>
            <w:tcW w:w="977"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交货期</w:t>
            </w:r>
          </w:p>
        </w:tc>
        <w:tc>
          <w:tcPr>
            <w:tcW w:w="1223" w:type="dxa"/>
            <w:vAlign w:val="center"/>
          </w:tcPr>
          <w:p>
            <w:pPr>
              <w:spacing w:line="360" w:lineRule="auto"/>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1.国内货物</w:t>
            </w:r>
          </w:p>
        </w:tc>
        <w:tc>
          <w:tcPr>
            <w:tcW w:w="1494" w:type="dxa"/>
          </w:tcPr>
          <w:p>
            <w:pPr>
              <w:pStyle w:val="11"/>
              <w:spacing w:line="360" w:lineRule="auto"/>
              <w:rPr>
                <w:rFonts w:asciiTheme="minorEastAsia" w:hAnsiTheme="minorEastAsia" w:eastAsiaTheme="minorEastAsia" w:cstheme="minorEastAsia"/>
                <w:color w:val="auto"/>
                <w:sz w:val="24"/>
                <w:szCs w:val="28"/>
                <w:highlight w:val="none"/>
              </w:rPr>
            </w:pPr>
          </w:p>
        </w:tc>
        <w:tc>
          <w:tcPr>
            <w:tcW w:w="2146" w:type="dxa"/>
          </w:tcPr>
          <w:p>
            <w:pPr>
              <w:pStyle w:val="11"/>
              <w:spacing w:line="360" w:lineRule="auto"/>
              <w:rPr>
                <w:rFonts w:asciiTheme="minorEastAsia" w:hAnsiTheme="minorEastAsia" w:eastAsiaTheme="minorEastAsia" w:cstheme="minorEastAsia"/>
                <w:color w:val="auto"/>
                <w:sz w:val="24"/>
                <w:szCs w:val="28"/>
                <w:highlight w:val="none"/>
              </w:rPr>
            </w:pPr>
          </w:p>
        </w:tc>
        <w:tc>
          <w:tcPr>
            <w:tcW w:w="1122" w:type="dxa"/>
          </w:tcPr>
          <w:p>
            <w:pPr>
              <w:pStyle w:val="11"/>
              <w:spacing w:line="360" w:lineRule="auto"/>
              <w:rPr>
                <w:rFonts w:asciiTheme="minorEastAsia" w:hAnsiTheme="minorEastAsia" w:eastAsiaTheme="minorEastAsia" w:cstheme="minorEastAsia"/>
                <w:color w:val="auto"/>
                <w:sz w:val="24"/>
                <w:szCs w:val="28"/>
                <w:highlight w:val="none"/>
              </w:rPr>
            </w:pPr>
          </w:p>
        </w:tc>
        <w:tc>
          <w:tcPr>
            <w:tcW w:w="977" w:type="dxa"/>
          </w:tcPr>
          <w:p>
            <w:pPr>
              <w:pStyle w:val="11"/>
              <w:spacing w:line="360" w:lineRule="auto"/>
              <w:rPr>
                <w:rFonts w:asciiTheme="minorEastAsia" w:hAnsiTheme="minorEastAsia" w:eastAsiaTheme="minorEastAsia" w:cstheme="minorEastAsia"/>
                <w:color w:val="auto"/>
                <w:sz w:val="24"/>
                <w:szCs w:val="28"/>
                <w:highlight w:val="none"/>
              </w:rPr>
            </w:pPr>
          </w:p>
        </w:tc>
        <w:tc>
          <w:tcPr>
            <w:tcW w:w="1223" w:type="dxa"/>
          </w:tcPr>
          <w:p>
            <w:pPr>
              <w:pStyle w:val="11"/>
              <w:spacing w:line="360" w:lineRule="auto"/>
              <w:rPr>
                <w:rFonts w:asciiTheme="minorEastAsia" w:hAnsiTheme="minorEastAsia" w:eastAsiaTheme="minorEastAsia" w:cstheme="minorEastAsi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2.进口货物</w:t>
            </w:r>
          </w:p>
        </w:tc>
        <w:tc>
          <w:tcPr>
            <w:tcW w:w="1494" w:type="dxa"/>
          </w:tcPr>
          <w:p>
            <w:pPr>
              <w:pStyle w:val="11"/>
              <w:spacing w:line="360" w:lineRule="auto"/>
              <w:rPr>
                <w:rFonts w:asciiTheme="minorEastAsia" w:hAnsiTheme="minorEastAsia" w:eastAsiaTheme="minorEastAsia" w:cstheme="minorEastAsia"/>
                <w:color w:val="auto"/>
                <w:sz w:val="24"/>
                <w:szCs w:val="28"/>
                <w:highlight w:val="none"/>
              </w:rPr>
            </w:pPr>
          </w:p>
        </w:tc>
        <w:tc>
          <w:tcPr>
            <w:tcW w:w="2146" w:type="dxa"/>
          </w:tcPr>
          <w:p>
            <w:pPr>
              <w:pStyle w:val="11"/>
              <w:spacing w:line="360" w:lineRule="auto"/>
              <w:rPr>
                <w:rFonts w:asciiTheme="minorEastAsia" w:hAnsiTheme="minorEastAsia" w:eastAsiaTheme="minorEastAsia" w:cstheme="minorEastAsia"/>
                <w:color w:val="auto"/>
                <w:sz w:val="24"/>
                <w:szCs w:val="28"/>
                <w:highlight w:val="none"/>
              </w:rPr>
            </w:pPr>
          </w:p>
        </w:tc>
        <w:tc>
          <w:tcPr>
            <w:tcW w:w="1122" w:type="dxa"/>
          </w:tcPr>
          <w:p>
            <w:pPr>
              <w:pStyle w:val="11"/>
              <w:spacing w:line="360" w:lineRule="auto"/>
              <w:rPr>
                <w:rFonts w:asciiTheme="minorEastAsia" w:hAnsiTheme="minorEastAsia" w:eastAsiaTheme="minorEastAsia" w:cstheme="minorEastAsia"/>
                <w:color w:val="auto"/>
                <w:sz w:val="24"/>
                <w:szCs w:val="28"/>
                <w:highlight w:val="none"/>
              </w:rPr>
            </w:pPr>
          </w:p>
        </w:tc>
        <w:tc>
          <w:tcPr>
            <w:tcW w:w="977" w:type="dxa"/>
          </w:tcPr>
          <w:p>
            <w:pPr>
              <w:pStyle w:val="11"/>
              <w:spacing w:line="360" w:lineRule="auto"/>
              <w:rPr>
                <w:rFonts w:asciiTheme="minorEastAsia" w:hAnsiTheme="minorEastAsia" w:eastAsiaTheme="minorEastAsia" w:cstheme="minorEastAsia"/>
                <w:color w:val="auto"/>
                <w:sz w:val="24"/>
                <w:szCs w:val="28"/>
                <w:highlight w:val="none"/>
              </w:rPr>
            </w:pPr>
          </w:p>
        </w:tc>
        <w:tc>
          <w:tcPr>
            <w:tcW w:w="1223" w:type="dxa"/>
          </w:tcPr>
          <w:p>
            <w:pPr>
              <w:pStyle w:val="11"/>
              <w:spacing w:line="360" w:lineRule="auto"/>
              <w:rPr>
                <w:rFonts w:asciiTheme="minorEastAsia" w:hAnsiTheme="minorEastAsia" w:eastAsiaTheme="minorEastAsia" w:cstheme="minorEastAsia"/>
                <w:color w:val="auto"/>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34" w:type="dxa"/>
            <w:vAlign w:val="center"/>
          </w:tcPr>
          <w:p>
            <w:pPr>
              <w:pStyle w:val="11"/>
              <w:spacing w:line="360" w:lineRule="auto"/>
              <w:jc w:val="center"/>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0"/>
                <w:highlight w:val="none"/>
              </w:rPr>
              <w:t>投标总价</w:t>
            </w:r>
          </w:p>
        </w:tc>
        <w:tc>
          <w:tcPr>
            <w:tcW w:w="6962" w:type="dxa"/>
            <w:gridSpan w:val="5"/>
            <w:vAlign w:val="center"/>
          </w:tcPr>
          <w:p>
            <w:pPr>
              <w:pStyle w:val="11"/>
              <w:spacing w:line="360" w:lineRule="auto"/>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0"/>
                <w:highlight w:val="none"/>
              </w:rPr>
              <w:t>小写：                         大写：</w:t>
            </w: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（公章）</w:t>
      </w:r>
    </w:p>
    <w:p>
      <w:pPr>
        <w:spacing w:line="360" w:lineRule="auto"/>
        <w:rPr>
          <w:rFonts w:asciiTheme="minorEastAsia" w:hAnsiTheme="minorEastAsia" w:eastAsiaTheme="minorEastAsia" w:cstheme="minorEastAsia"/>
          <w:color w:val="auto"/>
          <w:highlight w:val="none"/>
        </w:rPr>
      </w:pPr>
    </w:p>
    <w:p>
      <w:pPr>
        <w:spacing w:line="360" w:lineRule="auto"/>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投标人代表签字： </w:t>
      </w:r>
      <w:r>
        <w:rPr>
          <w:rFonts w:hint="eastAsia" w:asciiTheme="minorEastAsia" w:hAnsiTheme="minorEastAsia" w:eastAsiaTheme="minorEastAsia" w:cstheme="minorEastAsia"/>
          <w:color w:val="auto"/>
          <w:highlight w:val="none"/>
        </w:rPr>
        <w:cr/>
      </w:r>
    </w:p>
    <w:p>
      <w:pPr>
        <w:spacing w:line="360" w:lineRule="auto"/>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注：1、交货期是指合同签定当日（进口设备为收到L/C的当日）至所有货物交付到用户指定地点并安装调试完毕所需要的日历天数。</w:t>
      </w:r>
      <w:bookmarkStart w:id="147" w:name="_Toc465269282"/>
    </w:p>
    <w:p>
      <w:pPr>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报价方式分为：CIP（西南大学项目现场）总价，DAP（西南大学项目现场）总价，DDP（西南大学项目现场）总价三种方式；以上三种方式任选其一，须注明报价方式为CIP或DAP或DDP；否则，一律按[DDP（西南大学项目现场）价处理。</w:t>
      </w:r>
      <w:r>
        <w:rPr>
          <w:rFonts w:asciiTheme="minorEastAsia" w:hAnsiTheme="minorEastAsia" w:eastAsiaTheme="minorEastAsia" w:cstheme="minorEastAsia"/>
          <w:color w:val="auto"/>
          <w:highlight w:val="none"/>
        </w:rPr>
        <w:br w:type="page"/>
      </w:r>
    </w:p>
    <w:bookmarkEnd w:id="147"/>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四、投标分项报价表格式</w:t>
      </w: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投标分项报价表</w:t>
      </w:r>
    </w:p>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（关境内供货的投标）</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cr/>
      </w:r>
      <w:r>
        <w:rPr>
          <w:rFonts w:hint="eastAsia" w:asciiTheme="minorEastAsia" w:hAnsiTheme="minorEastAsia" w:eastAsiaTheme="minorEastAsia" w:cstheme="minorEastAsia"/>
          <w:color w:val="auto"/>
          <w:highlight w:val="none"/>
        </w:rPr>
        <w:t xml:space="preserve">投标人名称:                                 项目编号：                           </w:t>
      </w:r>
    </w:p>
    <w:tbl>
      <w:tblPr>
        <w:tblStyle w:val="2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9"/>
        <w:gridCol w:w="1031"/>
        <w:gridCol w:w="901"/>
        <w:gridCol w:w="900"/>
        <w:gridCol w:w="1200"/>
        <w:gridCol w:w="681"/>
        <w:gridCol w:w="162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产品名称</w:t>
            </w:r>
          </w:p>
        </w:tc>
        <w:tc>
          <w:tcPr>
            <w:tcW w:w="901"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型号和规格</w:t>
            </w:r>
          </w:p>
        </w:tc>
        <w:tc>
          <w:tcPr>
            <w:tcW w:w="9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产地和制造商名称</w:t>
            </w:r>
          </w:p>
        </w:tc>
        <w:tc>
          <w:tcPr>
            <w:tcW w:w="681"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执行</w:t>
            </w:r>
          </w:p>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标准</w:t>
            </w:r>
          </w:p>
        </w:tc>
        <w:tc>
          <w:tcPr>
            <w:tcW w:w="1629"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综合单价（元）</w:t>
            </w:r>
          </w:p>
        </w:tc>
        <w:tc>
          <w:tcPr>
            <w:tcW w:w="12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热场发射扫描电镜</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w:t>
            </w: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主机和标准附件</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1.1.1</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热场发射扫描电镜主机</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1.1.2</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镜筒内二次电子探测器</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1.1.3</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样品室二次电子探测器</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1.1.4</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样品室气动伸缩式背散射电子探测器</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1.1.5</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样品室CCD探测器</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1.1.6</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样品电流监测器</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1.1.7</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能谱探头</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1.1.8</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电镜专业用户操作软件</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1.1.9</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真空样品室门上的导航摄像头</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1.1.10</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专用喷金器</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1.1.11</w:t>
            </w:r>
          </w:p>
        </w:tc>
        <w:tc>
          <w:tcPr>
            <w:tcW w:w="2100" w:type="dxa"/>
            <w:gridSpan w:val="2"/>
            <w:vAlign w:val="center"/>
          </w:tcPr>
          <w:p>
            <w:pPr>
              <w:spacing w:line="420" w:lineRule="exact"/>
              <w:jc w:val="both"/>
              <w:rPr>
                <w:rFonts w:hint="eastAsia" w:asciiTheme="minorEastAsia" w:hAnsiTheme="minorEastAsia" w:eastAsiaTheme="minorEastAsia" w:cstheme="minorEastAsia"/>
                <w:color w:val="auto"/>
                <w:sz w:val="18"/>
                <w:szCs w:val="18"/>
                <w:highlight w:val="none"/>
              </w:rPr>
            </w:pPr>
            <w:r>
              <w:rPr>
                <w:rFonts w:hint="eastAsia" w:ascii="宋体" w:hAnsi="宋体" w:eastAsia="宋体" w:cs="宋体"/>
                <w:color w:val="auto"/>
                <w:sz w:val="18"/>
                <w:szCs w:val="18"/>
                <w:highlight w:val="none"/>
              </w:rPr>
              <w:t>耗材（包含九孔样品座1个，双面碳导电胶带2卷，银导电胶2盒，镊子2个，标准小样品座100个）</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center"/>
          </w:tcPr>
          <w:p>
            <w:pPr>
              <w:spacing w:line="420" w:lineRule="exact"/>
              <w:jc w:val="center"/>
              <w:rPr>
                <w:rFonts w:hint="default"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76"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w:t>
            </w: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备品备件</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vAlign w:val="top"/>
          </w:tcPr>
          <w:p>
            <w:pPr>
              <w:spacing w:line="420" w:lineRule="exact"/>
              <w:rPr>
                <w:rFonts w:asciiTheme="minorEastAsia" w:hAnsiTheme="minorEastAsia" w:eastAsiaTheme="minorEastAsia" w:cstheme="minorEastAsia"/>
                <w:color w:val="auto"/>
                <w:sz w:val="18"/>
                <w:szCs w:val="18"/>
                <w:highlight w:val="none"/>
                <w:lang w:val="en-US" w:eastAsia="zh-CN" w:bidi="ar-SA"/>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w:t>
            </w: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专用工具</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877" w:type="dxa"/>
            <w:gridSpan w:val="3"/>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安装、调试、</w:t>
            </w:r>
          </w:p>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检验</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培训</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技术服务</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77"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2100" w:type="dxa"/>
            <w:gridSpan w:val="2"/>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w:t>
            </w:r>
          </w:p>
        </w:tc>
        <w:tc>
          <w:tcPr>
            <w:tcW w:w="901" w:type="dxa"/>
          </w:tcPr>
          <w:p>
            <w:pPr>
              <w:spacing w:line="420" w:lineRule="exact"/>
              <w:rPr>
                <w:rFonts w:asciiTheme="minorEastAsia" w:hAnsiTheme="minorEastAsia" w:eastAsiaTheme="minorEastAsia" w:cstheme="minorEastAsia"/>
                <w:color w:val="auto"/>
                <w:sz w:val="21"/>
                <w:szCs w:val="21"/>
                <w:highlight w:val="none"/>
              </w:rPr>
            </w:pPr>
          </w:p>
        </w:tc>
        <w:tc>
          <w:tcPr>
            <w:tcW w:w="900" w:type="dxa"/>
          </w:tcPr>
          <w:p>
            <w:pPr>
              <w:spacing w:line="420" w:lineRule="exact"/>
              <w:rPr>
                <w:rFonts w:asciiTheme="minorEastAsia" w:hAnsiTheme="minorEastAsia" w:eastAsiaTheme="minorEastAsia" w:cstheme="minorEastAsia"/>
                <w:color w:val="auto"/>
                <w:sz w:val="21"/>
                <w:szCs w:val="21"/>
                <w:highlight w:val="none"/>
              </w:rPr>
            </w:pPr>
          </w:p>
        </w:tc>
        <w:tc>
          <w:tcPr>
            <w:tcW w:w="1200" w:type="dxa"/>
          </w:tcPr>
          <w:p>
            <w:pPr>
              <w:spacing w:line="420" w:lineRule="exact"/>
              <w:rPr>
                <w:rFonts w:asciiTheme="minorEastAsia" w:hAnsiTheme="minorEastAsia" w:eastAsiaTheme="minorEastAsia" w:cstheme="minorEastAsia"/>
                <w:color w:val="auto"/>
                <w:sz w:val="21"/>
                <w:szCs w:val="21"/>
                <w:highlight w:val="none"/>
              </w:rPr>
            </w:pPr>
          </w:p>
        </w:tc>
        <w:tc>
          <w:tcPr>
            <w:tcW w:w="681" w:type="dxa"/>
          </w:tcPr>
          <w:p>
            <w:pPr>
              <w:spacing w:line="420" w:lineRule="exact"/>
              <w:rPr>
                <w:rFonts w:asciiTheme="minorEastAsia" w:hAnsiTheme="minorEastAsia" w:eastAsiaTheme="minorEastAsia" w:cstheme="minorEastAsia"/>
                <w:color w:val="auto"/>
                <w:sz w:val="21"/>
                <w:szCs w:val="21"/>
                <w:highlight w:val="none"/>
              </w:rPr>
            </w:pPr>
          </w:p>
        </w:tc>
        <w:tc>
          <w:tcPr>
            <w:tcW w:w="1629" w:type="dxa"/>
          </w:tcPr>
          <w:p>
            <w:pPr>
              <w:spacing w:line="420" w:lineRule="exact"/>
              <w:rPr>
                <w:rFonts w:asciiTheme="minorEastAsia" w:hAnsiTheme="minorEastAsia" w:eastAsiaTheme="minorEastAsia" w:cstheme="minorEastAsia"/>
                <w:color w:val="auto"/>
                <w:sz w:val="21"/>
                <w:szCs w:val="21"/>
                <w:highlight w:val="none"/>
              </w:rPr>
            </w:pP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46" w:type="dxa"/>
            <w:gridSpan w:val="2"/>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总计</w:t>
            </w:r>
          </w:p>
        </w:tc>
        <w:tc>
          <w:tcPr>
            <w:tcW w:w="6342" w:type="dxa"/>
            <w:gridSpan w:val="6"/>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大写：</w:t>
            </w:r>
          </w:p>
        </w:tc>
        <w:tc>
          <w:tcPr>
            <w:tcW w:w="1276" w:type="dxa"/>
          </w:tcPr>
          <w:p>
            <w:pPr>
              <w:spacing w:line="420" w:lineRule="exact"/>
              <w:rPr>
                <w:rFonts w:asciiTheme="minorEastAsia" w:hAnsiTheme="minorEastAsia" w:eastAsiaTheme="minorEastAsia" w:cstheme="minorEastAsia"/>
                <w:color w:val="auto"/>
                <w:sz w:val="21"/>
                <w:szCs w:val="21"/>
                <w:highlight w:val="none"/>
              </w:rPr>
            </w:pP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                                    日期：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360" w:lineRule="auto"/>
        <w:rPr>
          <w:rFonts w:asciiTheme="minorEastAsia" w:hAnsiTheme="minorEastAsia" w:eastAsiaTheme="minorEastAsia" w:cstheme="minorEastAsia"/>
          <w:color w:val="auto"/>
          <w:highlight w:val="none"/>
        </w:rPr>
      </w:pPr>
    </w:p>
    <w:p>
      <w:pPr>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特别说明：</w:t>
      </w:r>
    </w:p>
    <w:p>
      <w:pPr>
        <w:spacing w:line="360" w:lineRule="auto"/>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2.供应商未提供详细分项报价可视为没有实质性响应采购文件。</w:t>
      </w:r>
    </w:p>
    <w:p>
      <w:pPr>
        <w:spacing w:line="360" w:lineRule="auto"/>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供应商应按第二部分中的要求报价(报人民币价)。报价包括与该项目有关的一切费用如安装调试费、运输、保险、服务培训费、国内货物的税金、项目验收时的试剂耗材、强制性第三方监督检验机构的验收检验费用等。投标总价应为各分项合计价格之和。</w:t>
      </w:r>
    </w:p>
    <w:p>
      <w:pPr>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4.设备名称、数量应符合招标文件第二篇的要求。</w:t>
      </w:r>
    </w:p>
    <w:p>
      <w:pPr>
        <w:spacing w:line="360" w:lineRule="auto"/>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5.每一分项设备必须另附其详细配置清单及货号，包括附件和配件，并注明各部分的确定生产地。成交后供应商提出产地变更的，扣付成交价5% 及以上直至取消成交资格并列入不良行为记录名单，暂停资格一年。进口货物须明确该项乙方外贸合同的签订方。</w:t>
      </w:r>
    </w:p>
    <w:p>
      <w:pPr>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6.执行标准是非通用标准的，应另附页详细特别说明。</w:t>
      </w:r>
    </w:p>
    <w:p>
      <w:pPr>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7、设备名称和规格型号必须使用产品生产厂家的规范全称，并与产品中文彩页及说明书完全一致。</w:t>
      </w:r>
    </w:p>
    <w:p>
      <w:pPr>
        <w:spacing w:line="360" w:lineRule="auto"/>
        <w:ind w:firstLine="3520" w:firstLineChars="800"/>
        <w:rPr>
          <w:rFonts w:asciiTheme="minorEastAsia" w:hAnsiTheme="minorEastAsia" w:eastAsiaTheme="minorEastAsia" w:cstheme="minorEastAsia"/>
          <w:color w:val="auto"/>
          <w:sz w:val="44"/>
          <w:szCs w:val="44"/>
          <w:highlight w:val="none"/>
        </w:rPr>
      </w:pPr>
      <w:bookmarkStart w:id="148" w:name="_Toc465269283"/>
      <w:r>
        <w:rPr>
          <w:rFonts w:hint="eastAsia" w:asciiTheme="minorEastAsia" w:hAnsiTheme="minorEastAsia" w:eastAsiaTheme="minorEastAsia" w:cstheme="minorEastAsia"/>
          <w:color w:val="auto"/>
          <w:sz w:val="44"/>
          <w:szCs w:val="44"/>
          <w:highlight w:val="none"/>
        </w:rPr>
        <w:t>投标分项报价表</w:t>
      </w:r>
    </w:p>
    <w:p>
      <w:pPr>
        <w:spacing w:line="360" w:lineRule="auto"/>
        <w:ind w:firstLine="750" w:firstLineChars="250"/>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（关境外供货的投标）</w:t>
      </w: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投标人名称：                    项目编号：                                           </w:t>
      </w:r>
    </w:p>
    <w:tbl>
      <w:tblPr>
        <w:tblStyle w:val="24"/>
        <w:tblW w:w="10026" w:type="dxa"/>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200"/>
        <w:gridCol w:w="763"/>
        <w:gridCol w:w="812"/>
        <w:gridCol w:w="788"/>
        <w:gridCol w:w="600"/>
        <w:gridCol w:w="1962"/>
        <w:gridCol w:w="2063"/>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产品名称</w:t>
            </w:r>
          </w:p>
        </w:tc>
        <w:tc>
          <w:tcPr>
            <w:tcW w:w="763"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型号和规格</w:t>
            </w:r>
          </w:p>
        </w:tc>
        <w:tc>
          <w:tcPr>
            <w:tcW w:w="812"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788"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制造商名称和产地</w:t>
            </w:r>
          </w:p>
        </w:tc>
        <w:tc>
          <w:tcPr>
            <w:tcW w:w="6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执行</w:t>
            </w:r>
          </w:p>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标准</w:t>
            </w:r>
          </w:p>
        </w:tc>
        <w:tc>
          <w:tcPr>
            <w:tcW w:w="1962"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CIP（西南大学项目现场）综合单价/DAP（西南大学项目现场）综合单价/DDP（西南大学项目现场）综合单价</w:t>
            </w:r>
          </w:p>
        </w:tc>
        <w:tc>
          <w:tcPr>
            <w:tcW w:w="2063"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CIP（西南大学项目现场）总价/DAP（西南大学项目现场）总价/DDP（西南大学项目现场）总价</w:t>
            </w:r>
          </w:p>
        </w:tc>
        <w:tc>
          <w:tcPr>
            <w:tcW w:w="12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Align w:val="center"/>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026" w:type="dxa"/>
            <w:gridSpan w:val="9"/>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宋体" w:hAnsi="宋体" w:cs="宋体"/>
                <w:color w:val="auto"/>
                <w:sz w:val="21"/>
                <w:szCs w:val="21"/>
                <w:highlight w:val="none"/>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主机和标准附件</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restart"/>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是否免税的填写说明： 如符合备注说明中“3.4” 的免税产品，请填写 “是”；其它 情况均请填写“否”。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2.1</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热场发射扫描电镜主机</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2.2</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镜筒内二次电子探测器</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2.3</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样品室二次电子探测器</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2.4</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样品室气动伸缩式背散射电子探测器</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2.5</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样品室CCD探测器</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2.6</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样品电流监测器</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2.7</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能谱探头</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2.8</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电镜专业用户操作软件</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2.9</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真空样品室门上的导航摄像头</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2.10</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专用喷金器</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2.11</w:t>
            </w:r>
          </w:p>
        </w:tc>
        <w:tc>
          <w:tcPr>
            <w:tcW w:w="1200" w:type="dxa"/>
            <w:vAlign w:val="center"/>
          </w:tcPr>
          <w:p>
            <w:pPr>
              <w:spacing w:line="420" w:lineRule="exact"/>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宋体" w:hAnsi="宋体" w:eastAsia="宋体" w:cs="宋体"/>
                <w:color w:val="auto"/>
                <w:sz w:val="18"/>
                <w:szCs w:val="18"/>
                <w:highlight w:val="none"/>
              </w:rPr>
              <w:t>耗材（包含九孔样品座1个，双面碳导电胶带2卷，银导电胶2盒，镊子2个，标准小样品座100个）</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2063" w:type="dxa"/>
            <w:vAlign w:val="center"/>
          </w:tcPr>
          <w:p>
            <w:pPr>
              <w:spacing w:line="420" w:lineRule="exact"/>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lang w:val="en-US" w:eastAsia="zh-CN"/>
              </w:rPr>
              <w:t>已包含在总价中</w:t>
            </w:r>
          </w:p>
        </w:tc>
        <w:tc>
          <w:tcPr>
            <w:tcW w:w="1262" w:type="dxa"/>
            <w:vMerge w:val="continue"/>
            <w:vAlign w:val="center"/>
          </w:tcPr>
          <w:p>
            <w:pPr>
              <w:spacing w:line="420" w:lineRule="exact"/>
              <w:rPr>
                <w:rFonts w:hint="eastAsia"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备品备件</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专用工具  </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安装、调试、检验</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培训</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技术服务</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1200"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总计</w:t>
            </w:r>
          </w:p>
        </w:tc>
        <w:tc>
          <w:tcPr>
            <w:tcW w:w="763" w:type="dxa"/>
          </w:tcPr>
          <w:p>
            <w:pPr>
              <w:spacing w:line="420" w:lineRule="exact"/>
              <w:rPr>
                <w:rFonts w:asciiTheme="minorEastAsia" w:hAnsiTheme="minorEastAsia" w:eastAsiaTheme="minorEastAsia" w:cstheme="minorEastAsia"/>
                <w:color w:val="auto"/>
                <w:sz w:val="21"/>
                <w:szCs w:val="21"/>
                <w:highlight w:val="none"/>
              </w:rPr>
            </w:pPr>
          </w:p>
        </w:tc>
        <w:tc>
          <w:tcPr>
            <w:tcW w:w="812" w:type="dxa"/>
          </w:tcPr>
          <w:p>
            <w:pPr>
              <w:spacing w:line="420" w:lineRule="exact"/>
              <w:rPr>
                <w:rFonts w:asciiTheme="minorEastAsia" w:hAnsiTheme="minorEastAsia" w:eastAsiaTheme="minorEastAsia" w:cstheme="minorEastAsia"/>
                <w:color w:val="auto"/>
                <w:sz w:val="21"/>
                <w:szCs w:val="21"/>
                <w:highlight w:val="none"/>
              </w:rPr>
            </w:pPr>
          </w:p>
        </w:tc>
        <w:tc>
          <w:tcPr>
            <w:tcW w:w="788" w:type="dxa"/>
          </w:tcPr>
          <w:p>
            <w:pPr>
              <w:spacing w:line="420" w:lineRule="exact"/>
              <w:rPr>
                <w:rFonts w:asciiTheme="minorEastAsia" w:hAnsiTheme="minorEastAsia" w:eastAsiaTheme="minorEastAsia" w:cstheme="minorEastAsia"/>
                <w:color w:val="auto"/>
                <w:sz w:val="21"/>
                <w:szCs w:val="21"/>
                <w:highlight w:val="none"/>
              </w:rPr>
            </w:pPr>
          </w:p>
        </w:tc>
        <w:tc>
          <w:tcPr>
            <w:tcW w:w="600" w:type="dxa"/>
          </w:tcPr>
          <w:p>
            <w:pPr>
              <w:spacing w:line="420" w:lineRule="exact"/>
              <w:rPr>
                <w:rFonts w:asciiTheme="minorEastAsia" w:hAnsiTheme="minorEastAsia" w:eastAsiaTheme="minorEastAsia" w:cstheme="minorEastAsia"/>
                <w:color w:val="auto"/>
                <w:sz w:val="21"/>
                <w:szCs w:val="21"/>
                <w:highlight w:val="none"/>
              </w:rPr>
            </w:pPr>
          </w:p>
        </w:tc>
        <w:tc>
          <w:tcPr>
            <w:tcW w:w="1962" w:type="dxa"/>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p>
        </w:tc>
        <w:tc>
          <w:tcPr>
            <w:tcW w:w="1262" w:type="dxa"/>
            <w:vMerge w:val="continue"/>
          </w:tcPr>
          <w:p>
            <w:pPr>
              <w:spacing w:line="420" w:lineRule="exact"/>
              <w:rPr>
                <w:rFonts w:asciiTheme="minorEastAsia" w:hAnsiTheme="minorEastAsia" w:eastAsiaTheme="minorEastAsia" w:cstheme="minor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w:t>
            </w:r>
          </w:p>
        </w:tc>
        <w:tc>
          <w:tcPr>
            <w:tcW w:w="1200" w:type="dxa"/>
            <w:vAlign w:val="center"/>
          </w:tcPr>
          <w:p>
            <w:pPr>
              <w:spacing w:line="420" w:lineRule="exact"/>
              <w:rPr>
                <w:rFonts w:asciiTheme="minorEastAsia" w:hAnsiTheme="minorEastAsia" w:eastAsiaTheme="minorEastAsia" w:cstheme="minorEastAsia"/>
                <w:color w:val="auto"/>
                <w:sz w:val="21"/>
                <w:szCs w:val="21"/>
                <w:highlight w:val="none"/>
              </w:rPr>
            </w:pPr>
            <w:r>
              <w:rPr>
                <w:rFonts w:hint="eastAsia" w:ascii="宋体" w:hAnsi="宋体" w:cs="宋体"/>
                <w:color w:val="auto"/>
                <w:sz w:val="20"/>
                <w:szCs w:val="20"/>
                <w:highlight w:val="none"/>
              </w:rPr>
              <w:t>投标总价（大写）</w:t>
            </w:r>
          </w:p>
        </w:tc>
        <w:tc>
          <w:tcPr>
            <w:tcW w:w="4925" w:type="dxa"/>
            <w:gridSpan w:val="5"/>
          </w:tcPr>
          <w:p>
            <w:pPr>
              <w:spacing w:line="420" w:lineRule="exact"/>
              <w:rPr>
                <w:rFonts w:asciiTheme="minorEastAsia" w:hAnsiTheme="minorEastAsia" w:eastAsiaTheme="minorEastAsia" w:cstheme="minorEastAsia"/>
                <w:color w:val="auto"/>
                <w:sz w:val="21"/>
                <w:szCs w:val="21"/>
                <w:highlight w:val="none"/>
              </w:rPr>
            </w:pPr>
          </w:p>
        </w:tc>
        <w:tc>
          <w:tcPr>
            <w:tcW w:w="2063" w:type="dxa"/>
          </w:tcPr>
          <w:p>
            <w:pPr>
              <w:spacing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注：以上三种报价方式任选其一，须注明</w:t>
            </w:r>
            <w:r>
              <w:rPr>
                <w:rFonts w:hint="eastAsia" w:asciiTheme="minorEastAsia" w:hAnsiTheme="minorEastAsia" w:eastAsiaTheme="minorEastAsia" w:cstheme="minorEastAsia"/>
                <w:b/>
                <w:bCs/>
                <w:color w:val="auto"/>
                <w:sz w:val="21"/>
                <w:szCs w:val="21"/>
                <w:highlight w:val="none"/>
              </w:rPr>
              <w:t>报价方式和币种；否则，一律按[DDP（西南大学项目现场）价处理</w:t>
            </w:r>
          </w:p>
        </w:tc>
        <w:tc>
          <w:tcPr>
            <w:tcW w:w="1262" w:type="dxa"/>
          </w:tcPr>
          <w:p>
            <w:pPr>
              <w:spacing w:line="420" w:lineRule="exact"/>
              <w:rPr>
                <w:rFonts w:asciiTheme="minorEastAsia" w:hAnsiTheme="minorEastAsia" w:eastAsiaTheme="minorEastAsia" w:cstheme="minorEastAsia"/>
                <w:color w:val="auto"/>
                <w:sz w:val="21"/>
                <w:szCs w:val="21"/>
                <w:highlight w:val="none"/>
              </w:rPr>
            </w:pP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                                    日期：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特别说明：</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招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2.如果不提供详细分项报价将视为没有实质性响应招标文件而导致投标无效。</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3.投标人应按招标文件要求报价，标总价应为各分项合计价格之和。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3.1国产的货物及其有关服务的报价为DDP西南大学项目现场价（含装卸搬运费）。含货物送达西南大学并安装调试至指定位置所涉及的所有费用、税金以及售后服务费。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3.2从中华人民共和国关境外提供货物及服务的报价为CIP 西南大学或DAP西南大学价，包括货物从进口口岸运至最终目的地的内陆运输费、保险费等，不包括海关杂费、外贸代理费等进口清关费用；亦可报DDP西南大学（含装卸搬运费）价，包括货物送达西南大学并安装调试至指定位置所涉及的所有费用以及售后服务费。以上报价是否含进口环节税金按3.4条说明执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3.3在中华人民共和国境内的海关特殊监管区域内生产或加工销往境内其他地区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的产品，不视为政府采购项下的进口产品，但报价须按第3.2条要求执行。从境外进入海关特殊监管区域，再经办理报关手续后从海关特殊监管区进入境内其他地区的产品，为境外供货，报价按第3.2条要求执行。</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3.4特别说明：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成交人承担。</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3.5因投标人自身原因误填、错填是否免税项而选择了是否含税的报价而产生的风险由投标人承担。非免税产品填写“免税”的，所产生的税费也应由成交人承担。可以免税的产品填写“不免税”的，将先从货款里扣除进口环节税金后再将余额支付给供方。</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4.设备名称、数量应符合招标文件第二篇的要求。</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5.每一分项设备必须另附其详细配置清单及货号，包括附件和配件，并注明各部分的确定生产地。进口货物须明确该项乙方外贸合同的签订方。</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设备名称和规格型号必须使用产品生产厂家的规范全称，并与产品中文彩页及说明书完全一致（产品外文彩页及说明书须译成对应的中文版）。因投标人未按上述要求执行而引致的免税（如能享受免税政策）和清关工作延误及责任全部由投标人承担。</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7.执行标准是非通用标准的，应另附页详细特别说明。</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供应商授权代表签字：                           日期：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（供应商公章）</w:t>
      </w:r>
    </w:p>
    <w:p>
      <w:pPr>
        <w:rPr>
          <w:rFonts w:asciiTheme="minorEastAsia" w:hAnsiTheme="minorEastAsia" w:eastAsiaTheme="minorEastAsia" w:cstheme="minorEastAsia"/>
          <w:color w:val="auto"/>
          <w:highlight w:val="none"/>
        </w:rPr>
        <w:sectPr>
          <w:pgSz w:w="11906" w:h="16838"/>
          <w:pgMar w:top="1418" w:right="1247" w:bottom="1247" w:left="1418" w:header="851" w:footer="851" w:gutter="0"/>
          <w:cols w:space="720" w:num="1"/>
          <w:docGrid w:linePitch="326" w:charSpace="0"/>
        </w:sect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五、配置清单格式</w:t>
      </w:r>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配置清单</w:t>
      </w:r>
    </w:p>
    <w:p>
      <w:pPr>
        <w:spacing w:line="360" w:lineRule="auto"/>
        <w:jc w:val="center"/>
        <w:rPr>
          <w:rFonts w:asciiTheme="minorEastAsia" w:hAnsiTheme="minorEastAsia" w:eastAsiaTheme="minorEastAsia" w:cstheme="minorEastAsia"/>
          <w:color w:val="auto"/>
          <w:sz w:val="44"/>
          <w:szCs w:val="44"/>
          <w:highlight w:val="none"/>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391"/>
        <w:gridCol w:w="1391"/>
        <w:gridCol w:w="1391"/>
        <w:gridCol w:w="1392"/>
        <w:gridCol w:w="1392"/>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货号</w:t>
            </w:r>
          </w:p>
        </w:tc>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名称</w:t>
            </w:r>
          </w:p>
        </w:tc>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t>品牌</w:t>
            </w:r>
            <w:r>
              <w:rPr>
                <w:rFonts w:hint="eastAsia" w:asciiTheme="minorEastAsia" w:hAnsiTheme="minorEastAsia" w:eastAsiaTheme="minorEastAsia" w:cstheme="minorEastAsia"/>
                <w:color w:val="auto"/>
                <w:highlight w:val="none"/>
              </w:rPr>
              <w:t>、规格型号</w:t>
            </w:r>
          </w:p>
        </w:tc>
        <w:tc>
          <w:tcPr>
            <w:tcW w:w="1392"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392"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w:t>
            </w:r>
          </w:p>
        </w:tc>
        <w:tc>
          <w:tcPr>
            <w:tcW w:w="1392"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391" w:type="dxa"/>
          </w:tcPr>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1"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c>
          <w:tcPr>
            <w:tcW w:w="1392" w:type="dxa"/>
          </w:tcPr>
          <w:p>
            <w:pPr>
              <w:spacing w:line="360" w:lineRule="auto"/>
              <w:rPr>
                <w:rFonts w:asciiTheme="minorEastAsia" w:hAnsiTheme="minorEastAsia" w:eastAsiaTheme="minorEastAsia" w:cstheme="minorEastAsia"/>
                <w:color w:val="auto"/>
                <w:highlight w:val="none"/>
              </w:rPr>
            </w:pP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投标人授权代表签字：                                         日期：</w:t>
      </w: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（投标人公章）</w:t>
      </w: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授权代表移动电话：</w:t>
      </w:r>
    </w:p>
    <w:p>
      <w:pPr>
        <w:spacing w:line="360" w:lineRule="auto"/>
        <w:rPr>
          <w:rFonts w:asciiTheme="minorEastAsia" w:hAnsiTheme="minorEastAsia" w:eastAsiaTheme="minorEastAsia" w:cstheme="minorEastAsia"/>
          <w:color w:val="auto"/>
          <w:sz w:val="22"/>
          <w:szCs w:val="22"/>
          <w:highlight w:val="none"/>
        </w:rPr>
      </w:pPr>
    </w:p>
    <w:p>
      <w:pPr>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 ：</w:t>
      </w:r>
    </w:p>
    <w:p>
      <w:pPr>
        <w:spacing w:line="360" w:lineRule="auto"/>
        <w:rPr>
          <w:rFonts w:hint="eastAsia" w:asciiTheme="minorEastAsia" w:hAnsiTheme="minorEastAsia" w:eastAsiaTheme="minorEastAsia" w:cstheme="minorEastAsia"/>
          <w:b w:val="0"/>
          <w:bCs/>
          <w:color w:val="auto"/>
          <w:highlight w:val="none"/>
          <w:lang w:eastAsia="zh-CN"/>
        </w:rPr>
      </w:pPr>
      <w:r>
        <w:rPr>
          <w:rFonts w:hint="eastAsia" w:asciiTheme="minorEastAsia" w:hAnsiTheme="minorEastAsia" w:eastAsiaTheme="minorEastAsia" w:cstheme="minorEastAsia"/>
          <w:b w:val="0"/>
          <w:bCs/>
          <w:color w:val="auto"/>
          <w:highlight w:val="none"/>
          <w:lang w:val="en-US" w:eastAsia="zh-CN"/>
        </w:rPr>
        <w:t>1.</w:t>
      </w:r>
      <w:r>
        <w:rPr>
          <w:rFonts w:hint="eastAsia" w:asciiTheme="minorEastAsia" w:hAnsiTheme="minorEastAsia" w:eastAsiaTheme="minorEastAsia" w:cstheme="minorEastAsia"/>
          <w:b w:val="0"/>
          <w:bCs/>
          <w:color w:val="auto"/>
          <w:highlight w:val="none"/>
        </w:rPr>
        <w:t>配置清单可自拟格式，但上述内容不可减少。原则上应以中文书写，外文的配置清单需附中文翻译，进口设备的国内交货部分须在备注栏说明</w:t>
      </w:r>
      <w:r>
        <w:rPr>
          <w:rFonts w:hint="eastAsia" w:asciiTheme="minorEastAsia" w:hAnsiTheme="minorEastAsia" w:eastAsiaTheme="minorEastAsia" w:cstheme="minorEastAsia"/>
          <w:b w:val="0"/>
          <w:bCs/>
          <w:color w:val="auto"/>
          <w:highlight w:val="none"/>
          <w:lang w:eastAsia="zh-CN"/>
        </w:rPr>
        <w:t>。</w:t>
      </w:r>
    </w:p>
    <w:p>
      <w:pPr>
        <w:spacing w:line="360" w:lineRule="auto"/>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2.“第二篇 采购需求 四、配置”要求的内容为实质性要求，不满足要求的，为无效标。</w:t>
      </w: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spacing w:line="360" w:lineRule="auto"/>
        <w:ind w:left="0"/>
        <w:rPr>
          <w:rFonts w:hint="eastAsia" w:asciiTheme="minorEastAsia" w:hAnsiTheme="minorEastAsia" w:eastAsiaTheme="minorEastAsia" w:cstheme="minorEastAsia"/>
          <w:b w:val="0"/>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六、法定代表人（单位负责人）身份证明及法定代表人（单位负责人）授权书</w:t>
      </w:r>
    </w:p>
    <w:p>
      <w:pPr>
        <w:spacing w:line="360" w:lineRule="auto"/>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法定代表人（单位负责人）身份证明</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单位性质：</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成立时间：          年    月   日</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经营期限：</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姓名：           性别：           年龄：           职务：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                        （投标人名称）的法定代表人（单位负责人）。</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特此证明。</w:t>
      </w:r>
    </w:p>
    <w:p>
      <w:pPr>
        <w:spacing w:line="360" w:lineRule="auto"/>
        <w:rPr>
          <w:rFonts w:asciiTheme="minorEastAsia" w:hAnsiTheme="minorEastAsia" w:eastAsiaTheme="minorEastAsia" w:cstheme="minorEastAsia"/>
          <w:color w:val="auto"/>
          <w:highlight w:val="none"/>
        </w:rPr>
      </w:pPr>
    </w:p>
    <w:p>
      <w:pPr>
        <w:spacing w:line="360" w:lineRule="auto"/>
        <w:jc w:val="righ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                 （盖单位章）</w:t>
      </w:r>
    </w:p>
    <w:p>
      <w:pPr>
        <w:spacing w:line="360" w:lineRule="auto"/>
        <w:jc w:val="right"/>
        <w:rPr>
          <w:rFonts w:asciiTheme="minorEastAsia" w:hAnsiTheme="minorEastAsia" w:eastAsiaTheme="minorEastAsia" w:cstheme="minorEastAsia"/>
          <w:color w:val="auto"/>
          <w:highlight w:val="none"/>
        </w:rPr>
      </w:pPr>
    </w:p>
    <w:p>
      <w:pPr>
        <w:spacing w:line="360" w:lineRule="auto"/>
        <w:ind w:right="560" w:firstLine="5160" w:firstLineChars="21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    月   日</w:t>
      </w:r>
    </w:p>
    <w:p>
      <w:pPr>
        <w:spacing w:line="360" w:lineRule="auto"/>
        <w:ind w:right="56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注：此处所述“法定代表人（单位负责人）”须与投标人“营业执照”上的内容一致。</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[附：法定代表人（单位负责人）身份证正反面复印件]</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sectPr>
          <w:pgSz w:w="11906" w:h="16838"/>
          <w:pgMar w:top="1418" w:right="1247" w:bottom="1247" w:left="1418" w:header="851" w:footer="851" w:gutter="0"/>
          <w:cols w:space="720" w:num="1"/>
          <w:docGrid w:linePitch="326" w:charSpace="0"/>
        </w:sectPr>
      </w:pPr>
    </w:p>
    <w:p>
      <w:pPr>
        <w:pStyle w:val="16"/>
        <w:rPr>
          <w:color w:val="auto"/>
          <w:highlight w:val="none"/>
        </w:rPr>
      </w:pPr>
    </w:p>
    <w:p>
      <w:pPr>
        <w:spacing w:line="360" w:lineRule="auto"/>
        <w:jc w:val="center"/>
        <w:rPr>
          <w:rFonts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法定代表人（单位负责人）授权书</w:t>
      </w:r>
    </w:p>
    <w:p>
      <w:pPr>
        <w:spacing w:line="360" w:lineRule="auto"/>
        <w:jc w:val="center"/>
        <w:rPr>
          <w:rFonts w:asciiTheme="minorEastAsia" w:hAnsiTheme="minorEastAsia" w:eastAsiaTheme="minorEastAsia" w:cstheme="minorEastAsia"/>
          <w:color w:val="auto"/>
          <w:sz w:val="40"/>
          <w:szCs w:val="40"/>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致：西南大学</w:t>
      </w:r>
    </w:p>
    <w:p>
      <w:pPr>
        <w:spacing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（投标人全称）</w:t>
      </w:r>
      <w:r>
        <w:rPr>
          <w:rFonts w:hint="eastAsia" w:asciiTheme="minorEastAsia" w:hAnsiTheme="minorEastAsia" w:eastAsiaTheme="minorEastAsia" w:cstheme="minorEastAsia"/>
          <w:color w:val="auto"/>
          <w:highlight w:val="none"/>
        </w:rPr>
        <w:t xml:space="preserve">的法定代表人（单位负责人） </w:t>
      </w:r>
      <w:r>
        <w:rPr>
          <w:rFonts w:hint="eastAsia" w:asciiTheme="minorEastAsia" w:hAnsiTheme="minorEastAsia" w:eastAsiaTheme="minorEastAsia" w:cstheme="minorEastAsia"/>
          <w:color w:val="auto"/>
          <w:highlight w:val="none"/>
          <w:u w:val="single"/>
        </w:rPr>
        <w:t>（姓名、职务）</w:t>
      </w:r>
      <w:r>
        <w:rPr>
          <w:rFonts w:hint="eastAsia" w:asciiTheme="minorEastAsia" w:hAnsiTheme="minorEastAsia" w:eastAsiaTheme="minorEastAsia" w:cstheme="minorEastAsia"/>
          <w:color w:val="auto"/>
          <w:highlight w:val="none"/>
        </w:rPr>
        <w:t>现授权本单位职工</w:t>
      </w:r>
      <w:r>
        <w:rPr>
          <w:rFonts w:hint="eastAsia" w:asciiTheme="minorEastAsia" w:hAnsiTheme="minorEastAsia" w:eastAsiaTheme="minorEastAsia" w:cstheme="minorEastAsia"/>
          <w:color w:val="auto"/>
          <w:highlight w:val="none"/>
          <w:u w:val="single"/>
        </w:rPr>
        <w:t>（投标代表姓名）</w:t>
      </w:r>
      <w:r>
        <w:rPr>
          <w:rFonts w:hint="eastAsia" w:asciiTheme="minorEastAsia" w:hAnsiTheme="minorEastAsia" w:eastAsiaTheme="minorEastAsia" w:cstheme="minorEastAsia"/>
          <w:color w:val="auto"/>
          <w:highlight w:val="none"/>
        </w:rPr>
        <w:t>为投标代表，代表本公司参加贵单位组织的</w:t>
      </w:r>
      <w:r>
        <w:rPr>
          <w:rFonts w:hint="eastAsia" w:asciiTheme="minorEastAsia" w:hAnsiTheme="minorEastAsia" w:eastAsiaTheme="minorEastAsia" w:cstheme="minorEastAsia"/>
          <w:color w:val="auto"/>
          <w:highlight w:val="none"/>
          <w:u w:val="single"/>
        </w:rPr>
        <w:t xml:space="preserve">         项</w:t>
      </w:r>
      <w:r>
        <w:rPr>
          <w:rFonts w:hint="eastAsia" w:asciiTheme="minorEastAsia" w:hAnsiTheme="minorEastAsia" w:eastAsiaTheme="minorEastAsia" w:cstheme="minorEastAsia"/>
          <w:color w:val="auto"/>
          <w:highlight w:val="none"/>
        </w:rPr>
        <w:t>目（招标编号：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特此授权！本授权书自出具之日起生效。</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（盖单位章）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法定代表人（单位负责人）姓名：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（签字）</w:t>
      </w:r>
    </w:p>
    <w:p>
      <w:pPr>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法定代表人（单位负责人）身份证号码：</w:t>
      </w:r>
      <w:r>
        <w:rPr>
          <w:rFonts w:hint="eastAsia" w:asciiTheme="minorEastAsia" w:hAnsiTheme="minorEastAsia" w:eastAsiaTheme="minorEastAsia" w:cstheme="minorEastAsia"/>
          <w:color w:val="auto"/>
          <w:highlight w:val="none"/>
          <w:u w:val="single"/>
        </w:rPr>
        <w:t xml:space="preserve">                          </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被授权人姓名：</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（签字）</w:t>
      </w:r>
    </w:p>
    <w:p>
      <w:pPr>
        <w:spacing w:line="360" w:lineRule="auto"/>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被授权人身份证号码：</w:t>
      </w:r>
      <w:r>
        <w:rPr>
          <w:rFonts w:hint="eastAsia" w:asciiTheme="minorEastAsia" w:hAnsiTheme="minorEastAsia" w:eastAsiaTheme="minorEastAsia" w:cstheme="minorEastAsia"/>
          <w:color w:val="auto"/>
          <w:highlight w:val="none"/>
          <w:u w:val="single"/>
        </w:rPr>
        <w:t xml:space="preserve">                          </w:t>
      </w:r>
    </w:p>
    <w:p>
      <w:pPr>
        <w:spacing w:line="360" w:lineRule="auto"/>
        <w:ind w:firstLine="600" w:firstLineChars="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w:t>
      </w:r>
    </w:p>
    <w:p>
      <w:pPr>
        <w:spacing w:line="360" w:lineRule="auto"/>
        <w:ind w:firstLine="1200" w:firstLineChars="500"/>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法定代表人（单位负责人）</w:t>
            </w:r>
          </w:p>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身份证粘贴处</w:t>
            </w:r>
          </w:p>
        </w:tc>
        <w:tc>
          <w:tcPr>
            <w:tcW w:w="4810" w:type="dxa"/>
            <w:vAlign w:val="center"/>
          </w:tcPr>
          <w:p>
            <w:pPr>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被授权人身份证件粘贴处</w:t>
            </w:r>
          </w:p>
        </w:tc>
      </w:tr>
    </w:tbl>
    <w:p>
      <w:pPr>
        <w:rPr>
          <w:rFonts w:asciiTheme="minorEastAsia" w:hAnsiTheme="minorEastAsia" w:eastAsiaTheme="minorEastAsia" w:cstheme="minorEastAsia"/>
          <w:color w:val="auto"/>
          <w:highlight w:val="none"/>
        </w:rPr>
      </w:pPr>
    </w:p>
    <w:bookmarkEnd w:id="148"/>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七、技术规格/ 要求偏离表格式</w:t>
      </w:r>
    </w:p>
    <w:p>
      <w:pPr>
        <w:spacing w:line="360" w:lineRule="auto"/>
        <w:jc w:val="center"/>
        <w:rPr>
          <w:rFonts w:asciiTheme="minorEastAsia" w:hAnsiTheme="minorEastAsia" w:eastAsiaTheme="minorEastAsia" w:cstheme="minorEastAsia"/>
          <w:color w:val="auto"/>
          <w:sz w:val="44"/>
          <w:szCs w:val="44"/>
          <w:highlight w:val="none"/>
        </w:rPr>
      </w:pP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技术规格/要求偏离表</w:t>
      </w:r>
    </w:p>
    <w:tbl>
      <w:tblPr>
        <w:tblStyle w:val="25"/>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1417"/>
        <w:gridCol w:w="1418"/>
        <w:gridCol w:w="1275"/>
        <w:gridCol w:w="1560"/>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序号</w:t>
            </w:r>
          </w:p>
        </w:tc>
        <w:tc>
          <w:tcPr>
            <w:tcW w:w="1843"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招标规格/ 要求</w:t>
            </w:r>
          </w:p>
        </w:tc>
        <w:tc>
          <w:tcPr>
            <w:tcW w:w="1417"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投标响应的实际情况</w:t>
            </w:r>
          </w:p>
        </w:tc>
        <w:tc>
          <w:tcPr>
            <w:tcW w:w="1418"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偏离简述（正偏离/负偏离/无偏离）</w:t>
            </w:r>
          </w:p>
        </w:tc>
        <w:tc>
          <w:tcPr>
            <w:tcW w:w="1275"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差异说明</w:t>
            </w:r>
          </w:p>
        </w:tc>
        <w:tc>
          <w:tcPr>
            <w:tcW w:w="1560"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highlight w:val="none"/>
              </w:rPr>
              <w:t>相关技术证明文件在响应文件中的具体页码</w:t>
            </w:r>
          </w:p>
        </w:tc>
        <w:tc>
          <w:tcPr>
            <w:tcW w:w="1133"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9" w:type="dxa"/>
          </w:tcPr>
          <w:p>
            <w:pPr>
              <w:spacing w:line="360" w:lineRule="auto"/>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 xml:space="preserve">1   </w:t>
            </w:r>
          </w:p>
        </w:tc>
        <w:tc>
          <w:tcPr>
            <w:tcW w:w="1843" w:type="dxa"/>
          </w:tcPr>
          <w:p>
            <w:pPr>
              <w:spacing w:line="360" w:lineRule="auto"/>
              <w:rPr>
                <w:rFonts w:asciiTheme="minorEastAsia" w:hAnsiTheme="minorEastAsia" w:eastAsiaTheme="minorEastAsia" w:cstheme="minorEastAsia"/>
                <w:color w:val="auto"/>
                <w:szCs w:val="20"/>
                <w:highlight w:val="none"/>
              </w:rPr>
            </w:pPr>
          </w:p>
        </w:tc>
        <w:tc>
          <w:tcPr>
            <w:tcW w:w="1417" w:type="dxa"/>
          </w:tcPr>
          <w:p>
            <w:pPr>
              <w:spacing w:line="360" w:lineRule="auto"/>
              <w:rPr>
                <w:rFonts w:asciiTheme="minorEastAsia" w:hAnsiTheme="minorEastAsia" w:eastAsiaTheme="minorEastAsia" w:cstheme="minorEastAsia"/>
                <w:color w:val="auto"/>
                <w:szCs w:val="20"/>
                <w:highlight w:val="none"/>
              </w:rPr>
            </w:pPr>
          </w:p>
        </w:tc>
        <w:tc>
          <w:tcPr>
            <w:tcW w:w="1418" w:type="dxa"/>
          </w:tcPr>
          <w:p>
            <w:pPr>
              <w:spacing w:line="360" w:lineRule="auto"/>
              <w:rPr>
                <w:rFonts w:asciiTheme="minorEastAsia" w:hAnsiTheme="minorEastAsia" w:eastAsiaTheme="minorEastAsia" w:cstheme="minorEastAsia"/>
                <w:color w:val="auto"/>
                <w:szCs w:val="20"/>
                <w:highlight w:val="none"/>
              </w:rPr>
            </w:pPr>
          </w:p>
        </w:tc>
        <w:tc>
          <w:tcPr>
            <w:tcW w:w="1275" w:type="dxa"/>
          </w:tcPr>
          <w:p>
            <w:pPr>
              <w:spacing w:line="360" w:lineRule="auto"/>
              <w:rPr>
                <w:rFonts w:asciiTheme="minorEastAsia" w:hAnsiTheme="minorEastAsia" w:eastAsiaTheme="minorEastAsia" w:cstheme="minorEastAsia"/>
                <w:color w:val="auto"/>
                <w:szCs w:val="20"/>
                <w:highlight w:val="none"/>
              </w:rPr>
            </w:pPr>
          </w:p>
        </w:tc>
        <w:tc>
          <w:tcPr>
            <w:tcW w:w="1560" w:type="dxa"/>
          </w:tcPr>
          <w:p>
            <w:pPr>
              <w:spacing w:line="360" w:lineRule="auto"/>
              <w:rPr>
                <w:rFonts w:asciiTheme="minorEastAsia" w:hAnsiTheme="minorEastAsia" w:eastAsiaTheme="minorEastAsia" w:cstheme="minorEastAsia"/>
                <w:color w:val="auto"/>
                <w:szCs w:val="20"/>
                <w:highlight w:val="none"/>
              </w:rPr>
            </w:pPr>
          </w:p>
        </w:tc>
        <w:tc>
          <w:tcPr>
            <w:tcW w:w="1133" w:type="dxa"/>
          </w:tcPr>
          <w:p>
            <w:pPr>
              <w:spacing w:line="360" w:lineRule="auto"/>
              <w:rPr>
                <w:rFonts w:asciiTheme="minorEastAsia" w:hAnsiTheme="minorEastAsia" w:eastAsiaTheme="minorEastAsia" w:cstheme="minorEastAsia"/>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59" w:type="dxa"/>
          </w:tcPr>
          <w:p>
            <w:pPr>
              <w:spacing w:line="360" w:lineRule="auto"/>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 xml:space="preserve">2  </w:t>
            </w:r>
          </w:p>
        </w:tc>
        <w:tc>
          <w:tcPr>
            <w:tcW w:w="1843" w:type="dxa"/>
          </w:tcPr>
          <w:p>
            <w:pPr>
              <w:spacing w:line="360" w:lineRule="auto"/>
              <w:rPr>
                <w:rFonts w:asciiTheme="minorEastAsia" w:hAnsiTheme="minorEastAsia" w:eastAsiaTheme="minorEastAsia" w:cstheme="minorEastAsia"/>
                <w:color w:val="auto"/>
                <w:szCs w:val="20"/>
                <w:highlight w:val="none"/>
              </w:rPr>
            </w:pPr>
          </w:p>
        </w:tc>
        <w:tc>
          <w:tcPr>
            <w:tcW w:w="1417" w:type="dxa"/>
          </w:tcPr>
          <w:p>
            <w:pPr>
              <w:spacing w:line="360" w:lineRule="auto"/>
              <w:rPr>
                <w:rFonts w:asciiTheme="minorEastAsia" w:hAnsiTheme="minorEastAsia" w:eastAsiaTheme="minorEastAsia" w:cstheme="minorEastAsia"/>
                <w:color w:val="auto"/>
                <w:szCs w:val="20"/>
                <w:highlight w:val="none"/>
              </w:rPr>
            </w:pPr>
          </w:p>
        </w:tc>
        <w:tc>
          <w:tcPr>
            <w:tcW w:w="1418" w:type="dxa"/>
          </w:tcPr>
          <w:p>
            <w:pPr>
              <w:spacing w:line="360" w:lineRule="auto"/>
              <w:rPr>
                <w:rFonts w:asciiTheme="minorEastAsia" w:hAnsiTheme="minorEastAsia" w:eastAsiaTheme="minorEastAsia" w:cstheme="minorEastAsia"/>
                <w:color w:val="auto"/>
                <w:szCs w:val="20"/>
                <w:highlight w:val="none"/>
              </w:rPr>
            </w:pPr>
          </w:p>
        </w:tc>
        <w:tc>
          <w:tcPr>
            <w:tcW w:w="1275" w:type="dxa"/>
          </w:tcPr>
          <w:p>
            <w:pPr>
              <w:spacing w:line="360" w:lineRule="auto"/>
              <w:rPr>
                <w:rFonts w:asciiTheme="minorEastAsia" w:hAnsiTheme="minorEastAsia" w:eastAsiaTheme="minorEastAsia" w:cstheme="minorEastAsia"/>
                <w:color w:val="auto"/>
                <w:szCs w:val="20"/>
                <w:highlight w:val="none"/>
              </w:rPr>
            </w:pPr>
          </w:p>
        </w:tc>
        <w:tc>
          <w:tcPr>
            <w:tcW w:w="1560" w:type="dxa"/>
          </w:tcPr>
          <w:p>
            <w:pPr>
              <w:spacing w:line="360" w:lineRule="auto"/>
              <w:rPr>
                <w:rFonts w:asciiTheme="minorEastAsia" w:hAnsiTheme="minorEastAsia" w:eastAsiaTheme="minorEastAsia" w:cstheme="minorEastAsia"/>
                <w:color w:val="auto"/>
                <w:szCs w:val="20"/>
                <w:highlight w:val="none"/>
              </w:rPr>
            </w:pPr>
          </w:p>
        </w:tc>
        <w:tc>
          <w:tcPr>
            <w:tcW w:w="1133" w:type="dxa"/>
          </w:tcPr>
          <w:p>
            <w:pPr>
              <w:spacing w:line="360" w:lineRule="auto"/>
              <w:rPr>
                <w:rFonts w:asciiTheme="minorEastAsia" w:hAnsiTheme="minorEastAsia" w:eastAsiaTheme="minorEastAsia" w:cstheme="minorEastAsia"/>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59" w:type="dxa"/>
          </w:tcPr>
          <w:p>
            <w:pPr>
              <w:spacing w:line="360" w:lineRule="auto"/>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w:t>
            </w:r>
          </w:p>
        </w:tc>
        <w:tc>
          <w:tcPr>
            <w:tcW w:w="1843" w:type="dxa"/>
          </w:tcPr>
          <w:p>
            <w:pPr>
              <w:spacing w:line="360" w:lineRule="auto"/>
              <w:rPr>
                <w:rFonts w:asciiTheme="minorEastAsia" w:hAnsiTheme="minorEastAsia" w:eastAsiaTheme="minorEastAsia" w:cstheme="minorEastAsia"/>
                <w:color w:val="auto"/>
                <w:szCs w:val="20"/>
                <w:highlight w:val="none"/>
              </w:rPr>
            </w:pPr>
          </w:p>
        </w:tc>
        <w:tc>
          <w:tcPr>
            <w:tcW w:w="1417" w:type="dxa"/>
          </w:tcPr>
          <w:p>
            <w:pPr>
              <w:spacing w:line="360" w:lineRule="auto"/>
              <w:rPr>
                <w:rFonts w:asciiTheme="minorEastAsia" w:hAnsiTheme="minorEastAsia" w:eastAsiaTheme="minorEastAsia" w:cstheme="minorEastAsia"/>
                <w:color w:val="auto"/>
                <w:szCs w:val="20"/>
                <w:highlight w:val="none"/>
              </w:rPr>
            </w:pPr>
          </w:p>
        </w:tc>
        <w:tc>
          <w:tcPr>
            <w:tcW w:w="1418" w:type="dxa"/>
            <w:vAlign w:val="center"/>
          </w:tcPr>
          <w:p>
            <w:pPr>
              <w:spacing w:line="380" w:lineRule="exact"/>
              <w:rPr>
                <w:rFonts w:asciiTheme="minorEastAsia" w:hAnsiTheme="minorEastAsia" w:eastAsiaTheme="minorEastAsia" w:cstheme="minorEastAsia"/>
                <w:color w:val="auto"/>
                <w:highlight w:val="none"/>
              </w:rPr>
            </w:pPr>
          </w:p>
        </w:tc>
        <w:tc>
          <w:tcPr>
            <w:tcW w:w="1275" w:type="dxa"/>
            <w:vAlign w:val="center"/>
          </w:tcPr>
          <w:p>
            <w:pPr>
              <w:spacing w:line="380" w:lineRule="exact"/>
              <w:ind w:firstLine="600" w:firstLineChars="250"/>
              <w:rPr>
                <w:rFonts w:asciiTheme="minorEastAsia" w:hAnsiTheme="minorEastAsia" w:eastAsiaTheme="minorEastAsia" w:cstheme="minorEastAsia"/>
                <w:color w:val="auto"/>
                <w:highlight w:val="none"/>
              </w:rPr>
            </w:pPr>
          </w:p>
        </w:tc>
        <w:tc>
          <w:tcPr>
            <w:tcW w:w="1560" w:type="dxa"/>
          </w:tcPr>
          <w:p>
            <w:pPr>
              <w:spacing w:line="360" w:lineRule="auto"/>
              <w:rPr>
                <w:rFonts w:asciiTheme="minorEastAsia" w:hAnsiTheme="minorEastAsia" w:eastAsiaTheme="minorEastAsia" w:cstheme="minorEastAsia"/>
                <w:color w:val="auto"/>
                <w:szCs w:val="20"/>
                <w:highlight w:val="none"/>
              </w:rPr>
            </w:pPr>
          </w:p>
        </w:tc>
        <w:tc>
          <w:tcPr>
            <w:tcW w:w="1133" w:type="dxa"/>
          </w:tcPr>
          <w:p>
            <w:pPr>
              <w:spacing w:line="360" w:lineRule="auto"/>
              <w:rPr>
                <w:rFonts w:asciiTheme="minorEastAsia" w:hAnsiTheme="minorEastAsia" w:eastAsiaTheme="minorEastAsia" w:cstheme="minorEastAsia"/>
                <w:color w:val="auto"/>
                <w:szCs w:val="20"/>
                <w:highlight w:val="none"/>
              </w:rPr>
            </w:pPr>
          </w:p>
        </w:tc>
      </w:tr>
    </w:tbl>
    <w:p>
      <w:pPr>
        <w:spacing w:line="340" w:lineRule="exact"/>
        <w:rPr>
          <w:rFonts w:asciiTheme="minorEastAsia" w:hAnsiTheme="minorEastAsia" w:eastAsiaTheme="minorEastAsia" w:cstheme="minorEastAsia"/>
          <w:color w:val="auto"/>
          <w:highlight w:val="none"/>
        </w:rPr>
      </w:pPr>
    </w:p>
    <w:p>
      <w:pPr>
        <w:spacing w:line="34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                              日期：</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4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授权代表移动电话：</w:t>
      </w:r>
    </w:p>
    <w:p>
      <w:pPr>
        <w:spacing w:line="340" w:lineRule="exact"/>
        <w:rPr>
          <w:rFonts w:asciiTheme="minorEastAsia" w:hAnsiTheme="minorEastAsia" w:eastAsiaTheme="minorEastAsia" w:cstheme="minorEastAsia"/>
          <w:color w:val="auto"/>
          <w:sz w:val="21"/>
          <w:szCs w:val="21"/>
          <w:highlight w:val="none"/>
        </w:rPr>
      </w:pPr>
    </w:p>
    <w:p>
      <w:pPr>
        <w:spacing w:line="3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p>
    <w:p>
      <w:pPr>
        <w:spacing w:line="340" w:lineRule="exact"/>
        <w:ind w:firstLine="420" w:firstLineChars="200"/>
        <w:jc w:val="both"/>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投标人须对照招标文件技术规格，将自己所投的所有货物的功能、技术性能、配置、用途等内容按照上表格式与招标要求</w:t>
      </w:r>
      <w:r>
        <w:rPr>
          <w:rFonts w:hint="eastAsia" w:asciiTheme="minorEastAsia" w:hAnsiTheme="minorEastAsia" w:eastAsiaTheme="minorEastAsia" w:cstheme="minorEastAsia"/>
          <w:b/>
          <w:bCs/>
          <w:color w:val="auto"/>
          <w:sz w:val="21"/>
          <w:szCs w:val="21"/>
          <w:highlight w:val="none"/>
        </w:rPr>
        <w:t>逐条填写</w:t>
      </w:r>
      <w:r>
        <w:rPr>
          <w:rFonts w:hint="eastAsia" w:asciiTheme="minorEastAsia" w:hAnsiTheme="minorEastAsia" w:eastAsiaTheme="minorEastAsia" w:cstheme="minorEastAsia"/>
          <w:color w:val="auto"/>
          <w:sz w:val="21"/>
          <w:szCs w:val="21"/>
          <w:highlight w:val="none"/>
        </w:rPr>
        <w:t>，说明所提供货物和服务已对招标文件的技术规格做出了实质性响应，并申明与技术规格条文的偏差和例外。若有负偏离而未如实填写的</w:t>
      </w:r>
      <w:r>
        <w:rPr>
          <w:rFonts w:hint="eastAsia" w:asciiTheme="minorEastAsia" w:hAnsiTheme="minorEastAsia" w:eastAsiaTheme="minorEastAsia" w:cstheme="minorEastAsia"/>
          <w:b/>
          <w:color w:val="auto"/>
          <w:sz w:val="21"/>
          <w:szCs w:val="21"/>
          <w:highlight w:val="none"/>
        </w:rPr>
        <w:t>可视为虚假应标；</w:t>
      </w:r>
      <w:r>
        <w:rPr>
          <w:rFonts w:hint="eastAsia" w:asciiTheme="minorEastAsia" w:hAnsiTheme="minorEastAsia" w:eastAsiaTheme="minorEastAsia" w:cstheme="minorEastAsia"/>
          <w:color w:val="auto"/>
          <w:sz w:val="21"/>
          <w:szCs w:val="21"/>
          <w:highlight w:val="none"/>
        </w:rPr>
        <w:t>若有正偏离而未如实填写的将视为没有优于招标要求；无论是正、负偏离，还是无偏离，未按以上表格式逐条填写的，</w:t>
      </w:r>
      <w:r>
        <w:rPr>
          <w:rFonts w:hint="eastAsia" w:asciiTheme="minorEastAsia" w:hAnsiTheme="minorEastAsia" w:eastAsiaTheme="minorEastAsia" w:cstheme="minorEastAsia"/>
          <w:b/>
          <w:color w:val="auto"/>
          <w:sz w:val="21"/>
          <w:szCs w:val="21"/>
          <w:highlight w:val="none"/>
        </w:rPr>
        <w:t>可视为无效投标。</w:t>
      </w:r>
    </w:p>
    <w:p>
      <w:pPr>
        <w:spacing w:line="340" w:lineRule="exact"/>
        <w:ind w:firstLine="525" w:firstLineChars="25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1.偏离简述栏中必须标明技术及配置的响应情况，整项货物及该项货物各部分响应情况须按下述规定填写，任何</w:t>
      </w:r>
      <w:r>
        <w:rPr>
          <w:rFonts w:hint="eastAsia" w:asciiTheme="minorEastAsia" w:hAnsiTheme="minorEastAsia" w:eastAsiaTheme="minorEastAsia" w:cstheme="minorEastAsia"/>
          <w:b/>
          <w:color w:val="auto"/>
          <w:sz w:val="21"/>
          <w:szCs w:val="21"/>
          <w:highlight w:val="none"/>
        </w:rPr>
        <w:t>不真实响应</w:t>
      </w:r>
      <w:r>
        <w:rPr>
          <w:rFonts w:hint="eastAsia" w:asciiTheme="minorEastAsia" w:hAnsiTheme="minorEastAsia" w:eastAsiaTheme="minorEastAsia" w:cstheme="minorEastAsia"/>
          <w:color w:val="auto"/>
          <w:sz w:val="21"/>
          <w:szCs w:val="21"/>
          <w:highlight w:val="none"/>
        </w:rPr>
        <w:t>都将导致</w:t>
      </w:r>
      <w:r>
        <w:rPr>
          <w:rFonts w:hint="eastAsia" w:asciiTheme="minorEastAsia" w:hAnsiTheme="minorEastAsia" w:eastAsiaTheme="minorEastAsia" w:cstheme="minorEastAsia"/>
          <w:b/>
          <w:color w:val="auto"/>
          <w:sz w:val="21"/>
          <w:szCs w:val="21"/>
          <w:highlight w:val="none"/>
        </w:rPr>
        <w:t>投标无效：</w:t>
      </w:r>
    </w:p>
    <w:p>
      <w:pPr>
        <w:spacing w:line="340" w:lineRule="exact"/>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 对应项中的所有技术参数、性能和配置全部满足招标文件要求的才能填写“无偏离”或“符合”；</w:t>
      </w:r>
    </w:p>
    <w:p>
      <w:pPr>
        <w:spacing w:line="340" w:lineRule="exact"/>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 对应项中的所有技术参数、性能和配置全部满足招标文件要求并且其中有一个或以上指标优于招标文件要求的，可填写“正偏离”；</w:t>
      </w:r>
    </w:p>
    <w:p>
      <w:pPr>
        <w:spacing w:line="340" w:lineRule="exact"/>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 对应项中的所有技术参数、性能和配置中有任何一项不能达到招标文件要求的，必须填写“负偏离”；</w:t>
      </w:r>
    </w:p>
    <w:p>
      <w:pPr>
        <w:spacing w:line="3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④ “正偏离”、“负偏离”两者中偏离的情况必须在备注栏中说明对使用的影响。</w:t>
      </w:r>
    </w:p>
    <w:p>
      <w:pPr>
        <w:spacing w:line="3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2.该表可扩展</w:t>
      </w: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八、商务条款偏离表格式</w:t>
      </w: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商务条款偏离表</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投标人名称：                                     项目编号：</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分项（子包）号：                                 分项（子包）名称：</w:t>
      </w:r>
    </w:p>
    <w:tbl>
      <w:tblPr>
        <w:tblStyle w:val="2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701"/>
        <w:gridCol w:w="1560"/>
        <w:gridCol w:w="198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spacing w:line="360" w:lineRule="auto"/>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序号</w:t>
            </w:r>
          </w:p>
        </w:tc>
        <w:tc>
          <w:tcPr>
            <w:tcW w:w="2126" w:type="dxa"/>
            <w:vAlign w:val="center"/>
          </w:tcPr>
          <w:p>
            <w:pPr>
              <w:spacing w:line="420" w:lineRule="exact"/>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招标文件</w:t>
            </w:r>
          </w:p>
          <w:p>
            <w:pPr>
              <w:spacing w:line="420" w:lineRule="exact"/>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Cs w:val="20"/>
                <w:highlight w:val="none"/>
              </w:rPr>
              <w:t>内容条目号</w:t>
            </w:r>
          </w:p>
        </w:tc>
        <w:tc>
          <w:tcPr>
            <w:tcW w:w="1701" w:type="dxa"/>
            <w:vAlign w:val="center"/>
          </w:tcPr>
          <w:p>
            <w:pPr>
              <w:spacing w:line="420" w:lineRule="exact"/>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Cs w:val="20"/>
                <w:highlight w:val="none"/>
              </w:rPr>
              <w:t>招标文件商务要求</w:t>
            </w:r>
          </w:p>
        </w:tc>
        <w:tc>
          <w:tcPr>
            <w:tcW w:w="1560" w:type="dxa"/>
            <w:vAlign w:val="center"/>
          </w:tcPr>
          <w:p>
            <w:pPr>
              <w:spacing w:line="420" w:lineRule="exact"/>
              <w:jc w:val="cente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Cs w:val="20"/>
                <w:highlight w:val="none"/>
              </w:rPr>
              <w:t>投标文件商务条款</w:t>
            </w:r>
          </w:p>
        </w:tc>
        <w:tc>
          <w:tcPr>
            <w:tcW w:w="1984" w:type="dxa"/>
            <w:vAlign w:val="center"/>
          </w:tcPr>
          <w:p>
            <w:pPr>
              <w:spacing w:line="420" w:lineRule="exact"/>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偏离说明</w:t>
            </w:r>
          </w:p>
        </w:tc>
        <w:tc>
          <w:tcPr>
            <w:tcW w:w="1701" w:type="dxa"/>
            <w:vAlign w:val="center"/>
          </w:tcPr>
          <w:p>
            <w:pPr>
              <w:spacing w:line="420" w:lineRule="exact"/>
              <w:jc w:val="center"/>
              <w:rPr>
                <w:rFonts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color w:val="auto"/>
                <w:sz w:val="20"/>
                <w:szCs w:val="20"/>
                <w:highlight w:val="none"/>
              </w:rPr>
            </w:pPr>
          </w:p>
        </w:tc>
        <w:tc>
          <w:tcPr>
            <w:tcW w:w="2126"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c>
          <w:tcPr>
            <w:tcW w:w="1560" w:type="dxa"/>
          </w:tcPr>
          <w:p>
            <w:pPr>
              <w:spacing w:line="360" w:lineRule="auto"/>
              <w:rPr>
                <w:rFonts w:asciiTheme="minorEastAsia" w:hAnsiTheme="minorEastAsia" w:eastAsiaTheme="minorEastAsia" w:cstheme="minorEastAsia"/>
                <w:color w:val="auto"/>
                <w:sz w:val="20"/>
                <w:szCs w:val="20"/>
                <w:highlight w:val="none"/>
              </w:rPr>
            </w:pPr>
          </w:p>
        </w:tc>
        <w:tc>
          <w:tcPr>
            <w:tcW w:w="1984" w:type="dxa"/>
          </w:tcPr>
          <w:p>
            <w:pPr>
              <w:spacing w:line="360" w:lineRule="auto"/>
              <w:rPr>
                <w:rFonts w:asciiTheme="minorEastAsia" w:hAnsiTheme="minorEastAsia" w:eastAsiaTheme="minorEastAsia" w:cstheme="minorEastAsia"/>
                <w:color w:val="auto"/>
                <w:sz w:val="20"/>
                <w:szCs w:val="20"/>
                <w:highlight w:val="none"/>
              </w:rPr>
            </w:pPr>
          </w:p>
        </w:tc>
        <w:tc>
          <w:tcPr>
            <w:tcW w:w="1701" w:type="dxa"/>
          </w:tcPr>
          <w:p>
            <w:pPr>
              <w:spacing w:line="360" w:lineRule="auto"/>
              <w:rPr>
                <w:rFonts w:asciiTheme="minorEastAsia" w:hAnsiTheme="minorEastAsia" w:eastAsiaTheme="minorEastAsia" w:cstheme="minorEastAsia"/>
                <w:color w:val="auto"/>
                <w:sz w:val="20"/>
                <w:szCs w:val="20"/>
                <w:highlight w:val="none"/>
              </w:rPr>
            </w:pPr>
          </w:p>
        </w:tc>
      </w:tr>
    </w:tbl>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投标人授权代表签字：</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授权代表移动电话：</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pPr>
        <w:spacing w:line="360" w:lineRule="auto"/>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1、供应商应对“第三篇 项目商务要求”和第六篇“合同格式”（</w:t>
      </w:r>
      <w:r>
        <w:rPr>
          <w:rFonts w:hint="eastAsia" w:asciiTheme="minorEastAsia" w:hAnsiTheme="minorEastAsia" w:eastAsiaTheme="minorEastAsia" w:cstheme="minorEastAsia"/>
          <w:b/>
          <w:color w:val="auto"/>
          <w:sz w:val="21"/>
          <w:szCs w:val="21"/>
          <w:highlight w:val="none"/>
        </w:rPr>
        <w:t>只针对第六篇合同格式里第三篇专用条款未涉及的内容</w:t>
      </w:r>
      <w:r>
        <w:rPr>
          <w:rFonts w:hint="eastAsia" w:asciiTheme="minorEastAsia" w:hAnsiTheme="minorEastAsia" w:eastAsiaTheme="minorEastAsia" w:cstheme="minorEastAsia"/>
          <w:color w:val="auto"/>
          <w:sz w:val="21"/>
          <w:szCs w:val="21"/>
          <w:highlight w:val="none"/>
        </w:rPr>
        <w:t>）中所列商务要求进行比较和响应。</w:t>
      </w:r>
    </w:p>
    <w:p>
      <w:pPr>
        <w:spacing w:line="360" w:lineRule="auto"/>
        <w:ind w:firstLine="422" w:firstLineChars="200"/>
        <w:jc w:val="both"/>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对“第三篇 项目商务要求”的专用条款应逐条对比应答，如实填写，根据响应情况在“偏离说明”栏填写“正偏离”或“负偏离”，完全符合的填写“无偏离”，同时填写正偏离或负偏离的详细内容，在“备注”栏注明该条在投标文件中的页码号。</w:t>
      </w:r>
    </w:p>
    <w:p>
      <w:pPr>
        <w:spacing w:line="360" w:lineRule="auto"/>
        <w:ind w:firstLine="422"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第六篇“合同格式”内容（只针对第六篇合同格式里第三篇专用条款未涉及的内容）不要求逐条应答，</w:t>
      </w:r>
      <w:r>
        <w:rPr>
          <w:rFonts w:hint="eastAsia" w:asciiTheme="minorEastAsia" w:hAnsiTheme="minorEastAsia" w:eastAsiaTheme="minorEastAsia" w:cstheme="minorEastAsia"/>
          <w:color w:val="auto"/>
          <w:sz w:val="21"/>
          <w:szCs w:val="21"/>
          <w:highlight w:val="none"/>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b/>
          <w:color w:val="auto"/>
          <w:sz w:val="21"/>
          <w:szCs w:val="21"/>
          <w:highlight w:val="none"/>
        </w:rPr>
        <w:t>招标文件第三篇“项目商务要求”和第六篇“合同格式”中标注（*）的条款为不可偏离条款</w:t>
      </w:r>
      <w:r>
        <w:rPr>
          <w:rFonts w:hint="eastAsia" w:asciiTheme="minorEastAsia" w:hAnsiTheme="minorEastAsia" w:eastAsiaTheme="minorEastAsia" w:cstheme="minorEastAsia"/>
          <w:color w:val="auto"/>
          <w:sz w:val="21"/>
          <w:szCs w:val="21"/>
          <w:highlight w:val="none"/>
        </w:rPr>
        <w:t>。</w:t>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3、该表可扩展，可横排。</w:t>
      </w:r>
    </w:p>
    <w:p>
      <w:pPr>
        <w:pStyle w:val="3"/>
        <w:spacing w:line="360" w:lineRule="auto"/>
        <w:ind w:left="0"/>
        <w:rPr>
          <w:rFonts w:asciiTheme="minorEastAsia" w:hAnsiTheme="minorEastAsia" w:eastAsiaTheme="minorEastAsia" w:cstheme="minorEastAsia"/>
          <w:b w:val="0"/>
          <w:color w:val="auto"/>
          <w:highlight w:val="none"/>
        </w:rPr>
        <w:sectPr>
          <w:pgSz w:w="11906" w:h="16838"/>
          <w:pgMar w:top="1418" w:right="1247" w:bottom="1247" w:left="1418" w:header="851" w:footer="851" w:gutter="0"/>
          <w:cols w:space="720" w:num="1"/>
          <w:docGrid w:linePitch="326" w:charSpace="0"/>
        </w:sect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九、售后服务承诺书格式</w:t>
      </w:r>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售后服务承诺书</w:t>
      </w:r>
    </w:p>
    <w:p>
      <w:pPr>
        <w:spacing w:line="360" w:lineRule="auto"/>
        <w:jc w:val="center"/>
        <w:rPr>
          <w:rFonts w:asciiTheme="minorEastAsia" w:hAnsiTheme="minorEastAsia" w:eastAsiaTheme="minorEastAsia" w:cstheme="minorEastAsia"/>
          <w:color w:val="auto"/>
          <w:sz w:val="44"/>
          <w:szCs w:val="44"/>
          <w:highlight w:val="none"/>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534" w:type="dxa"/>
            <w:vAlign w:val="center"/>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售</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后</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服</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务</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内</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容</w:t>
            </w:r>
          </w:p>
        </w:tc>
        <w:tc>
          <w:tcPr>
            <w:tcW w:w="9206" w:type="dxa"/>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1.免费保修年限：</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2.售后服务提供商：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3.售后服务机构技术人员情况与体系： </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4.服务响应及到达现场服务时间与服务内容： （可另页）</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5.培训方案：（包括培训人次，培训地点等内容，可另页）</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6.本产品专用试剂的优惠供给计划：</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7.其它服务承诺： （可另页）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可</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提</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供</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的</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优</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惠</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条</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件</w:t>
            </w:r>
          </w:p>
        </w:tc>
        <w:tc>
          <w:tcPr>
            <w:tcW w:w="9206" w:type="dxa"/>
          </w:tcPr>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1.保修期满后第一年的维保收费标准：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2.保修期满后第二年的维保收费标准：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3.保修期满后第三年的维保收费标准：</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4.保修期满后如不购年保，维修保养人工收费标准与计价方式：</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5.本产品的易损易耗件包括：</w:t>
            </w:r>
          </w:p>
          <w:p>
            <w:pPr>
              <w:spacing w:line="360" w:lineRule="auto"/>
              <w:ind w:firstLine="330" w:firstLineChars="15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它们的正常使用寿命分别为 ：</w:t>
            </w:r>
          </w:p>
          <w:p>
            <w:pPr>
              <w:spacing w:line="360" w:lineRule="auto"/>
              <w:ind w:firstLine="330" w:firstLineChars="15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更换时的优惠价格：</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6.制造厂商在中国大陆设置投标设备所用的备件库情况：</w:t>
            </w:r>
          </w:p>
          <w:p>
            <w:pPr>
              <w:spacing w:line="360" w:lineRule="auto"/>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7．保修期外的其它优惠：</w:t>
            </w:r>
          </w:p>
        </w:tc>
      </w:tr>
    </w:tbl>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（注：</w:t>
      </w:r>
      <w:r>
        <w:rPr>
          <w:rFonts w:hint="eastAsia" w:asciiTheme="minorEastAsia" w:hAnsiTheme="minorEastAsia" w:eastAsiaTheme="minorEastAsia" w:cstheme="minorEastAsia"/>
          <w:b/>
          <w:color w:val="auto"/>
          <w:sz w:val="22"/>
          <w:szCs w:val="22"/>
          <w:highlight w:val="none"/>
        </w:rPr>
        <w:t>售后服务承诺书必须按照上述格式填写，厂商特定售后服务可紧附其后</w:t>
      </w:r>
      <w:r>
        <w:rPr>
          <w:rFonts w:hint="eastAsia" w:asciiTheme="minorEastAsia" w:hAnsiTheme="minorEastAsia" w:eastAsiaTheme="minorEastAsia" w:cstheme="minorEastAsia"/>
          <w:color w:val="auto"/>
          <w:sz w:val="22"/>
          <w:szCs w:val="22"/>
          <w:highlight w:val="none"/>
        </w:rPr>
        <w:t>）</w:t>
      </w:r>
    </w:p>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投标人授权代表签字：日期：</w:t>
      </w:r>
    </w:p>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（投标人公章）</w:t>
      </w:r>
    </w:p>
    <w:p>
      <w:pPr>
        <w:spacing w:line="46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授权代表移动电话：</w:t>
      </w:r>
    </w:p>
    <w:p>
      <w:pPr>
        <w:spacing w:line="420" w:lineRule="exact"/>
        <w:rPr>
          <w:rFonts w:asciiTheme="minorEastAsia" w:hAnsiTheme="minorEastAsia" w:eastAsiaTheme="minorEastAsia" w:cstheme="minorEastAsia"/>
          <w:color w:val="auto"/>
          <w:sz w:val="22"/>
          <w:szCs w:val="22"/>
          <w:highlight w:val="none"/>
        </w:rPr>
      </w:pPr>
    </w:p>
    <w:p>
      <w:pPr>
        <w:spacing w:line="420" w:lineRule="exac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color w:val="auto"/>
          <w:sz w:val="22"/>
          <w:szCs w:val="22"/>
          <w:highlight w:val="none"/>
        </w:rPr>
        <w:t>说明</w:t>
      </w:r>
      <w:r>
        <w:rPr>
          <w:rFonts w:hint="eastAsia" w:asciiTheme="minorEastAsia" w:hAnsiTheme="minorEastAsia" w:eastAsiaTheme="minorEastAsia" w:cstheme="minorEastAsia"/>
          <w:color w:val="auto"/>
          <w:sz w:val="22"/>
          <w:szCs w:val="22"/>
          <w:highlight w:val="none"/>
        </w:rPr>
        <w:t>：供应商的售后服务承诺书必须对表格内容作出相应承诺，包括但不限于以上内容。</w:t>
      </w:r>
    </w:p>
    <w:p>
      <w:pPr>
        <w:spacing w:line="360" w:lineRule="auto"/>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bookmarkStart w:id="149" w:name="_Toc465269291"/>
      <w:r>
        <w:rPr>
          <w:rFonts w:hint="eastAsia" w:asciiTheme="minorEastAsia" w:hAnsiTheme="minorEastAsia" w:eastAsiaTheme="minorEastAsia" w:cstheme="minorEastAsia"/>
          <w:b w:val="0"/>
          <w:color w:val="auto"/>
          <w:highlight w:val="none"/>
        </w:rPr>
        <w:t>十、同类项目业绩格式</w:t>
      </w:r>
      <w:bookmarkEnd w:id="149"/>
    </w:p>
    <w:p>
      <w:pPr>
        <w:spacing w:line="360" w:lineRule="auto"/>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2020年以来同类项目业绩情况</w:t>
      </w:r>
    </w:p>
    <w:tbl>
      <w:tblPr>
        <w:tblStyle w:val="25"/>
        <w:tblW w:w="10462" w:type="dxa"/>
        <w:tblInd w:w="-1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478"/>
        <w:gridCol w:w="1687"/>
        <w:gridCol w:w="1363"/>
        <w:gridCol w:w="1575"/>
        <w:gridCol w:w="1237"/>
        <w:gridCol w:w="950"/>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22"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序号</w:t>
            </w:r>
          </w:p>
        </w:tc>
        <w:tc>
          <w:tcPr>
            <w:tcW w:w="1478" w:type="dxa"/>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项目名称及合同金额</w:t>
            </w:r>
          </w:p>
        </w:tc>
        <w:tc>
          <w:tcPr>
            <w:tcW w:w="1687"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设备品牌型号</w:t>
            </w:r>
          </w:p>
        </w:tc>
        <w:tc>
          <w:tcPr>
            <w:tcW w:w="1363"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配套情况</w:t>
            </w:r>
          </w:p>
        </w:tc>
        <w:tc>
          <w:tcPr>
            <w:tcW w:w="1575" w:type="dxa"/>
            <w:vAlign w:val="center"/>
          </w:tcPr>
          <w:p>
            <w:pPr>
              <w:spacing w:line="400" w:lineRule="exact"/>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中标/成交</w:t>
            </w:r>
          </w:p>
          <w:p>
            <w:pPr>
              <w:spacing w:line="400" w:lineRule="exact"/>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时间</w:t>
            </w:r>
          </w:p>
        </w:tc>
        <w:tc>
          <w:tcPr>
            <w:tcW w:w="1237"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用户单位</w:t>
            </w:r>
          </w:p>
        </w:tc>
        <w:tc>
          <w:tcPr>
            <w:tcW w:w="950"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用户代表</w:t>
            </w:r>
          </w:p>
        </w:tc>
        <w:tc>
          <w:tcPr>
            <w:tcW w:w="1250"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手机与办公电话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w:t>
            </w:r>
          </w:p>
        </w:tc>
        <w:tc>
          <w:tcPr>
            <w:tcW w:w="1478" w:type="dxa"/>
          </w:tcPr>
          <w:p>
            <w:pPr>
              <w:spacing w:line="360" w:lineRule="auto"/>
              <w:jc w:val="center"/>
              <w:rPr>
                <w:rFonts w:asciiTheme="minorEastAsia" w:hAnsiTheme="minorEastAsia" w:eastAsiaTheme="minorEastAsia" w:cstheme="minorEastAsia"/>
                <w:color w:val="auto"/>
                <w:sz w:val="22"/>
                <w:szCs w:val="22"/>
                <w:highlight w:val="none"/>
              </w:rPr>
            </w:pPr>
          </w:p>
        </w:tc>
        <w:tc>
          <w:tcPr>
            <w:tcW w:w="168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363"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575"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3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9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w:t>
            </w:r>
          </w:p>
        </w:tc>
        <w:tc>
          <w:tcPr>
            <w:tcW w:w="1478" w:type="dxa"/>
          </w:tcPr>
          <w:p>
            <w:pPr>
              <w:spacing w:line="360" w:lineRule="auto"/>
              <w:jc w:val="center"/>
              <w:rPr>
                <w:rFonts w:asciiTheme="minorEastAsia" w:hAnsiTheme="minorEastAsia" w:eastAsiaTheme="minorEastAsia" w:cstheme="minorEastAsia"/>
                <w:color w:val="auto"/>
                <w:sz w:val="22"/>
                <w:szCs w:val="22"/>
                <w:highlight w:val="none"/>
              </w:rPr>
            </w:pPr>
          </w:p>
        </w:tc>
        <w:tc>
          <w:tcPr>
            <w:tcW w:w="168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363"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575"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3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9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w:t>
            </w:r>
          </w:p>
        </w:tc>
        <w:tc>
          <w:tcPr>
            <w:tcW w:w="1478" w:type="dxa"/>
          </w:tcPr>
          <w:p>
            <w:pPr>
              <w:spacing w:line="360" w:lineRule="auto"/>
              <w:jc w:val="center"/>
              <w:rPr>
                <w:rFonts w:asciiTheme="minorEastAsia" w:hAnsiTheme="minorEastAsia" w:eastAsiaTheme="minorEastAsia" w:cstheme="minorEastAsia"/>
                <w:color w:val="auto"/>
                <w:sz w:val="22"/>
                <w:szCs w:val="22"/>
                <w:highlight w:val="none"/>
              </w:rPr>
            </w:pPr>
          </w:p>
        </w:tc>
        <w:tc>
          <w:tcPr>
            <w:tcW w:w="168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363"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575"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3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9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w:t>
            </w:r>
          </w:p>
        </w:tc>
        <w:tc>
          <w:tcPr>
            <w:tcW w:w="1478" w:type="dxa"/>
          </w:tcPr>
          <w:p>
            <w:pPr>
              <w:spacing w:line="360" w:lineRule="auto"/>
              <w:jc w:val="center"/>
              <w:rPr>
                <w:rFonts w:asciiTheme="minorEastAsia" w:hAnsiTheme="minorEastAsia" w:eastAsiaTheme="minorEastAsia" w:cstheme="minorEastAsia"/>
                <w:color w:val="auto"/>
                <w:sz w:val="22"/>
                <w:szCs w:val="22"/>
                <w:highlight w:val="none"/>
              </w:rPr>
            </w:pPr>
          </w:p>
        </w:tc>
        <w:tc>
          <w:tcPr>
            <w:tcW w:w="168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363"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575"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37"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9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c>
          <w:tcPr>
            <w:tcW w:w="1250" w:type="dxa"/>
            <w:vAlign w:val="center"/>
          </w:tcPr>
          <w:p>
            <w:pPr>
              <w:spacing w:line="360" w:lineRule="auto"/>
              <w:jc w:val="center"/>
              <w:rPr>
                <w:rFonts w:asciiTheme="minorEastAsia" w:hAnsiTheme="minorEastAsia" w:eastAsiaTheme="minorEastAsia" w:cstheme="minorEastAsia"/>
                <w:color w:val="auto"/>
                <w:sz w:val="22"/>
                <w:szCs w:val="22"/>
                <w:highlight w:val="none"/>
              </w:rPr>
            </w:pPr>
          </w:p>
        </w:tc>
      </w:tr>
    </w:tbl>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投标人（全称并加盖公章）：</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投标代表签字：</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      年   月  日</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400" w:lineRule="exact"/>
        <w:ind w:firstLine="720" w:firstLineChars="3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注：</w:t>
      </w:r>
      <w:r>
        <w:rPr>
          <w:rFonts w:hint="eastAsia" w:asciiTheme="minorEastAsia" w:hAnsiTheme="minorEastAsia" w:eastAsiaTheme="minorEastAsia" w:cstheme="minorEastAsia"/>
          <w:color w:val="auto"/>
          <w:highlight w:val="none"/>
          <w:lang w:val="en-US" w:eastAsia="zh-CN"/>
        </w:rPr>
        <w:t>1.须提供用户单位名称，具体科室或部门、联系人及联系电话等信息，提供信息不全的不得分。</w:t>
      </w:r>
    </w:p>
    <w:p>
      <w:pPr>
        <w:spacing w:line="400" w:lineRule="exact"/>
        <w:ind w:firstLine="720" w:firstLineChars="3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2.须提供与用户签订的合同首页、合同标的物所在页、金额页及签字盖章页复印件作为证明，原件备查。</w:t>
      </w:r>
    </w:p>
    <w:p>
      <w:pPr>
        <w:spacing w:line="400" w:lineRule="exact"/>
        <w:ind w:firstLine="720" w:firstLineChars="3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3.供应商提供的证明材料的复印件须页面清晰、完整、有效，与原件一致并加盖投标人公章，否则无效。</w:t>
      </w: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p>
    <w:p>
      <w:pPr>
        <w:pStyle w:val="7"/>
        <w:rPr>
          <w:color w:val="auto"/>
          <w:highlight w:val="none"/>
        </w:rPr>
      </w:pPr>
    </w:p>
    <w:p>
      <w:pPr>
        <w:rPr>
          <w:color w:val="auto"/>
          <w:highlight w:val="none"/>
        </w:rPr>
      </w:pPr>
    </w:p>
    <w:p>
      <w:pPr>
        <w:pStyle w:val="7"/>
        <w:rPr>
          <w:color w:val="auto"/>
          <w:highlight w:val="none"/>
        </w:rPr>
      </w:pPr>
    </w:p>
    <w:p>
      <w:pPr>
        <w:rPr>
          <w:color w:val="auto"/>
          <w:highlight w:val="none"/>
        </w:r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 xml:space="preserve">十一、中小企业情况说明 </w:t>
      </w: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asciiTheme="minorEastAsia" w:hAnsiTheme="minorEastAsia" w:eastAsiaTheme="minorEastAsia" w:cstheme="minorEastAsia"/>
          <w:color w:val="auto"/>
          <w:highlight w:val="none"/>
        </w:rPr>
        <w:t>0</w:t>
      </w:r>
      <w:r>
        <w:rPr>
          <w:rFonts w:hint="eastAsia" w:asciiTheme="minorEastAsia" w:hAnsiTheme="minorEastAsia" w:eastAsiaTheme="minorEastAsia" w:cstheme="minorEastAsia"/>
          <w:color w:val="auto"/>
          <w:highlight w:val="none"/>
        </w:rPr>
        <w:t>-1中小企业声明函</w:t>
      </w:r>
    </w:p>
    <w:p>
      <w:pPr>
        <w:spacing w:line="460" w:lineRule="exact"/>
        <w:jc w:val="cente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中小企业声明函（货物）</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 xml:space="preserve"> （标的名称） </w:t>
      </w:r>
      <w:r>
        <w:rPr>
          <w:rFonts w:hint="eastAsia" w:asciiTheme="minorEastAsia" w:hAnsiTheme="minorEastAsia" w:eastAsiaTheme="minorEastAsia" w:cstheme="minorEastAsia"/>
          <w:color w:val="auto"/>
          <w:highlight w:val="none"/>
        </w:rPr>
        <w:t>，属于 （采购文件中明确的所属行业）行业 ；制造商为 （企业名称） ，从业人员____人，营业收入为____万元，资产总额为____万元，属于 （中型企业、小型企业、微型企业）____；</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（标的名称） </w:t>
      </w:r>
      <w:r>
        <w:rPr>
          <w:rFonts w:hint="eastAsia" w:asciiTheme="minorEastAsia" w:hAnsiTheme="minorEastAsia" w:eastAsiaTheme="minorEastAsia" w:cstheme="minorEastAsia"/>
          <w:color w:val="auto"/>
          <w:highlight w:val="none"/>
        </w:rPr>
        <w:t>，属于 （采购文件中明确的所属行业）行业 ；制造商为 （企业名称） ，从业人员____人，营业收入为____万元，资产总额为____万元，属于 （中型企业、小型企业、微型企业）____ ；</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pPr>
        <w:spacing w:line="3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企业名称（盖章）：</w:t>
      </w: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pPr>
        <w:spacing w:line="360" w:lineRule="exact"/>
        <w:rPr>
          <w:rFonts w:asciiTheme="minorEastAsia" w:hAnsiTheme="minorEastAsia" w:eastAsiaTheme="minorEastAsia" w:cstheme="minorEastAsia"/>
          <w:color w:val="auto"/>
          <w:highlight w:val="none"/>
        </w:rPr>
      </w:pPr>
    </w:p>
    <w:p>
      <w:pPr>
        <w:spacing w:line="36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2.残疾人福利性单位（须附残疾人福利性单位声明函）、监狱企业（须附省级以上监狱管理局、戒毒管理局（含新疆生产建设兵团）出具的属于监狱企业的证明文件）视同小微企业填报本声明函。</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3.本声明函仅填写由中小微制造商（企业）提货物（标的物）的情况，如某项货物（标的物）为大型制造商（企业）提供，相关标的内容无需填写。</w:t>
      </w:r>
    </w:p>
    <w:p>
      <w:pPr>
        <w:spacing w:line="3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w:t>
      </w:r>
    </w:p>
    <w:p>
      <w:pPr>
        <w:spacing w:line="360" w:lineRule="exact"/>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http://202.106.120.146/baosong/appweb/orgScale.html”查询企业类型。</w:t>
      </w:r>
    </w:p>
    <w:p>
      <w:pPr>
        <w:jc w:val="both"/>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asciiTheme="minorEastAsia" w:hAnsiTheme="minorEastAsia" w:eastAsiaTheme="minorEastAsia" w:cstheme="minorEastAsia"/>
          <w:color w:val="auto"/>
          <w:highlight w:val="none"/>
        </w:rPr>
        <w:t>0-</w:t>
      </w:r>
      <w:r>
        <w:rPr>
          <w:rFonts w:hint="eastAsia" w:asciiTheme="minorEastAsia" w:hAnsiTheme="minorEastAsia" w:eastAsiaTheme="minorEastAsia" w:cstheme="minorEastAsia"/>
          <w:color w:val="auto"/>
          <w:highlight w:val="none"/>
        </w:rPr>
        <w:t>2、监狱企业声明函（投标文件格式）</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本企业（单位）郑重声明下列事项：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本企业（单位）为直接投标人提供本企业（单位）制造的货物____________。 </w:t>
      </w:r>
    </w:p>
    <w:p>
      <w:pPr>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（1）本企业（单位）____ （请填写：是、不是）监狱企业。后附省级以上监狱管理局、戒毒管理局（含新疆生产建设兵团）出具的属于监狱企业的证明文件（复印件加盖公章）。 </w:t>
      </w:r>
    </w:p>
    <w:p>
      <w:pPr>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（2）本企业（单位）____ （请填写：是、不是）为联合体一方，提供本企业（单位）制造的货物（由本单位承担工程/提供服务）____。</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p>
    <w:p>
      <w:pPr>
        <w:ind w:firstLine="48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注：</w:t>
      </w: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附省级以上监狱管理局、戒毒管理局（含新疆生产建设兵团）出具的属于监狱企业的证明文件</w:t>
      </w:r>
      <w:r>
        <w:rPr>
          <w:rFonts w:hint="eastAsia" w:asciiTheme="minorEastAsia" w:hAnsiTheme="minorEastAsia" w:eastAsiaTheme="minorEastAsia" w:cstheme="minorEastAsia"/>
          <w:color w:val="auto"/>
          <w:highlight w:val="none"/>
          <w:lang w:eastAsia="zh-CN"/>
        </w:rPr>
        <w:t>。</w:t>
      </w:r>
    </w:p>
    <w:p>
      <w:pPr>
        <w:spacing w:line="460" w:lineRule="exact"/>
        <w:ind w:firstLine="960" w:firstLineChars="4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如不适用可注明不适用</w:t>
      </w:r>
    </w:p>
    <w:p>
      <w:pPr>
        <w:widowControl/>
        <w:tabs>
          <w:tab w:val="left" w:pos="1134"/>
        </w:tabs>
        <w:spacing w:line="400" w:lineRule="exact"/>
        <w:rPr>
          <w:rFonts w:hint="default" w:asciiTheme="minorEastAsia" w:hAnsiTheme="minorEastAsia" w:eastAsiaTheme="minorEastAsia" w:cstheme="minorEastAsia"/>
          <w:color w:val="auto"/>
          <w:highlight w:val="none"/>
          <w:lang w:val="en-US" w:eastAsia="zh-CN"/>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asciiTheme="minorEastAsia" w:hAnsiTheme="minorEastAsia" w:eastAsiaTheme="minorEastAsia" w:cstheme="minorEastAsia"/>
          <w:color w:val="auto"/>
          <w:highlight w:val="none"/>
        </w:rPr>
        <w:t>0</w:t>
      </w:r>
      <w:r>
        <w:rPr>
          <w:rFonts w:hint="eastAsia" w:asciiTheme="minorEastAsia" w:hAnsiTheme="minorEastAsia" w:eastAsiaTheme="minorEastAsia" w:cstheme="minorEastAsia"/>
          <w:color w:val="auto"/>
          <w:highlight w:val="none"/>
        </w:rPr>
        <w:t xml:space="preserve">-3、残疾人福利性单位声明函（投标文件格式）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____，或者提供其他残疾人福利性单位制造的货物（不包括使用非残疾人福利性单位注册商标的货物）____。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color w:val="auto"/>
          <w:highlight w:val="none"/>
        </w:rPr>
      </w:pPr>
    </w:p>
    <w:p>
      <w:pPr>
        <w:spacing w:line="460" w:lineRule="exact"/>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注：如不适用可注明不适用</w:t>
      </w:r>
    </w:p>
    <w:p>
      <w:pPr>
        <w:pStyle w:val="5"/>
        <w:rPr>
          <w:rFonts w:asciiTheme="minorEastAsia" w:hAnsiTheme="minorEastAsia" w:eastAsiaTheme="minorEastAsia" w:cstheme="minorEastAsia"/>
          <w:color w:val="auto"/>
          <w:highlight w:val="none"/>
        </w:rPr>
      </w:pPr>
    </w:p>
    <w:p>
      <w:pPr>
        <w:pStyle w:val="5"/>
        <w:rPr>
          <w:rFonts w:asciiTheme="minorEastAsia" w:hAnsiTheme="minorEastAsia" w:eastAsiaTheme="minorEastAsia" w:cstheme="minorEastAsia"/>
          <w:color w:val="auto"/>
          <w:highlight w:val="none"/>
        </w:rPr>
        <w:sectPr>
          <w:pgSz w:w="11906" w:h="16838"/>
          <w:pgMar w:top="1418" w:right="1247" w:bottom="1247" w:left="1418" w:header="851" w:footer="851" w:gutter="0"/>
          <w:cols w:space="720" w:num="1"/>
          <w:docGrid w:linePitch="326" w:charSpace="0"/>
        </w:sect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十二、承诺书</w:t>
      </w:r>
    </w:p>
    <w:p>
      <w:pPr>
        <w:pStyle w:val="7"/>
        <w:ind w:firstLine="402" w:firstLineChars="200"/>
        <w:rPr>
          <w:rFonts w:asciiTheme="minorEastAsia" w:hAnsiTheme="minorEastAsia" w:eastAsiaTheme="minorEastAsia" w:cstheme="minorEastAsia"/>
          <w:b/>
          <w:bCs/>
          <w:color w:val="auto"/>
          <w:highlight w:val="none"/>
        </w:rPr>
      </w:pPr>
    </w:p>
    <w:p>
      <w:pPr>
        <w:pStyle w:val="7"/>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致：西南大学</w:t>
      </w:r>
    </w:p>
    <w:p>
      <w:pPr>
        <w:pStyle w:val="7"/>
        <w:ind w:firstLine="422" w:firstLineChars="200"/>
        <w:jc w:val="both"/>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我方郑重承诺，所投本项目产品功能及用途：</w:t>
      </w:r>
      <w:r>
        <w:rPr>
          <w:rFonts w:hint="eastAsia" w:asciiTheme="minorEastAsia" w:hAnsiTheme="minorEastAsia" w:eastAsiaTheme="minorEastAsia" w:cstheme="minorEastAsia"/>
          <w:b/>
          <w:bCs/>
          <w:color w:val="auto"/>
          <w:sz w:val="21"/>
          <w:szCs w:val="21"/>
          <w:highlight w:val="none"/>
          <w:lang w:val="en-US" w:eastAsia="zh-CN"/>
        </w:rPr>
        <w:t>热场发射扫描电镜主要用于观察和检测金属和非金属，导电和不导电样品的表面形貌特征，获取高倍数、高分辨扫描图像；配置</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HYPERLINK "http://www.91yiqi.com/sell/list-859.html" \t "_blank" </w:instrText>
      </w:r>
      <w:r>
        <w:rPr>
          <w:rFonts w:hint="eastAsia" w:asciiTheme="minorEastAsia" w:hAnsiTheme="minorEastAsia" w:eastAsiaTheme="minorEastAsia" w:cstheme="minorEastAsia"/>
          <w:b/>
          <w:bCs/>
          <w:color w:val="auto"/>
          <w:sz w:val="21"/>
          <w:szCs w:val="21"/>
          <w:highlight w:val="none"/>
          <w:lang w:val="en-US" w:eastAsia="zh-CN"/>
        </w:rPr>
        <w:fldChar w:fldCharType="separate"/>
      </w:r>
      <w:r>
        <w:rPr>
          <w:rFonts w:hint="eastAsia" w:asciiTheme="minorEastAsia" w:hAnsiTheme="minorEastAsia" w:eastAsiaTheme="minorEastAsia" w:cstheme="minorEastAsia"/>
          <w:b/>
          <w:bCs/>
          <w:color w:val="auto"/>
          <w:sz w:val="21"/>
          <w:szCs w:val="21"/>
          <w:highlight w:val="none"/>
          <w:lang w:val="en-US" w:eastAsia="zh-CN"/>
        </w:rPr>
        <w:t>能谱仪</w: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能同时进行样品表面微区元素的定性、定量分析，具有结构形貌、化学组分综合分析能力</w:t>
      </w:r>
      <w:r>
        <w:rPr>
          <w:rFonts w:hint="eastAsia" w:asciiTheme="minorEastAsia" w:hAnsiTheme="minorEastAsia" w:eastAsiaTheme="minorEastAsia" w:cstheme="minorEastAsia"/>
          <w:b/>
          <w:bCs/>
          <w:color w:val="auto"/>
          <w:sz w:val="21"/>
          <w:szCs w:val="21"/>
          <w:highlight w:val="none"/>
        </w:rPr>
        <w:t>。</w:t>
      </w:r>
    </w:p>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特此承诺！</w:t>
      </w:r>
    </w:p>
    <w:p>
      <w:pPr>
        <w:spacing w:line="400" w:lineRule="exact"/>
        <w:rPr>
          <w:rFonts w:asciiTheme="minorEastAsia" w:hAnsiTheme="minorEastAsia" w:eastAsiaTheme="minorEastAsia" w:cstheme="minorEastAsia"/>
          <w:color w:val="auto"/>
          <w:sz w:val="21"/>
          <w:szCs w:val="21"/>
          <w:highlight w:val="none"/>
        </w:rPr>
      </w:pPr>
    </w:p>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投标人(全称并加盖章)：</w:t>
      </w:r>
    </w:p>
    <w:p>
      <w:pPr>
        <w:spacing w:line="400" w:lineRule="exact"/>
        <w:rPr>
          <w:rFonts w:asciiTheme="minorEastAsia" w:hAnsiTheme="minorEastAsia" w:eastAsiaTheme="minorEastAsia" w:cstheme="minorEastAsia"/>
          <w:color w:val="auto"/>
          <w:sz w:val="21"/>
          <w:szCs w:val="21"/>
          <w:highlight w:val="none"/>
        </w:rPr>
      </w:pPr>
    </w:p>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法定代表人或授权代表签字：</w:t>
      </w:r>
    </w:p>
    <w:p>
      <w:pPr>
        <w:spacing w:line="400" w:lineRule="exact"/>
        <w:rPr>
          <w:rFonts w:asciiTheme="minorEastAsia" w:hAnsiTheme="minorEastAsia" w:eastAsiaTheme="minorEastAsia" w:cstheme="minorEastAsia"/>
          <w:color w:val="auto"/>
          <w:sz w:val="21"/>
          <w:szCs w:val="21"/>
          <w:highlight w:val="none"/>
        </w:rPr>
      </w:pPr>
    </w:p>
    <w:p>
      <w:pPr>
        <w:spacing w:line="40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w:t>
      </w:r>
    </w:p>
    <w:p>
      <w:pPr>
        <w:widowControl/>
        <w:tabs>
          <w:tab w:val="left" w:pos="1134"/>
        </w:tabs>
        <w:spacing w:line="400" w:lineRule="exact"/>
        <w:rPr>
          <w:rFonts w:asciiTheme="minorEastAsia" w:hAnsiTheme="minorEastAsia" w:eastAsiaTheme="minorEastAsia" w:cstheme="minorEastAsia"/>
          <w:color w:val="auto"/>
          <w:sz w:val="21"/>
          <w:szCs w:val="21"/>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pPr>
    </w:p>
    <w:p>
      <w:pPr>
        <w:widowControl/>
        <w:tabs>
          <w:tab w:val="left" w:pos="1134"/>
        </w:tabs>
        <w:spacing w:line="400" w:lineRule="exact"/>
        <w:rPr>
          <w:rFonts w:asciiTheme="minorEastAsia" w:hAnsiTheme="minorEastAsia" w:eastAsiaTheme="minorEastAsia" w:cstheme="minorEastAsia"/>
          <w:color w:val="auto"/>
          <w:highlight w:val="none"/>
        </w:rPr>
        <w:sectPr>
          <w:pgSz w:w="11906" w:h="16838"/>
          <w:pgMar w:top="1418" w:right="1247" w:bottom="1247" w:left="1418" w:header="851" w:footer="851" w:gutter="0"/>
          <w:cols w:space="720" w:num="1"/>
          <w:docGrid w:linePitch="326" w:charSpace="0"/>
        </w:sectPr>
      </w:pPr>
    </w:p>
    <w:p>
      <w:pPr>
        <w:pStyle w:val="3"/>
        <w:spacing w:line="360" w:lineRule="auto"/>
        <w:ind w:left="0"/>
        <w:rPr>
          <w:rFonts w:asciiTheme="minorEastAsia" w:hAnsiTheme="minorEastAsia" w:eastAsiaTheme="minorEastAsia" w:cstheme="minorEastAsia"/>
          <w:b w:val="0"/>
          <w:color w:val="auto"/>
          <w:highlight w:val="none"/>
        </w:rPr>
      </w:pPr>
      <w:r>
        <w:rPr>
          <w:rFonts w:hint="eastAsia" w:asciiTheme="minorEastAsia" w:hAnsiTheme="minorEastAsia" w:eastAsiaTheme="minorEastAsia" w:cstheme="minorEastAsia"/>
          <w:b w:val="0"/>
          <w:color w:val="auto"/>
          <w:highlight w:val="none"/>
        </w:rPr>
        <w:t>十三、其它材料</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 经营许可证或产品销售许可证复印件加盖单位印章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 安全生产许可证复印件、产品代理资格证明文件复印件加盖单位印章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 节能环保等资质证书或文件复印件加盖单位印章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 自主品牌、投标人的信誉、荣誉证书或文件复印件加盖单位印章</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 投标人质量管理和环境认证体系等方面的资质证书或文件复印加盖单位印章件</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 企业信誉情况</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 产品出厂标准、质量检测报告及精度检测报告或数据（格式自拟）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 产品安装、调试方案（格式自拟）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  产品验收标准、方法或方案（格式自拟）</w:t>
      </w: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(十)投标人认为应提交或可以证明其能力或业绩的其他材料（格式自拟）</w:t>
      </w:r>
    </w:p>
    <w:p>
      <w:pPr>
        <w:spacing w:line="360" w:lineRule="auto"/>
        <w:ind w:left="-161" w:leftChars="-6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（十一）其他与项目有关的资料[如须由业主配合的内容（自附）]。</w:t>
      </w:r>
    </w:p>
    <w:p>
      <w:pPr>
        <w:spacing w:line="360" w:lineRule="auto"/>
        <w:ind w:left="-161" w:leftChars="-67"/>
        <w:rPr>
          <w:rFonts w:asciiTheme="minorEastAsia" w:hAnsiTheme="minorEastAsia" w:eastAsiaTheme="minorEastAsia" w:cstheme="minorEastAsia"/>
          <w:color w:val="auto"/>
          <w:highlight w:val="none"/>
        </w:rPr>
      </w:pPr>
    </w:p>
    <w:p>
      <w:pPr>
        <w:spacing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（投标人公章）                               （签字或盖章）</w:t>
      </w:r>
    </w:p>
    <w:p>
      <w:pPr>
        <w:spacing w:line="500" w:lineRule="exact"/>
        <w:ind w:firstLine="6000" w:firstLineChars="25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年     月     日</w:t>
      </w:r>
    </w:p>
    <w:p>
      <w:pPr>
        <w:tabs>
          <w:tab w:val="left" w:pos="6300"/>
        </w:tabs>
        <w:snapToGrid w:val="0"/>
        <w:spacing w:line="500" w:lineRule="exact"/>
        <w:jc w:val="center"/>
        <w:rPr>
          <w:rFonts w:asciiTheme="minorEastAsia" w:hAnsiTheme="minorEastAsia" w:eastAsiaTheme="minorEastAsia" w:cstheme="minorEastAsia"/>
          <w:color w:val="auto"/>
          <w:highlight w:val="none"/>
        </w:rPr>
      </w:pPr>
    </w:p>
    <w:p>
      <w:pPr>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注：本页材料由投标人根据项目实际情况自行选择提供，如因遗漏材料造成投标无效或影响评审得分的， 其责任由投标人自行承担。</w:t>
      </w:r>
    </w:p>
    <w:p>
      <w:pPr>
        <w:tabs>
          <w:tab w:val="left" w:pos="6300"/>
        </w:tabs>
        <w:snapToGrid w:val="0"/>
        <w:spacing w:line="500" w:lineRule="exact"/>
        <w:jc w:val="center"/>
        <w:rPr>
          <w:rFonts w:asciiTheme="minorEastAsia" w:hAnsiTheme="minorEastAsia" w:eastAsiaTheme="minorEastAsia" w:cstheme="minorEastAsia"/>
          <w:color w:val="auto"/>
          <w:highlight w:val="none"/>
        </w:rPr>
      </w:pPr>
    </w:p>
    <w:p>
      <w:pPr>
        <w:tabs>
          <w:tab w:val="left" w:pos="6300"/>
        </w:tabs>
        <w:snapToGrid w:val="0"/>
        <w:spacing w:line="50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（结束）</w:t>
      </w:r>
    </w:p>
    <w:p>
      <w:pPr>
        <w:pStyle w:val="35"/>
        <w:spacing w:line="360" w:lineRule="auto"/>
        <w:rPr>
          <w:rFonts w:asciiTheme="minorEastAsia" w:hAnsiTheme="minorEastAsia" w:eastAsiaTheme="minorEastAsia" w:cstheme="minorEastAsia"/>
          <w:color w:val="auto"/>
          <w:highlight w:val="none"/>
        </w:rPr>
      </w:pPr>
    </w:p>
    <w:p>
      <w:pPr>
        <w:wordWrap w:val="0"/>
        <w:jc w:val="cente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highlight w:val="none"/>
        </w:rPr>
      </w:pPr>
    </w:p>
    <w:p>
      <w:pPr>
        <w:tabs>
          <w:tab w:val="left" w:pos="6060"/>
        </w:tabs>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tab/>
      </w:r>
    </w:p>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ndale mono">
    <w:altName w:val="MV Boli"/>
    <w:panose1 w:val="00000000000000000000"/>
    <w:charset w:val="00"/>
    <w:family w:val="modern"/>
    <w:pitch w:val="default"/>
    <w:sig w:usb0="00000000" w:usb1="00000000" w:usb2="00000000" w:usb3="00000000" w:csb0="00000000" w:csb1="00000000"/>
  </w:font>
  <w:font w:name="Microsoft Sans Serif">
    <w:panose1 w:val="020B0604020202020204"/>
    <w:charset w:val="00"/>
    <w:family w:val="swiss"/>
    <w:pitch w:val="default"/>
    <w:sig w:usb0="E5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7426372"/>
    </w:sdtPr>
    <w:sdtContent>
      <w:p>
        <w:pPr>
          <w:pStyle w:val="14"/>
          <w:jc w:val="center"/>
        </w:pPr>
        <w:r>
          <w:fldChar w:fldCharType="begin"/>
        </w:r>
        <w:r>
          <w:instrText xml:space="preserve">PAGE   \* MERGEFORMAT</w:instrText>
        </w:r>
        <w:r>
          <w:fldChar w:fldCharType="separate"/>
        </w:r>
        <w:r>
          <w:rPr>
            <w:lang w:val="zh-CN"/>
          </w:rPr>
          <w:t>10</w:t>
        </w:r>
        <w:r>
          <w:fldChar w:fldCharType="end"/>
        </w:r>
      </w:p>
    </w:sdtContent>
  </w:sdt>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45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45</w:t>
                    </w:r>
                    <w:r>
                      <w:fldChar w:fldCharType="end"/>
                    </w:r>
                  </w:p>
                </w:txbxContent>
              </v:textbox>
            </v:shape>
          </w:pict>
        </mc:Fallback>
      </mc:AlternateContent>
    </w:r>
  </w:p>
  <w:p>
    <w:pPr>
      <w:pStyle w:val="14"/>
      <w:ind w:firstLine="360"/>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7490530"/>
    </w:sdtPr>
    <w:sdtContent>
      <w:p>
        <w:pPr>
          <w:pStyle w:val="14"/>
          <w:jc w:val="center"/>
        </w:pPr>
        <w:r>
          <w:fldChar w:fldCharType="begin"/>
        </w:r>
        <w:r>
          <w:instrText xml:space="preserve">PAGE   \* MERGEFORMAT</w:instrText>
        </w:r>
        <w:r>
          <w:fldChar w:fldCharType="separate"/>
        </w:r>
        <w:r>
          <w:rPr>
            <w:lang w:val="zh-CN"/>
          </w:rPr>
          <w:t>89</w:t>
        </w:r>
        <w:r>
          <w:fldChar w:fldCharType="end"/>
        </w:r>
      </w:p>
    </w:sdtContent>
  </w:sdt>
  <w:p>
    <w:pPr>
      <w:pStyle w:val="14"/>
      <w:ind w:firstLine="360"/>
      <w:rPr>
        <w:rFonts w:hint="eastAsia" w:ascii="andale mono" w:hAnsi="andale mon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object>
        <v:shape id="_x0000_i1025" o:spt="75" type="#_x0000_t75" style="height:13.5pt;width:108pt;" o:ole="t" filled="f" o:preferrelative="t" stroked="f" coordsize="21600,21600">
          <v:path/>
          <v:fill on="f" focussize="0,0"/>
          <v:stroke on="f" joinstyle="miter"/>
          <v:imagedata r:id="rId2" o:title=""/>
          <o:lock v:ext="edit" aspectratio="t"/>
          <w10:wrap type="none"/>
          <w10:anchorlock/>
        </v:shape>
        <o:OLEObject Type="Embed" ProgID="MSPhotoEd.3" ShapeID="_x0000_i1025" DrawAspect="Content" ObjectID="_1468075725" r:id="rId1">
          <o:LockedField>false</o:LockedField>
        </o:OLEObject>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054F6"/>
    <w:multiLevelType w:val="multilevel"/>
    <w:tmpl w:val="074054F6"/>
    <w:lvl w:ilvl="0" w:tentative="0">
      <w:start w:val="1"/>
      <w:numFmt w:val="decimal"/>
      <w:pStyle w:val="47"/>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hMzY0ODFhZmI2MmNlMTI5NWVlMjE3ZTIwMTU2ZmUifQ=="/>
  </w:docVars>
  <w:rsids>
    <w:rsidRoot w:val="58162554"/>
    <w:rsid w:val="00000C84"/>
    <w:rsid w:val="00002409"/>
    <w:rsid w:val="00002703"/>
    <w:rsid w:val="000045D4"/>
    <w:rsid w:val="00006DAA"/>
    <w:rsid w:val="00011582"/>
    <w:rsid w:val="00011645"/>
    <w:rsid w:val="0001636A"/>
    <w:rsid w:val="00020567"/>
    <w:rsid w:val="000220F8"/>
    <w:rsid w:val="000234AA"/>
    <w:rsid w:val="0002793C"/>
    <w:rsid w:val="0003019A"/>
    <w:rsid w:val="00030535"/>
    <w:rsid w:val="00035E4D"/>
    <w:rsid w:val="00035EE2"/>
    <w:rsid w:val="00046C27"/>
    <w:rsid w:val="00047DC8"/>
    <w:rsid w:val="000513B5"/>
    <w:rsid w:val="00051D78"/>
    <w:rsid w:val="00053CAF"/>
    <w:rsid w:val="00055EDA"/>
    <w:rsid w:val="00063BD7"/>
    <w:rsid w:val="00063CD6"/>
    <w:rsid w:val="00065256"/>
    <w:rsid w:val="000670DF"/>
    <w:rsid w:val="00072D85"/>
    <w:rsid w:val="000741C9"/>
    <w:rsid w:val="00074BD1"/>
    <w:rsid w:val="00075E10"/>
    <w:rsid w:val="00076641"/>
    <w:rsid w:val="0008027C"/>
    <w:rsid w:val="0008109A"/>
    <w:rsid w:val="00083164"/>
    <w:rsid w:val="000841C9"/>
    <w:rsid w:val="00086E8A"/>
    <w:rsid w:val="00087566"/>
    <w:rsid w:val="00087E7A"/>
    <w:rsid w:val="00090512"/>
    <w:rsid w:val="00093A58"/>
    <w:rsid w:val="00095979"/>
    <w:rsid w:val="000965C5"/>
    <w:rsid w:val="000A3598"/>
    <w:rsid w:val="000A7AD0"/>
    <w:rsid w:val="000A7CC8"/>
    <w:rsid w:val="000B18D0"/>
    <w:rsid w:val="000B28CA"/>
    <w:rsid w:val="000B447B"/>
    <w:rsid w:val="000C617C"/>
    <w:rsid w:val="000D0E52"/>
    <w:rsid w:val="000D1552"/>
    <w:rsid w:val="000D545F"/>
    <w:rsid w:val="000D6FF1"/>
    <w:rsid w:val="000D7B8F"/>
    <w:rsid w:val="000E14F3"/>
    <w:rsid w:val="000E5824"/>
    <w:rsid w:val="000E7D86"/>
    <w:rsid w:val="000F1FF8"/>
    <w:rsid w:val="000F47D1"/>
    <w:rsid w:val="000F5A7E"/>
    <w:rsid w:val="000F77D7"/>
    <w:rsid w:val="001038C7"/>
    <w:rsid w:val="00106FDA"/>
    <w:rsid w:val="00111847"/>
    <w:rsid w:val="001126ED"/>
    <w:rsid w:val="00116FD2"/>
    <w:rsid w:val="00117768"/>
    <w:rsid w:val="00117E8F"/>
    <w:rsid w:val="00117F98"/>
    <w:rsid w:val="001240AC"/>
    <w:rsid w:val="0012601A"/>
    <w:rsid w:val="001264CF"/>
    <w:rsid w:val="001267D1"/>
    <w:rsid w:val="00130494"/>
    <w:rsid w:val="00140C69"/>
    <w:rsid w:val="00145650"/>
    <w:rsid w:val="0014624F"/>
    <w:rsid w:val="00146646"/>
    <w:rsid w:val="00152FED"/>
    <w:rsid w:val="00160AEE"/>
    <w:rsid w:val="001614A4"/>
    <w:rsid w:val="00164013"/>
    <w:rsid w:val="00165464"/>
    <w:rsid w:val="0017153F"/>
    <w:rsid w:val="00171AE2"/>
    <w:rsid w:val="00175099"/>
    <w:rsid w:val="00175E96"/>
    <w:rsid w:val="001800A1"/>
    <w:rsid w:val="0018152A"/>
    <w:rsid w:val="00182411"/>
    <w:rsid w:val="001825DA"/>
    <w:rsid w:val="00184734"/>
    <w:rsid w:val="00184B97"/>
    <w:rsid w:val="00185D47"/>
    <w:rsid w:val="00190A52"/>
    <w:rsid w:val="00190FA1"/>
    <w:rsid w:val="001938B0"/>
    <w:rsid w:val="00193BDC"/>
    <w:rsid w:val="00195F7B"/>
    <w:rsid w:val="001A0C75"/>
    <w:rsid w:val="001A1FD4"/>
    <w:rsid w:val="001A2806"/>
    <w:rsid w:val="001A620E"/>
    <w:rsid w:val="001A66B5"/>
    <w:rsid w:val="001A6E0F"/>
    <w:rsid w:val="001A733A"/>
    <w:rsid w:val="001B1202"/>
    <w:rsid w:val="001B1633"/>
    <w:rsid w:val="001B5025"/>
    <w:rsid w:val="001B510C"/>
    <w:rsid w:val="001B5EDE"/>
    <w:rsid w:val="001B620C"/>
    <w:rsid w:val="001B6215"/>
    <w:rsid w:val="001B6F5A"/>
    <w:rsid w:val="001C0DC7"/>
    <w:rsid w:val="001C3932"/>
    <w:rsid w:val="001C3F17"/>
    <w:rsid w:val="001C5397"/>
    <w:rsid w:val="001C5866"/>
    <w:rsid w:val="001C5E03"/>
    <w:rsid w:val="001D3443"/>
    <w:rsid w:val="001D35B0"/>
    <w:rsid w:val="001D6E22"/>
    <w:rsid w:val="001E178B"/>
    <w:rsid w:val="001F2DCE"/>
    <w:rsid w:val="001F360E"/>
    <w:rsid w:val="002014CD"/>
    <w:rsid w:val="00201B4D"/>
    <w:rsid w:val="0020753E"/>
    <w:rsid w:val="0021045D"/>
    <w:rsid w:val="00213247"/>
    <w:rsid w:val="002139EA"/>
    <w:rsid w:val="0021622A"/>
    <w:rsid w:val="00217AD1"/>
    <w:rsid w:val="00222D81"/>
    <w:rsid w:val="00223FA3"/>
    <w:rsid w:val="00225069"/>
    <w:rsid w:val="00227CA0"/>
    <w:rsid w:val="0023186B"/>
    <w:rsid w:val="00234038"/>
    <w:rsid w:val="002410D7"/>
    <w:rsid w:val="00244918"/>
    <w:rsid w:val="00245EE7"/>
    <w:rsid w:val="00250406"/>
    <w:rsid w:val="00252CBF"/>
    <w:rsid w:val="002551BF"/>
    <w:rsid w:val="00256D9E"/>
    <w:rsid w:val="002618AE"/>
    <w:rsid w:val="00261A52"/>
    <w:rsid w:val="0027190D"/>
    <w:rsid w:val="00274AAB"/>
    <w:rsid w:val="002764E6"/>
    <w:rsid w:val="00277B17"/>
    <w:rsid w:val="00281CC4"/>
    <w:rsid w:val="002863C2"/>
    <w:rsid w:val="0028757F"/>
    <w:rsid w:val="002913FA"/>
    <w:rsid w:val="00291BC8"/>
    <w:rsid w:val="0029327A"/>
    <w:rsid w:val="00293299"/>
    <w:rsid w:val="00293911"/>
    <w:rsid w:val="00293B32"/>
    <w:rsid w:val="002A0302"/>
    <w:rsid w:val="002A625B"/>
    <w:rsid w:val="002B3BDE"/>
    <w:rsid w:val="002B618C"/>
    <w:rsid w:val="002C2FB9"/>
    <w:rsid w:val="002C30C1"/>
    <w:rsid w:val="002C5555"/>
    <w:rsid w:val="002D7241"/>
    <w:rsid w:val="002D7F3A"/>
    <w:rsid w:val="002E2213"/>
    <w:rsid w:val="002E2676"/>
    <w:rsid w:val="002E6C42"/>
    <w:rsid w:val="002F5A15"/>
    <w:rsid w:val="002F5CDF"/>
    <w:rsid w:val="002F6C4B"/>
    <w:rsid w:val="00301C69"/>
    <w:rsid w:val="0030299A"/>
    <w:rsid w:val="00302FED"/>
    <w:rsid w:val="00303D77"/>
    <w:rsid w:val="00304ED0"/>
    <w:rsid w:val="003052E1"/>
    <w:rsid w:val="00306099"/>
    <w:rsid w:val="00307447"/>
    <w:rsid w:val="003074A5"/>
    <w:rsid w:val="00307FBA"/>
    <w:rsid w:val="0031483D"/>
    <w:rsid w:val="00316D90"/>
    <w:rsid w:val="00321B66"/>
    <w:rsid w:val="003221EF"/>
    <w:rsid w:val="00323477"/>
    <w:rsid w:val="0032432E"/>
    <w:rsid w:val="00324520"/>
    <w:rsid w:val="00324BE9"/>
    <w:rsid w:val="00331D59"/>
    <w:rsid w:val="003331A8"/>
    <w:rsid w:val="00336CC9"/>
    <w:rsid w:val="00341265"/>
    <w:rsid w:val="00341EBB"/>
    <w:rsid w:val="0034480A"/>
    <w:rsid w:val="00345ECC"/>
    <w:rsid w:val="0035263A"/>
    <w:rsid w:val="003533B5"/>
    <w:rsid w:val="003546F3"/>
    <w:rsid w:val="003560AB"/>
    <w:rsid w:val="00356108"/>
    <w:rsid w:val="00356757"/>
    <w:rsid w:val="003649EF"/>
    <w:rsid w:val="00367478"/>
    <w:rsid w:val="00370986"/>
    <w:rsid w:val="0037344E"/>
    <w:rsid w:val="003747BA"/>
    <w:rsid w:val="00383817"/>
    <w:rsid w:val="00387B9D"/>
    <w:rsid w:val="00393E0D"/>
    <w:rsid w:val="00394572"/>
    <w:rsid w:val="00394A1D"/>
    <w:rsid w:val="00396703"/>
    <w:rsid w:val="00396A87"/>
    <w:rsid w:val="003A2ECB"/>
    <w:rsid w:val="003A4E49"/>
    <w:rsid w:val="003A5291"/>
    <w:rsid w:val="003A5C41"/>
    <w:rsid w:val="003A7711"/>
    <w:rsid w:val="003B1624"/>
    <w:rsid w:val="003B4357"/>
    <w:rsid w:val="003B5424"/>
    <w:rsid w:val="003B7D41"/>
    <w:rsid w:val="003C1531"/>
    <w:rsid w:val="003C43B5"/>
    <w:rsid w:val="003C4C95"/>
    <w:rsid w:val="003C5ECB"/>
    <w:rsid w:val="003C6374"/>
    <w:rsid w:val="003D2546"/>
    <w:rsid w:val="003D2D5B"/>
    <w:rsid w:val="003E2023"/>
    <w:rsid w:val="003E7FCA"/>
    <w:rsid w:val="003F0CE1"/>
    <w:rsid w:val="003F1DB2"/>
    <w:rsid w:val="003F309A"/>
    <w:rsid w:val="003F35E7"/>
    <w:rsid w:val="003F61FE"/>
    <w:rsid w:val="00404AED"/>
    <w:rsid w:val="0040774A"/>
    <w:rsid w:val="00410A13"/>
    <w:rsid w:val="004117C7"/>
    <w:rsid w:val="00411B57"/>
    <w:rsid w:val="00411C01"/>
    <w:rsid w:val="00412DE6"/>
    <w:rsid w:val="00414158"/>
    <w:rsid w:val="004147BE"/>
    <w:rsid w:val="00425F30"/>
    <w:rsid w:val="00431DAE"/>
    <w:rsid w:val="00433461"/>
    <w:rsid w:val="00434B22"/>
    <w:rsid w:val="0044231C"/>
    <w:rsid w:val="00442D75"/>
    <w:rsid w:val="00444FA7"/>
    <w:rsid w:val="00446C57"/>
    <w:rsid w:val="00447875"/>
    <w:rsid w:val="00447996"/>
    <w:rsid w:val="00451231"/>
    <w:rsid w:val="00451FB7"/>
    <w:rsid w:val="00452E02"/>
    <w:rsid w:val="00456DDE"/>
    <w:rsid w:val="00457C19"/>
    <w:rsid w:val="00460125"/>
    <w:rsid w:val="00461AE8"/>
    <w:rsid w:val="0046206C"/>
    <w:rsid w:val="004635EF"/>
    <w:rsid w:val="00463618"/>
    <w:rsid w:val="004644DD"/>
    <w:rsid w:val="00471C29"/>
    <w:rsid w:val="00477CA1"/>
    <w:rsid w:val="004838E6"/>
    <w:rsid w:val="00484870"/>
    <w:rsid w:val="00484FE1"/>
    <w:rsid w:val="00486F45"/>
    <w:rsid w:val="004917E1"/>
    <w:rsid w:val="00497E35"/>
    <w:rsid w:val="004A002A"/>
    <w:rsid w:val="004A0CC8"/>
    <w:rsid w:val="004A2408"/>
    <w:rsid w:val="004A35CB"/>
    <w:rsid w:val="004A73FE"/>
    <w:rsid w:val="004B017B"/>
    <w:rsid w:val="004B0E2F"/>
    <w:rsid w:val="004B5726"/>
    <w:rsid w:val="004B680A"/>
    <w:rsid w:val="004B79EB"/>
    <w:rsid w:val="004C07FC"/>
    <w:rsid w:val="004C3C68"/>
    <w:rsid w:val="004C523E"/>
    <w:rsid w:val="004D21C1"/>
    <w:rsid w:val="004D2A8D"/>
    <w:rsid w:val="004D4B61"/>
    <w:rsid w:val="004D7A13"/>
    <w:rsid w:val="004E3707"/>
    <w:rsid w:val="004F3708"/>
    <w:rsid w:val="004F4099"/>
    <w:rsid w:val="004F5D92"/>
    <w:rsid w:val="00505103"/>
    <w:rsid w:val="00506F93"/>
    <w:rsid w:val="00521918"/>
    <w:rsid w:val="005231DD"/>
    <w:rsid w:val="005246C0"/>
    <w:rsid w:val="00525770"/>
    <w:rsid w:val="00531C15"/>
    <w:rsid w:val="005367E3"/>
    <w:rsid w:val="005430B6"/>
    <w:rsid w:val="00543BBC"/>
    <w:rsid w:val="005442EC"/>
    <w:rsid w:val="005503B0"/>
    <w:rsid w:val="00551410"/>
    <w:rsid w:val="00554325"/>
    <w:rsid w:val="005552C0"/>
    <w:rsid w:val="00564CD6"/>
    <w:rsid w:val="0056663C"/>
    <w:rsid w:val="00570028"/>
    <w:rsid w:val="00573EA2"/>
    <w:rsid w:val="005835AB"/>
    <w:rsid w:val="00586852"/>
    <w:rsid w:val="00586F88"/>
    <w:rsid w:val="0058750C"/>
    <w:rsid w:val="005952D5"/>
    <w:rsid w:val="005A196A"/>
    <w:rsid w:val="005A2F7B"/>
    <w:rsid w:val="005A3FF1"/>
    <w:rsid w:val="005A4E64"/>
    <w:rsid w:val="005B4A70"/>
    <w:rsid w:val="005B6101"/>
    <w:rsid w:val="005B6943"/>
    <w:rsid w:val="005B7651"/>
    <w:rsid w:val="005C1D38"/>
    <w:rsid w:val="005C33E8"/>
    <w:rsid w:val="005C6D13"/>
    <w:rsid w:val="005D067B"/>
    <w:rsid w:val="005D130F"/>
    <w:rsid w:val="005D4D50"/>
    <w:rsid w:val="005D607F"/>
    <w:rsid w:val="005D6866"/>
    <w:rsid w:val="005E31A6"/>
    <w:rsid w:val="005F20BA"/>
    <w:rsid w:val="005F25EA"/>
    <w:rsid w:val="005F3DD3"/>
    <w:rsid w:val="005F5B4F"/>
    <w:rsid w:val="005F64DD"/>
    <w:rsid w:val="0060084D"/>
    <w:rsid w:val="006063DC"/>
    <w:rsid w:val="006066C0"/>
    <w:rsid w:val="0060793F"/>
    <w:rsid w:val="00607AD2"/>
    <w:rsid w:val="00607F24"/>
    <w:rsid w:val="00611030"/>
    <w:rsid w:val="00611247"/>
    <w:rsid w:val="00615E28"/>
    <w:rsid w:val="00616114"/>
    <w:rsid w:val="00617169"/>
    <w:rsid w:val="00617B98"/>
    <w:rsid w:val="00621AE6"/>
    <w:rsid w:val="00624F21"/>
    <w:rsid w:val="00630763"/>
    <w:rsid w:val="006317D2"/>
    <w:rsid w:val="00631BEE"/>
    <w:rsid w:val="006373AF"/>
    <w:rsid w:val="0064122E"/>
    <w:rsid w:val="00652133"/>
    <w:rsid w:val="0065418D"/>
    <w:rsid w:val="00654250"/>
    <w:rsid w:val="006542A8"/>
    <w:rsid w:val="00655A3A"/>
    <w:rsid w:val="00661230"/>
    <w:rsid w:val="0066299A"/>
    <w:rsid w:val="006641D8"/>
    <w:rsid w:val="006653E7"/>
    <w:rsid w:val="00670F75"/>
    <w:rsid w:val="00672F3A"/>
    <w:rsid w:val="00673A36"/>
    <w:rsid w:val="00674502"/>
    <w:rsid w:val="006754B7"/>
    <w:rsid w:val="006768A3"/>
    <w:rsid w:val="00676A87"/>
    <w:rsid w:val="0068037D"/>
    <w:rsid w:val="006825A2"/>
    <w:rsid w:val="006829D2"/>
    <w:rsid w:val="00682AB1"/>
    <w:rsid w:val="0068374D"/>
    <w:rsid w:val="006843C0"/>
    <w:rsid w:val="00686FC1"/>
    <w:rsid w:val="006935EB"/>
    <w:rsid w:val="006A5D86"/>
    <w:rsid w:val="006B3121"/>
    <w:rsid w:val="006B34D9"/>
    <w:rsid w:val="006B7DEB"/>
    <w:rsid w:val="006C3056"/>
    <w:rsid w:val="006C4371"/>
    <w:rsid w:val="006D40C9"/>
    <w:rsid w:val="006D4F69"/>
    <w:rsid w:val="006E1266"/>
    <w:rsid w:val="006E30C7"/>
    <w:rsid w:val="006E5A2C"/>
    <w:rsid w:val="006F2177"/>
    <w:rsid w:val="006F3394"/>
    <w:rsid w:val="006F6D68"/>
    <w:rsid w:val="006F7F37"/>
    <w:rsid w:val="00702637"/>
    <w:rsid w:val="00702863"/>
    <w:rsid w:val="00704FD4"/>
    <w:rsid w:val="00712058"/>
    <w:rsid w:val="007153DD"/>
    <w:rsid w:val="007172FD"/>
    <w:rsid w:val="00721F5B"/>
    <w:rsid w:val="00722D57"/>
    <w:rsid w:val="007231BF"/>
    <w:rsid w:val="0072511D"/>
    <w:rsid w:val="00730A67"/>
    <w:rsid w:val="00732106"/>
    <w:rsid w:val="00734570"/>
    <w:rsid w:val="0073603C"/>
    <w:rsid w:val="0073653F"/>
    <w:rsid w:val="007414D9"/>
    <w:rsid w:val="00746219"/>
    <w:rsid w:val="0074694E"/>
    <w:rsid w:val="00752583"/>
    <w:rsid w:val="0075552C"/>
    <w:rsid w:val="00755C43"/>
    <w:rsid w:val="007567B6"/>
    <w:rsid w:val="00763F53"/>
    <w:rsid w:val="00764482"/>
    <w:rsid w:val="00766BE1"/>
    <w:rsid w:val="00771830"/>
    <w:rsid w:val="007731E9"/>
    <w:rsid w:val="0077330F"/>
    <w:rsid w:val="00781125"/>
    <w:rsid w:val="0078548C"/>
    <w:rsid w:val="00786BDF"/>
    <w:rsid w:val="0078780C"/>
    <w:rsid w:val="007907B4"/>
    <w:rsid w:val="00792127"/>
    <w:rsid w:val="00792FE8"/>
    <w:rsid w:val="00793997"/>
    <w:rsid w:val="00794A0B"/>
    <w:rsid w:val="00796B83"/>
    <w:rsid w:val="007A0873"/>
    <w:rsid w:val="007A18D3"/>
    <w:rsid w:val="007A68B1"/>
    <w:rsid w:val="007B11AB"/>
    <w:rsid w:val="007B193B"/>
    <w:rsid w:val="007B2237"/>
    <w:rsid w:val="007B253D"/>
    <w:rsid w:val="007B4F54"/>
    <w:rsid w:val="007B66CD"/>
    <w:rsid w:val="007B674C"/>
    <w:rsid w:val="007C0722"/>
    <w:rsid w:val="007C3E32"/>
    <w:rsid w:val="007C4D27"/>
    <w:rsid w:val="007C6FE8"/>
    <w:rsid w:val="007C7104"/>
    <w:rsid w:val="007C7147"/>
    <w:rsid w:val="007C7EC8"/>
    <w:rsid w:val="007D0C91"/>
    <w:rsid w:val="007D5FDE"/>
    <w:rsid w:val="007E32EA"/>
    <w:rsid w:val="007E4FBF"/>
    <w:rsid w:val="007E61DB"/>
    <w:rsid w:val="007E6A75"/>
    <w:rsid w:val="007E6FDC"/>
    <w:rsid w:val="007E7813"/>
    <w:rsid w:val="007F044A"/>
    <w:rsid w:val="007F33D0"/>
    <w:rsid w:val="007F3E10"/>
    <w:rsid w:val="007F5A63"/>
    <w:rsid w:val="00800832"/>
    <w:rsid w:val="008020A2"/>
    <w:rsid w:val="00803C28"/>
    <w:rsid w:val="00804D51"/>
    <w:rsid w:val="008121E7"/>
    <w:rsid w:val="00816792"/>
    <w:rsid w:val="00817C57"/>
    <w:rsid w:val="008242EA"/>
    <w:rsid w:val="00825C24"/>
    <w:rsid w:val="00826C67"/>
    <w:rsid w:val="0082767D"/>
    <w:rsid w:val="00835F4A"/>
    <w:rsid w:val="00836009"/>
    <w:rsid w:val="00840918"/>
    <w:rsid w:val="00840B01"/>
    <w:rsid w:val="008422E2"/>
    <w:rsid w:val="0084257C"/>
    <w:rsid w:val="0084424C"/>
    <w:rsid w:val="00846D2B"/>
    <w:rsid w:val="008511B1"/>
    <w:rsid w:val="00852621"/>
    <w:rsid w:val="00852A7A"/>
    <w:rsid w:val="00852F9B"/>
    <w:rsid w:val="00854503"/>
    <w:rsid w:val="0085773B"/>
    <w:rsid w:val="00864B37"/>
    <w:rsid w:val="00870C0D"/>
    <w:rsid w:val="00870D6D"/>
    <w:rsid w:val="00871219"/>
    <w:rsid w:val="00876EA0"/>
    <w:rsid w:val="008801E1"/>
    <w:rsid w:val="008838ED"/>
    <w:rsid w:val="00886D33"/>
    <w:rsid w:val="008908DD"/>
    <w:rsid w:val="00896306"/>
    <w:rsid w:val="008976C7"/>
    <w:rsid w:val="008B372F"/>
    <w:rsid w:val="008C0189"/>
    <w:rsid w:val="008C11B3"/>
    <w:rsid w:val="008C233F"/>
    <w:rsid w:val="008C2C76"/>
    <w:rsid w:val="008C2D1E"/>
    <w:rsid w:val="008C48CD"/>
    <w:rsid w:val="008C6123"/>
    <w:rsid w:val="008D1151"/>
    <w:rsid w:val="008D6D14"/>
    <w:rsid w:val="008E00E1"/>
    <w:rsid w:val="008E0629"/>
    <w:rsid w:val="008E07D1"/>
    <w:rsid w:val="008E516E"/>
    <w:rsid w:val="008E7D3F"/>
    <w:rsid w:val="008F05A2"/>
    <w:rsid w:val="008F09CF"/>
    <w:rsid w:val="008F0C88"/>
    <w:rsid w:val="008F18EA"/>
    <w:rsid w:val="008F3DD4"/>
    <w:rsid w:val="008F7564"/>
    <w:rsid w:val="0090143C"/>
    <w:rsid w:val="009016D3"/>
    <w:rsid w:val="009018AC"/>
    <w:rsid w:val="00902A4F"/>
    <w:rsid w:val="00920F5D"/>
    <w:rsid w:val="00925276"/>
    <w:rsid w:val="009265EF"/>
    <w:rsid w:val="009326B9"/>
    <w:rsid w:val="00932DB5"/>
    <w:rsid w:val="009333E1"/>
    <w:rsid w:val="00934F1B"/>
    <w:rsid w:val="009367AB"/>
    <w:rsid w:val="0094225A"/>
    <w:rsid w:val="009466A7"/>
    <w:rsid w:val="00954ECA"/>
    <w:rsid w:val="0096377F"/>
    <w:rsid w:val="009650F3"/>
    <w:rsid w:val="0097242D"/>
    <w:rsid w:val="00974B5C"/>
    <w:rsid w:val="009853EB"/>
    <w:rsid w:val="00986EB7"/>
    <w:rsid w:val="00991E25"/>
    <w:rsid w:val="00994BE3"/>
    <w:rsid w:val="009952BC"/>
    <w:rsid w:val="00995566"/>
    <w:rsid w:val="009A28C1"/>
    <w:rsid w:val="009A5094"/>
    <w:rsid w:val="009A6319"/>
    <w:rsid w:val="009B152E"/>
    <w:rsid w:val="009B47A3"/>
    <w:rsid w:val="009B4DB0"/>
    <w:rsid w:val="009C047B"/>
    <w:rsid w:val="009C1CB0"/>
    <w:rsid w:val="009C3561"/>
    <w:rsid w:val="009C5985"/>
    <w:rsid w:val="009C64BF"/>
    <w:rsid w:val="009D02D4"/>
    <w:rsid w:val="009D1493"/>
    <w:rsid w:val="009D43FD"/>
    <w:rsid w:val="009D5783"/>
    <w:rsid w:val="009E128B"/>
    <w:rsid w:val="009E24ED"/>
    <w:rsid w:val="009E3C11"/>
    <w:rsid w:val="009E4E14"/>
    <w:rsid w:val="009E74B8"/>
    <w:rsid w:val="009F4F22"/>
    <w:rsid w:val="009F5D81"/>
    <w:rsid w:val="00A02FC8"/>
    <w:rsid w:val="00A06B1D"/>
    <w:rsid w:val="00A12211"/>
    <w:rsid w:val="00A15E32"/>
    <w:rsid w:val="00A16E0C"/>
    <w:rsid w:val="00A16EC1"/>
    <w:rsid w:val="00A211C6"/>
    <w:rsid w:val="00A2233A"/>
    <w:rsid w:val="00A22EC4"/>
    <w:rsid w:val="00A26A71"/>
    <w:rsid w:val="00A3391D"/>
    <w:rsid w:val="00A34526"/>
    <w:rsid w:val="00A35A05"/>
    <w:rsid w:val="00A36842"/>
    <w:rsid w:val="00A36928"/>
    <w:rsid w:val="00A45EE1"/>
    <w:rsid w:val="00A50C6D"/>
    <w:rsid w:val="00A61974"/>
    <w:rsid w:val="00A63A20"/>
    <w:rsid w:val="00A63F88"/>
    <w:rsid w:val="00A6779A"/>
    <w:rsid w:val="00A67ECA"/>
    <w:rsid w:val="00A71AA8"/>
    <w:rsid w:val="00A723C6"/>
    <w:rsid w:val="00A72EFA"/>
    <w:rsid w:val="00A72F6E"/>
    <w:rsid w:val="00A7370B"/>
    <w:rsid w:val="00A75263"/>
    <w:rsid w:val="00A7539D"/>
    <w:rsid w:val="00A75419"/>
    <w:rsid w:val="00A7645C"/>
    <w:rsid w:val="00A82932"/>
    <w:rsid w:val="00A870FF"/>
    <w:rsid w:val="00A905B4"/>
    <w:rsid w:val="00A906B1"/>
    <w:rsid w:val="00A96C98"/>
    <w:rsid w:val="00AA156A"/>
    <w:rsid w:val="00AA258A"/>
    <w:rsid w:val="00AA2848"/>
    <w:rsid w:val="00AA500D"/>
    <w:rsid w:val="00AA5A76"/>
    <w:rsid w:val="00AA5B40"/>
    <w:rsid w:val="00AA7DBE"/>
    <w:rsid w:val="00AA7FB8"/>
    <w:rsid w:val="00AB16D7"/>
    <w:rsid w:val="00AB198E"/>
    <w:rsid w:val="00AB4E8E"/>
    <w:rsid w:val="00AC00FD"/>
    <w:rsid w:val="00AC2630"/>
    <w:rsid w:val="00AC406F"/>
    <w:rsid w:val="00AC46F4"/>
    <w:rsid w:val="00AC5D2B"/>
    <w:rsid w:val="00AD00F8"/>
    <w:rsid w:val="00AD2A08"/>
    <w:rsid w:val="00AD6AEF"/>
    <w:rsid w:val="00AD7665"/>
    <w:rsid w:val="00AD79F4"/>
    <w:rsid w:val="00AE0D14"/>
    <w:rsid w:val="00AE5632"/>
    <w:rsid w:val="00AE612D"/>
    <w:rsid w:val="00AF3A21"/>
    <w:rsid w:val="00AF3D35"/>
    <w:rsid w:val="00AF60C9"/>
    <w:rsid w:val="00B01EEA"/>
    <w:rsid w:val="00B10463"/>
    <w:rsid w:val="00B10B33"/>
    <w:rsid w:val="00B14E97"/>
    <w:rsid w:val="00B27445"/>
    <w:rsid w:val="00B323B3"/>
    <w:rsid w:val="00B34C5D"/>
    <w:rsid w:val="00B41004"/>
    <w:rsid w:val="00B4223A"/>
    <w:rsid w:val="00B42F72"/>
    <w:rsid w:val="00B46455"/>
    <w:rsid w:val="00B46C93"/>
    <w:rsid w:val="00B472BE"/>
    <w:rsid w:val="00B51B80"/>
    <w:rsid w:val="00B51D46"/>
    <w:rsid w:val="00B52C85"/>
    <w:rsid w:val="00B54A86"/>
    <w:rsid w:val="00B6082D"/>
    <w:rsid w:val="00B63A8C"/>
    <w:rsid w:val="00B63D40"/>
    <w:rsid w:val="00B64A7D"/>
    <w:rsid w:val="00B650EA"/>
    <w:rsid w:val="00B6563A"/>
    <w:rsid w:val="00B7157B"/>
    <w:rsid w:val="00B738FB"/>
    <w:rsid w:val="00B75166"/>
    <w:rsid w:val="00B8005D"/>
    <w:rsid w:val="00B80EFB"/>
    <w:rsid w:val="00B8218C"/>
    <w:rsid w:val="00B84223"/>
    <w:rsid w:val="00B85B7A"/>
    <w:rsid w:val="00B9301E"/>
    <w:rsid w:val="00B94993"/>
    <w:rsid w:val="00BA0C6C"/>
    <w:rsid w:val="00BA2C18"/>
    <w:rsid w:val="00BA599D"/>
    <w:rsid w:val="00BB2F31"/>
    <w:rsid w:val="00BB2FF3"/>
    <w:rsid w:val="00BB5DDD"/>
    <w:rsid w:val="00BB669C"/>
    <w:rsid w:val="00BB69EA"/>
    <w:rsid w:val="00BB79D1"/>
    <w:rsid w:val="00BC0ADC"/>
    <w:rsid w:val="00BC3BB1"/>
    <w:rsid w:val="00BC4164"/>
    <w:rsid w:val="00BD275E"/>
    <w:rsid w:val="00BD31E7"/>
    <w:rsid w:val="00BE1EF4"/>
    <w:rsid w:val="00BE202E"/>
    <w:rsid w:val="00BE62B0"/>
    <w:rsid w:val="00BF05AB"/>
    <w:rsid w:val="00BF2F2A"/>
    <w:rsid w:val="00BF5212"/>
    <w:rsid w:val="00BF5708"/>
    <w:rsid w:val="00C0094D"/>
    <w:rsid w:val="00C00EA3"/>
    <w:rsid w:val="00C01695"/>
    <w:rsid w:val="00C020D5"/>
    <w:rsid w:val="00C04AE6"/>
    <w:rsid w:val="00C04F95"/>
    <w:rsid w:val="00C11A58"/>
    <w:rsid w:val="00C1526C"/>
    <w:rsid w:val="00C166BC"/>
    <w:rsid w:val="00C213BA"/>
    <w:rsid w:val="00C226A6"/>
    <w:rsid w:val="00C2367B"/>
    <w:rsid w:val="00C2401B"/>
    <w:rsid w:val="00C24A5C"/>
    <w:rsid w:val="00C272A8"/>
    <w:rsid w:val="00C278D9"/>
    <w:rsid w:val="00C27E71"/>
    <w:rsid w:val="00C27E84"/>
    <w:rsid w:val="00C306E6"/>
    <w:rsid w:val="00C310BE"/>
    <w:rsid w:val="00C32C45"/>
    <w:rsid w:val="00C356F3"/>
    <w:rsid w:val="00C3796E"/>
    <w:rsid w:val="00C424A6"/>
    <w:rsid w:val="00C4327C"/>
    <w:rsid w:val="00C467D8"/>
    <w:rsid w:val="00C471D8"/>
    <w:rsid w:val="00C51C9F"/>
    <w:rsid w:val="00C52E05"/>
    <w:rsid w:val="00C52F91"/>
    <w:rsid w:val="00C66217"/>
    <w:rsid w:val="00C662B9"/>
    <w:rsid w:val="00C711D1"/>
    <w:rsid w:val="00C758C6"/>
    <w:rsid w:val="00C7705A"/>
    <w:rsid w:val="00C77A65"/>
    <w:rsid w:val="00C808E5"/>
    <w:rsid w:val="00C8326C"/>
    <w:rsid w:val="00C83AA4"/>
    <w:rsid w:val="00C84B4E"/>
    <w:rsid w:val="00C84C25"/>
    <w:rsid w:val="00C873C0"/>
    <w:rsid w:val="00C90438"/>
    <w:rsid w:val="00C93F83"/>
    <w:rsid w:val="00CA2083"/>
    <w:rsid w:val="00CB1E73"/>
    <w:rsid w:val="00CB239C"/>
    <w:rsid w:val="00CB276F"/>
    <w:rsid w:val="00CB79FB"/>
    <w:rsid w:val="00CC4976"/>
    <w:rsid w:val="00CC49E3"/>
    <w:rsid w:val="00CC4F87"/>
    <w:rsid w:val="00CD3DD0"/>
    <w:rsid w:val="00CD60E4"/>
    <w:rsid w:val="00CD6785"/>
    <w:rsid w:val="00CD698D"/>
    <w:rsid w:val="00CD7599"/>
    <w:rsid w:val="00CE484B"/>
    <w:rsid w:val="00CE65BD"/>
    <w:rsid w:val="00CF2A15"/>
    <w:rsid w:val="00CF4AA0"/>
    <w:rsid w:val="00CF5D4E"/>
    <w:rsid w:val="00D00D43"/>
    <w:rsid w:val="00D030A3"/>
    <w:rsid w:val="00D04F04"/>
    <w:rsid w:val="00D06C98"/>
    <w:rsid w:val="00D07D4F"/>
    <w:rsid w:val="00D10968"/>
    <w:rsid w:val="00D11057"/>
    <w:rsid w:val="00D13C01"/>
    <w:rsid w:val="00D142B3"/>
    <w:rsid w:val="00D17D3D"/>
    <w:rsid w:val="00D274CA"/>
    <w:rsid w:val="00D34607"/>
    <w:rsid w:val="00D378EF"/>
    <w:rsid w:val="00D4114F"/>
    <w:rsid w:val="00D42164"/>
    <w:rsid w:val="00D422F5"/>
    <w:rsid w:val="00D4770E"/>
    <w:rsid w:val="00D512F2"/>
    <w:rsid w:val="00D515CA"/>
    <w:rsid w:val="00D56F58"/>
    <w:rsid w:val="00D600F6"/>
    <w:rsid w:val="00D7158D"/>
    <w:rsid w:val="00D743BB"/>
    <w:rsid w:val="00D823F6"/>
    <w:rsid w:val="00D84123"/>
    <w:rsid w:val="00D865AC"/>
    <w:rsid w:val="00D91012"/>
    <w:rsid w:val="00D9361D"/>
    <w:rsid w:val="00DA007B"/>
    <w:rsid w:val="00DA20C4"/>
    <w:rsid w:val="00DA2702"/>
    <w:rsid w:val="00DA5A60"/>
    <w:rsid w:val="00DA6527"/>
    <w:rsid w:val="00DB111D"/>
    <w:rsid w:val="00DC01B7"/>
    <w:rsid w:val="00DC2BD7"/>
    <w:rsid w:val="00DC5F0D"/>
    <w:rsid w:val="00DC6103"/>
    <w:rsid w:val="00DD3797"/>
    <w:rsid w:val="00DE19B8"/>
    <w:rsid w:val="00DE291C"/>
    <w:rsid w:val="00DF00B2"/>
    <w:rsid w:val="00DF2525"/>
    <w:rsid w:val="00DF62F3"/>
    <w:rsid w:val="00E00677"/>
    <w:rsid w:val="00E07993"/>
    <w:rsid w:val="00E07DD7"/>
    <w:rsid w:val="00E106C0"/>
    <w:rsid w:val="00E11CC5"/>
    <w:rsid w:val="00E12E2E"/>
    <w:rsid w:val="00E130E6"/>
    <w:rsid w:val="00E1677E"/>
    <w:rsid w:val="00E16964"/>
    <w:rsid w:val="00E21666"/>
    <w:rsid w:val="00E22A3C"/>
    <w:rsid w:val="00E2583A"/>
    <w:rsid w:val="00E2670F"/>
    <w:rsid w:val="00E26883"/>
    <w:rsid w:val="00E31546"/>
    <w:rsid w:val="00E32B12"/>
    <w:rsid w:val="00E34D05"/>
    <w:rsid w:val="00E34DC5"/>
    <w:rsid w:val="00E360D8"/>
    <w:rsid w:val="00E40C9C"/>
    <w:rsid w:val="00E412A1"/>
    <w:rsid w:val="00E439B3"/>
    <w:rsid w:val="00E446FE"/>
    <w:rsid w:val="00E46A87"/>
    <w:rsid w:val="00E5379E"/>
    <w:rsid w:val="00E56515"/>
    <w:rsid w:val="00E60875"/>
    <w:rsid w:val="00E61913"/>
    <w:rsid w:val="00E64354"/>
    <w:rsid w:val="00E654F8"/>
    <w:rsid w:val="00E7486E"/>
    <w:rsid w:val="00E74D82"/>
    <w:rsid w:val="00E7575B"/>
    <w:rsid w:val="00E75CE0"/>
    <w:rsid w:val="00E75F12"/>
    <w:rsid w:val="00E75F38"/>
    <w:rsid w:val="00E76F9E"/>
    <w:rsid w:val="00E83167"/>
    <w:rsid w:val="00E85842"/>
    <w:rsid w:val="00E85B39"/>
    <w:rsid w:val="00E87A24"/>
    <w:rsid w:val="00E910B4"/>
    <w:rsid w:val="00E968D0"/>
    <w:rsid w:val="00E96CA7"/>
    <w:rsid w:val="00EA3C36"/>
    <w:rsid w:val="00EA4C41"/>
    <w:rsid w:val="00EB3896"/>
    <w:rsid w:val="00EB4CED"/>
    <w:rsid w:val="00EB58FA"/>
    <w:rsid w:val="00EB751F"/>
    <w:rsid w:val="00EC44B4"/>
    <w:rsid w:val="00EE0E7E"/>
    <w:rsid w:val="00EE7941"/>
    <w:rsid w:val="00EF0514"/>
    <w:rsid w:val="00EF06EC"/>
    <w:rsid w:val="00EF32B2"/>
    <w:rsid w:val="00EF4DC5"/>
    <w:rsid w:val="00EF5FB2"/>
    <w:rsid w:val="00EF7EBF"/>
    <w:rsid w:val="00F015B3"/>
    <w:rsid w:val="00F03D1F"/>
    <w:rsid w:val="00F0599E"/>
    <w:rsid w:val="00F0776B"/>
    <w:rsid w:val="00F101F4"/>
    <w:rsid w:val="00F12C6E"/>
    <w:rsid w:val="00F155B5"/>
    <w:rsid w:val="00F17F45"/>
    <w:rsid w:val="00F215BD"/>
    <w:rsid w:val="00F23F7E"/>
    <w:rsid w:val="00F23FD5"/>
    <w:rsid w:val="00F32629"/>
    <w:rsid w:val="00F415E6"/>
    <w:rsid w:val="00F41E21"/>
    <w:rsid w:val="00F43FEB"/>
    <w:rsid w:val="00F45D82"/>
    <w:rsid w:val="00F46335"/>
    <w:rsid w:val="00F471B2"/>
    <w:rsid w:val="00F5119D"/>
    <w:rsid w:val="00F51677"/>
    <w:rsid w:val="00F53F1F"/>
    <w:rsid w:val="00F53FF2"/>
    <w:rsid w:val="00F57844"/>
    <w:rsid w:val="00F615B5"/>
    <w:rsid w:val="00F62F67"/>
    <w:rsid w:val="00F67C3A"/>
    <w:rsid w:val="00F67FCC"/>
    <w:rsid w:val="00F71AFD"/>
    <w:rsid w:val="00F72C90"/>
    <w:rsid w:val="00F77408"/>
    <w:rsid w:val="00F80A3E"/>
    <w:rsid w:val="00F82B4C"/>
    <w:rsid w:val="00F84F5C"/>
    <w:rsid w:val="00F86FFE"/>
    <w:rsid w:val="00F900C1"/>
    <w:rsid w:val="00F92F51"/>
    <w:rsid w:val="00F953B5"/>
    <w:rsid w:val="00F96378"/>
    <w:rsid w:val="00FB10E8"/>
    <w:rsid w:val="00FB1D69"/>
    <w:rsid w:val="00FB6304"/>
    <w:rsid w:val="00FB782E"/>
    <w:rsid w:val="00FC1674"/>
    <w:rsid w:val="00FC16B7"/>
    <w:rsid w:val="00FC4188"/>
    <w:rsid w:val="00FC4A98"/>
    <w:rsid w:val="00FC53AA"/>
    <w:rsid w:val="00FC6F62"/>
    <w:rsid w:val="00FC7330"/>
    <w:rsid w:val="00FD08FE"/>
    <w:rsid w:val="00FD282F"/>
    <w:rsid w:val="00FD3848"/>
    <w:rsid w:val="00FD5CA3"/>
    <w:rsid w:val="00FD600D"/>
    <w:rsid w:val="00FD7714"/>
    <w:rsid w:val="00FE272E"/>
    <w:rsid w:val="00FE50A5"/>
    <w:rsid w:val="00FE6570"/>
    <w:rsid w:val="00FE6F0B"/>
    <w:rsid w:val="00FF0112"/>
    <w:rsid w:val="00FF10BB"/>
    <w:rsid w:val="00FF4885"/>
    <w:rsid w:val="00FF60D6"/>
    <w:rsid w:val="03076E95"/>
    <w:rsid w:val="032274FF"/>
    <w:rsid w:val="03A85635"/>
    <w:rsid w:val="04BE5FB8"/>
    <w:rsid w:val="059C5524"/>
    <w:rsid w:val="061B684C"/>
    <w:rsid w:val="067B507A"/>
    <w:rsid w:val="07536327"/>
    <w:rsid w:val="08447468"/>
    <w:rsid w:val="09096F55"/>
    <w:rsid w:val="09AA5DE2"/>
    <w:rsid w:val="09CD45A7"/>
    <w:rsid w:val="09F00295"/>
    <w:rsid w:val="0AC459AA"/>
    <w:rsid w:val="0C040733"/>
    <w:rsid w:val="0C132FA8"/>
    <w:rsid w:val="0FDF5034"/>
    <w:rsid w:val="11F03528"/>
    <w:rsid w:val="12011D23"/>
    <w:rsid w:val="127F2777"/>
    <w:rsid w:val="12A12D31"/>
    <w:rsid w:val="13B54A2A"/>
    <w:rsid w:val="14FB6736"/>
    <w:rsid w:val="158B33E1"/>
    <w:rsid w:val="174A46BB"/>
    <w:rsid w:val="19B63D32"/>
    <w:rsid w:val="1A4D469C"/>
    <w:rsid w:val="1ADA50FC"/>
    <w:rsid w:val="1B796F4B"/>
    <w:rsid w:val="1BE00C9E"/>
    <w:rsid w:val="1C1805A8"/>
    <w:rsid w:val="1CE96FB3"/>
    <w:rsid w:val="1D732CAB"/>
    <w:rsid w:val="1F13095A"/>
    <w:rsid w:val="20FD17BE"/>
    <w:rsid w:val="21D44D31"/>
    <w:rsid w:val="221F03FB"/>
    <w:rsid w:val="22A74EB8"/>
    <w:rsid w:val="22BA5F5F"/>
    <w:rsid w:val="22C92D43"/>
    <w:rsid w:val="23B961D2"/>
    <w:rsid w:val="240164F2"/>
    <w:rsid w:val="24353B16"/>
    <w:rsid w:val="261F02DC"/>
    <w:rsid w:val="266E44ED"/>
    <w:rsid w:val="273838B2"/>
    <w:rsid w:val="27791C41"/>
    <w:rsid w:val="277976C4"/>
    <w:rsid w:val="28444E00"/>
    <w:rsid w:val="286F2E10"/>
    <w:rsid w:val="28A4364F"/>
    <w:rsid w:val="28C71F3F"/>
    <w:rsid w:val="29272FC4"/>
    <w:rsid w:val="2A001672"/>
    <w:rsid w:val="2A4F3CCB"/>
    <w:rsid w:val="2B1C3B3B"/>
    <w:rsid w:val="2BE34A7A"/>
    <w:rsid w:val="2DC36602"/>
    <w:rsid w:val="2E0979F4"/>
    <w:rsid w:val="2E165357"/>
    <w:rsid w:val="2E8E7EF9"/>
    <w:rsid w:val="2EA747E3"/>
    <w:rsid w:val="2F2872A3"/>
    <w:rsid w:val="2F601395"/>
    <w:rsid w:val="30D00938"/>
    <w:rsid w:val="313356F3"/>
    <w:rsid w:val="324666E3"/>
    <w:rsid w:val="33640C7D"/>
    <w:rsid w:val="353337C1"/>
    <w:rsid w:val="356C2617"/>
    <w:rsid w:val="35755627"/>
    <w:rsid w:val="357D7746"/>
    <w:rsid w:val="35DE0994"/>
    <w:rsid w:val="38B9372D"/>
    <w:rsid w:val="3BFD0102"/>
    <w:rsid w:val="3C7857D3"/>
    <w:rsid w:val="3CBE19AA"/>
    <w:rsid w:val="3D014C1A"/>
    <w:rsid w:val="3EE93279"/>
    <w:rsid w:val="40084E11"/>
    <w:rsid w:val="403269EF"/>
    <w:rsid w:val="40662AE7"/>
    <w:rsid w:val="41682533"/>
    <w:rsid w:val="439B47F3"/>
    <w:rsid w:val="441A71AE"/>
    <w:rsid w:val="44286F8B"/>
    <w:rsid w:val="443F631E"/>
    <w:rsid w:val="453352FC"/>
    <w:rsid w:val="46E713EF"/>
    <w:rsid w:val="47820C22"/>
    <w:rsid w:val="498779BB"/>
    <w:rsid w:val="49EE10E4"/>
    <w:rsid w:val="4AC52146"/>
    <w:rsid w:val="4ACF5D8A"/>
    <w:rsid w:val="4C3363A1"/>
    <w:rsid w:val="4D007ED2"/>
    <w:rsid w:val="4D556807"/>
    <w:rsid w:val="4E8F764A"/>
    <w:rsid w:val="4F612B46"/>
    <w:rsid w:val="4F740605"/>
    <w:rsid w:val="50246BBE"/>
    <w:rsid w:val="51310E83"/>
    <w:rsid w:val="5179024D"/>
    <w:rsid w:val="519B3A54"/>
    <w:rsid w:val="52854FEC"/>
    <w:rsid w:val="52D801BA"/>
    <w:rsid w:val="530B071F"/>
    <w:rsid w:val="57983801"/>
    <w:rsid w:val="58162554"/>
    <w:rsid w:val="58501BF8"/>
    <w:rsid w:val="59701E3C"/>
    <w:rsid w:val="59A6388B"/>
    <w:rsid w:val="59D95C1D"/>
    <w:rsid w:val="5A706581"/>
    <w:rsid w:val="5BBA55DA"/>
    <w:rsid w:val="5C4044B5"/>
    <w:rsid w:val="5E514C70"/>
    <w:rsid w:val="5E9E75A3"/>
    <w:rsid w:val="5EE70564"/>
    <w:rsid w:val="61887541"/>
    <w:rsid w:val="62C56A29"/>
    <w:rsid w:val="62FA5CF6"/>
    <w:rsid w:val="63404106"/>
    <w:rsid w:val="634D4663"/>
    <w:rsid w:val="6446500C"/>
    <w:rsid w:val="65F53618"/>
    <w:rsid w:val="663366B5"/>
    <w:rsid w:val="67F51835"/>
    <w:rsid w:val="67F85DB4"/>
    <w:rsid w:val="682C032D"/>
    <w:rsid w:val="69B95390"/>
    <w:rsid w:val="6A095754"/>
    <w:rsid w:val="6AE4163B"/>
    <w:rsid w:val="6AF6333E"/>
    <w:rsid w:val="6B372442"/>
    <w:rsid w:val="6BF674FB"/>
    <w:rsid w:val="6C8D3A71"/>
    <w:rsid w:val="6E0B17E4"/>
    <w:rsid w:val="6FAB7493"/>
    <w:rsid w:val="6FED1A1D"/>
    <w:rsid w:val="72B67CDD"/>
    <w:rsid w:val="72F14CA3"/>
    <w:rsid w:val="73AF5D9C"/>
    <w:rsid w:val="73D65EBD"/>
    <w:rsid w:val="754A3C0C"/>
    <w:rsid w:val="766215F7"/>
    <w:rsid w:val="76911902"/>
    <w:rsid w:val="77A84676"/>
    <w:rsid w:val="78546D77"/>
    <w:rsid w:val="7B7F31BE"/>
    <w:rsid w:val="7C54220A"/>
    <w:rsid w:val="7D787377"/>
    <w:rsid w:val="7E1079D2"/>
    <w:rsid w:val="7E4061F0"/>
    <w:rsid w:val="7FE80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2">
    <w:name w:val="heading 1"/>
    <w:basedOn w:val="1"/>
    <w:next w:val="1"/>
    <w:link w:val="52"/>
    <w:qFormat/>
    <w:uiPriority w:val="99"/>
    <w:pPr>
      <w:keepNext/>
      <w:keepLines/>
      <w:spacing w:before="340" w:after="330" w:line="578" w:lineRule="atLeast"/>
      <w:ind w:left="1272" w:firstLine="288"/>
      <w:outlineLvl w:val="0"/>
    </w:pPr>
    <w:rPr>
      <w:b/>
      <w:bCs/>
      <w:kern w:val="44"/>
      <w:sz w:val="44"/>
      <w:szCs w:val="44"/>
    </w:rPr>
  </w:style>
  <w:style w:type="paragraph" w:styleId="3">
    <w:name w:val="heading 2"/>
    <w:basedOn w:val="1"/>
    <w:next w:val="1"/>
    <w:qFormat/>
    <w:uiPriority w:val="9"/>
    <w:pPr>
      <w:keepNext/>
      <w:keepLines/>
      <w:spacing w:before="260" w:after="260" w:line="416" w:lineRule="atLeast"/>
      <w:ind w:left="1814"/>
      <w:outlineLvl w:val="1"/>
    </w:pPr>
    <w:rPr>
      <w:rFonts w:ascii="Arial" w:hAnsi="Arial"/>
      <w:b/>
      <w:bCs/>
      <w:szCs w:val="32"/>
    </w:rPr>
  </w:style>
  <w:style w:type="paragraph" w:styleId="4">
    <w:name w:val="heading 3"/>
    <w:basedOn w:val="1"/>
    <w:next w:val="1"/>
    <w:qFormat/>
    <w:uiPriority w:val="99"/>
    <w:pPr>
      <w:keepNext/>
      <w:keepLines/>
      <w:spacing w:before="260" w:after="260" w:line="416" w:lineRule="auto"/>
      <w:outlineLvl w:val="2"/>
    </w:pPr>
    <w:rPr>
      <w:b/>
      <w:bCs/>
      <w:sz w:val="28"/>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snapToGrid w:val="0"/>
      <w:spacing w:line="360" w:lineRule="auto"/>
      <w:ind w:firstLine="420"/>
      <w:jc w:val="both"/>
      <w:textAlignment w:val="auto"/>
    </w:pPr>
    <w:rPr>
      <w:szCs w:val="20"/>
    </w:rPr>
  </w:style>
  <w:style w:type="paragraph" w:styleId="6">
    <w:name w:val="annotation text"/>
    <w:basedOn w:val="1"/>
    <w:link w:val="54"/>
    <w:qFormat/>
    <w:uiPriority w:val="99"/>
    <w:rPr>
      <w:sz w:val="20"/>
      <w:szCs w:val="20"/>
    </w:rPr>
  </w:style>
  <w:style w:type="paragraph" w:styleId="7">
    <w:name w:val="Body Text"/>
    <w:basedOn w:val="1"/>
    <w:next w:val="1"/>
    <w:link w:val="58"/>
    <w:qFormat/>
    <w:uiPriority w:val="99"/>
    <w:pPr>
      <w:spacing w:after="120"/>
    </w:pPr>
    <w:rPr>
      <w:sz w:val="20"/>
      <w:szCs w:val="20"/>
    </w:rPr>
  </w:style>
  <w:style w:type="paragraph" w:styleId="8">
    <w:name w:val="Body Text Indent"/>
    <w:basedOn w:val="1"/>
    <w:unhideWhenUsed/>
    <w:qFormat/>
    <w:uiPriority w:val="99"/>
    <w:pPr>
      <w:spacing w:after="120"/>
      <w:ind w:left="420" w:leftChars="200"/>
    </w:pPr>
  </w:style>
  <w:style w:type="paragraph" w:styleId="9">
    <w:name w:val="Block Text"/>
    <w:basedOn w:val="1"/>
    <w:qFormat/>
    <w:uiPriority w:val="0"/>
    <w:pPr>
      <w:spacing w:line="300" w:lineRule="auto"/>
      <w:ind w:left="958" w:right="-120" w:rightChars="-120"/>
    </w:pPr>
    <w:rPr>
      <w:rFonts w:ascii="宋体" w:hAnsi="宋体"/>
      <w:sz w:val="28"/>
    </w:rPr>
  </w:style>
  <w:style w:type="paragraph" w:styleId="10">
    <w:name w:val="Plain Text"/>
    <w:basedOn w:val="1"/>
    <w:link w:val="41"/>
    <w:qFormat/>
    <w:uiPriority w:val="0"/>
    <w:pPr>
      <w:snapToGrid w:val="0"/>
      <w:spacing w:line="360" w:lineRule="auto"/>
      <w:jc w:val="both"/>
      <w:textAlignment w:val="auto"/>
    </w:pPr>
    <w:rPr>
      <w:rFonts w:ascii="宋体" w:hAnsi="Courier New"/>
      <w:kern w:val="2"/>
      <w:sz w:val="21"/>
      <w:szCs w:val="21"/>
    </w:rPr>
  </w:style>
  <w:style w:type="paragraph" w:styleId="11">
    <w:name w:val="Date"/>
    <w:basedOn w:val="1"/>
    <w:next w:val="1"/>
    <w:qFormat/>
    <w:uiPriority w:val="0"/>
    <w:pPr>
      <w:adjustRightInd/>
      <w:spacing w:line="240" w:lineRule="auto"/>
      <w:jc w:val="both"/>
      <w:textAlignment w:val="auto"/>
    </w:pPr>
    <w:rPr>
      <w:sz w:val="28"/>
      <w:szCs w:val="20"/>
    </w:rPr>
  </w:style>
  <w:style w:type="paragraph" w:styleId="12">
    <w:name w:val="Body Text Indent 2"/>
    <w:basedOn w:val="1"/>
    <w:link w:val="48"/>
    <w:qFormat/>
    <w:uiPriority w:val="0"/>
    <w:pPr>
      <w:spacing w:after="120" w:line="480" w:lineRule="auto"/>
      <w:ind w:left="420" w:leftChars="200"/>
    </w:pPr>
  </w:style>
  <w:style w:type="paragraph" w:styleId="13">
    <w:name w:val="Balloon Text"/>
    <w:basedOn w:val="1"/>
    <w:link w:val="42"/>
    <w:qFormat/>
    <w:uiPriority w:val="0"/>
    <w:pPr>
      <w:spacing w:line="240" w:lineRule="auto"/>
    </w:pPr>
    <w:rPr>
      <w:sz w:val="18"/>
      <w:szCs w:val="18"/>
    </w:rPr>
  </w:style>
  <w:style w:type="paragraph" w:styleId="14">
    <w:name w:val="footer"/>
    <w:basedOn w:val="1"/>
    <w:link w:val="57"/>
    <w:qFormat/>
    <w:uiPriority w:val="99"/>
    <w:pPr>
      <w:tabs>
        <w:tab w:val="center" w:pos="4153"/>
        <w:tab w:val="right" w:pos="8306"/>
      </w:tabs>
      <w:spacing w:line="240" w:lineRule="atLeast"/>
    </w:pPr>
    <w:rPr>
      <w:sz w:val="18"/>
      <w:szCs w:val="18"/>
    </w:rPr>
  </w:style>
  <w:style w:type="paragraph" w:styleId="15">
    <w:name w:val="header"/>
    <w:basedOn w:val="1"/>
    <w:qFormat/>
    <w:uiPriority w:val="99"/>
    <w:pPr>
      <w:pBdr>
        <w:bottom w:val="single" w:color="auto" w:sz="6" w:space="1"/>
      </w:pBdr>
      <w:tabs>
        <w:tab w:val="center" w:pos="4153"/>
        <w:tab w:val="right" w:pos="8306"/>
      </w:tabs>
      <w:spacing w:line="240" w:lineRule="atLeast"/>
      <w:jc w:val="center"/>
    </w:pPr>
    <w:rPr>
      <w:sz w:val="20"/>
      <w:szCs w:val="20"/>
    </w:rPr>
  </w:style>
  <w:style w:type="paragraph" w:styleId="16">
    <w:name w:val="toc 1"/>
    <w:basedOn w:val="1"/>
    <w:next w:val="1"/>
    <w:qFormat/>
    <w:uiPriority w:val="39"/>
    <w:pPr>
      <w:tabs>
        <w:tab w:val="right" w:leader="dot" w:pos="8721"/>
      </w:tabs>
    </w:pPr>
    <w:rPr>
      <w:rFonts w:ascii="宋体" w:hAnsi="宋体" w:cs="宋体"/>
      <w:color w:val="FF0000"/>
      <w:sz w:val="21"/>
      <w:szCs w:val="21"/>
    </w:rPr>
  </w:style>
  <w:style w:type="paragraph" w:styleId="17">
    <w:name w:val="Body Text Indent 3"/>
    <w:basedOn w:val="1"/>
    <w:qFormat/>
    <w:uiPriority w:val="0"/>
    <w:pPr>
      <w:adjustRightInd/>
      <w:spacing w:line="360" w:lineRule="auto"/>
      <w:ind w:firstLine="632"/>
      <w:jc w:val="both"/>
      <w:textAlignment w:val="auto"/>
    </w:pPr>
    <w:rPr>
      <w:rFonts w:ascii="黑体" w:eastAsia="黑体"/>
      <w:sz w:val="28"/>
      <w:szCs w:val="20"/>
    </w:rPr>
  </w:style>
  <w:style w:type="paragraph" w:styleId="18">
    <w:name w:val="toc 2"/>
    <w:basedOn w:val="1"/>
    <w:next w:val="1"/>
    <w:qFormat/>
    <w:uiPriority w:val="39"/>
    <w:pPr>
      <w:ind w:left="210"/>
    </w:pPr>
    <w:rPr>
      <w:rFonts w:asciiTheme="minorHAnsi" w:hAnsiTheme="minorHAnsi" w:cstheme="minorHAnsi"/>
      <w:smallCaps/>
      <w:sz w:val="20"/>
      <w:szCs w:val="20"/>
    </w:rPr>
  </w:style>
  <w:style w:type="paragraph" w:styleId="19">
    <w:name w:val="Body Text 2"/>
    <w:basedOn w:val="1"/>
    <w:next w:val="7"/>
    <w:qFormat/>
    <w:uiPriority w:val="0"/>
    <w:pPr>
      <w:snapToGrid w:val="0"/>
      <w:spacing w:after="120" w:line="480" w:lineRule="auto"/>
      <w:jc w:val="both"/>
      <w:textAlignment w:val="auto"/>
    </w:pPr>
    <w:rPr>
      <w:szCs w:val="20"/>
    </w:rPr>
  </w:style>
  <w:style w:type="paragraph" w:styleId="20">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rPr>
  </w:style>
  <w:style w:type="paragraph" w:styleId="21">
    <w:name w:val="Title"/>
    <w:basedOn w:val="1"/>
    <w:qFormat/>
    <w:uiPriority w:val="0"/>
    <w:pPr>
      <w:adjustRightInd/>
      <w:spacing w:before="240" w:after="60" w:line="240" w:lineRule="auto"/>
      <w:jc w:val="center"/>
      <w:textAlignment w:val="auto"/>
      <w:outlineLvl w:val="0"/>
    </w:pPr>
    <w:rPr>
      <w:b/>
      <w:bCs/>
      <w:sz w:val="20"/>
      <w:szCs w:val="20"/>
    </w:rPr>
  </w:style>
  <w:style w:type="paragraph" w:styleId="22">
    <w:name w:val="annotation subject"/>
    <w:basedOn w:val="6"/>
    <w:next w:val="6"/>
    <w:link w:val="55"/>
    <w:qFormat/>
    <w:uiPriority w:val="0"/>
    <w:rPr>
      <w:b/>
      <w:bCs/>
      <w:sz w:val="24"/>
      <w:szCs w:val="24"/>
    </w:rPr>
  </w:style>
  <w:style w:type="paragraph" w:styleId="23">
    <w:name w:val="Body Text First Indent 2"/>
    <w:basedOn w:val="8"/>
    <w:qFormat/>
    <w:uiPriority w:val="0"/>
    <w:pPr>
      <w:adjustRightInd/>
      <w:spacing w:line="240" w:lineRule="auto"/>
      <w:ind w:firstLine="420" w:firstLineChars="200"/>
      <w:jc w:val="both"/>
      <w:textAlignment w:val="auto"/>
    </w:pPr>
    <w:rPr>
      <w:sz w:val="44"/>
      <w:szCs w:val="20"/>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qFormat/>
    <w:uiPriority w:val="0"/>
  </w:style>
  <w:style w:type="character" w:styleId="28">
    <w:name w:val="FollowedHyperlink"/>
    <w:basedOn w:val="26"/>
    <w:qFormat/>
    <w:uiPriority w:val="0"/>
    <w:rPr>
      <w:color w:val="954F72" w:themeColor="followedHyperlink"/>
      <w:u w:val="single"/>
      <w14:textFill>
        <w14:solidFill>
          <w14:schemeClr w14:val="folHlink"/>
        </w14:solidFill>
      </w14:textFill>
    </w:rPr>
  </w:style>
  <w:style w:type="character" w:styleId="29">
    <w:name w:val="Hyperlink"/>
    <w:basedOn w:val="26"/>
    <w:qFormat/>
    <w:uiPriority w:val="99"/>
    <w:rPr>
      <w:color w:val="0000FF"/>
      <w:u w:val="single"/>
    </w:rPr>
  </w:style>
  <w:style w:type="character" w:styleId="30">
    <w:name w:val="annotation reference"/>
    <w:basedOn w:val="26"/>
    <w:qFormat/>
    <w:uiPriority w:val="0"/>
    <w:rPr>
      <w:sz w:val="21"/>
      <w:szCs w:val="21"/>
    </w:rPr>
  </w:style>
  <w:style w:type="paragraph" w:styleId="31">
    <w:name w:val="List Paragraph"/>
    <w:basedOn w:val="1"/>
    <w:link w:val="53"/>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32">
    <w:name w:val="目录 11"/>
    <w:basedOn w:val="1"/>
    <w:next w:val="1"/>
    <w:qFormat/>
    <w:uiPriority w:val="39"/>
    <w:pPr>
      <w:tabs>
        <w:tab w:val="right" w:leader="dot" w:pos="8721"/>
      </w:tabs>
    </w:pPr>
    <w:rPr>
      <w:rFonts w:ascii="宋体" w:hAnsi="宋体" w:cs="宋体"/>
      <w:color w:val="FF0000"/>
      <w:sz w:val="21"/>
      <w:szCs w:val="21"/>
    </w:rPr>
  </w:style>
  <w:style w:type="paragraph" w:customStyle="1" w:styleId="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34">
    <w:name w:val="列出段落1"/>
    <w:basedOn w:val="1"/>
    <w:qFormat/>
    <w:uiPriority w:val="0"/>
    <w:pPr>
      <w:ind w:firstLine="420" w:firstLineChars="200"/>
    </w:p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楷体粗正文文字"/>
    <w:basedOn w:val="1"/>
    <w:next w:val="17"/>
    <w:qFormat/>
    <w:uiPriority w:val="0"/>
    <w:pPr>
      <w:snapToGrid w:val="0"/>
      <w:spacing w:line="480" w:lineRule="exact"/>
      <w:ind w:firstLine="560"/>
    </w:pPr>
    <w:rPr>
      <w:sz w:val="28"/>
    </w:rPr>
  </w:style>
  <w:style w:type="paragraph" w:customStyle="1" w:styleId="37">
    <w:name w:val="*正文"/>
    <w:basedOn w:val="1"/>
    <w:qFormat/>
    <w:uiPriority w:val="0"/>
    <w:pPr>
      <w:ind w:firstLine="200" w:firstLineChars="200"/>
    </w:pPr>
    <w:rPr>
      <w:rFonts w:ascii="宋体" w:hAnsi="宋体"/>
      <w:szCs w:val="22"/>
    </w:rPr>
  </w:style>
  <w:style w:type="character" w:customStyle="1" w:styleId="38">
    <w:name w:val="Char Char4"/>
    <w:qFormat/>
    <w:uiPriority w:val="0"/>
    <w:rPr>
      <w:rFonts w:eastAsia="宋体"/>
      <w:b/>
      <w:kern w:val="2"/>
      <w:sz w:val="21"/>
      <w:lang w:val="en-US" w:eastAsia="zh-CN"/>
    </w:rPr>
  </w:style>
  <w:style w:type="character" w:customStyle="1" w:styleId="39">
    <w:name w:val="font01"/>
    <w:basedOn w:val="26"/>
    <w:qFormat/>
    <w:uiPriority w:val="0"/>
    <w:rPr>
      <w:rFonts w:hint="eastAsia" w:ascii="宋体" w:hAnsi="宋体" w:eastAsia="宋体" w:cs="宋体"/>
      <w:b/>
      <w:bCs/>
      <w:color w:val="000000"/>
      <w:sz w:val="21"/>
      <w:szCs w:val="21"/>
      <w:u w:val="none"/>
    </w:rPr>
  </w:style>
  <w:style w:type="character" w:customStyle="1" w:styleId="40">
    <w:name w:val="font11"/>
    <w:basedOn w:val="26"/>
    <w:qFormat/>
    <w:uiPriority w:val="0"/>
    <w:rPr>
      <w:rFonts w:hint="eastAsia" w:ascii="宋体" w:hAnsi="宋体" w:eastAsia="宋体" w:cs="宋体"/>
      <w:color w:val="000000"/>
      <w:sz w:val="21"/>
      <w:szCs w:val="21"/>
      <w:u w:val="none"/>
    </w:rPr>
  </w:style>
  <w:style w:type="character" w:customStyle="1" w:styleId="41">
    <w:name w:val="纯文本 Char"/>
    <w:basedOn w:val="26"/>
    <w:link w:val="10"/>
    <w:qFormat/>
    <w:uiPriority w:val="0"/>
    <w:rPr>
      <w:rFonts w:ascii="宋体" w:hAnsi="Courier New"/>
      <w:kern w:val="2"/>
      <w:sz w:val="21"/>
      <w:szCs w:val="21"/>
    </w:rPr>
  </w:style>
  <w:style w:type="character" w:customStyle="1" w:styleId="42">
    <w:name w:val="批注框文本 Char"/>
    <w:basedOn w:val="26"/>
    <w:link w:val="13"/>
    <w:qFormat/>
    <w:uiPriority w:val="0"/>
    <w:rPr>
      <w:sz w:val="18"/>
      <w:szCs w:val="18"/>
    </w:rPr>
  </w:style>
  <w:style w:type="character" w:customStyle="1" w:styleId="43">
    <w:name w:val="纯文本 字符1"/>
    <w:qFormat/>
    <w:uiPriority w:val="0"/>
    <w:rPr>
      <w:rFonts w:ascii="andale mono" w:hAnsi="Microsoft Sans Serif"/>
      <w:kern w:val="2"/>
      <w:sz w:val="21"/>
    </w:rPr>
  </w:style>
  <w:style w:type="paragraph" w:styleId="44">
    <w:name w:val="No Spacing"/>
    <w:qFormat/>
    <w:uiPriority w:val="1"/>
    <w:pPr>
      <w:widowControl w:val="0"/>
      <w:jc w:val="both"/>
    </w:pPr>
    <w:rPr>
      <w:rFonts w:ascii="宋体" w:hAnsi="宋体" w:eastAsia="宋体" w:cs="Times New Roman"/>
      <w:kern w:val="2"/>
      <w:sz w:val="21"/>
      <w:szCs w:val="21"/>
      <w:lang w:val="en-US" w:eastAsia="zh-CN" w:bidi="ar-SA"/>
    </w:rPr>
  </w:style>
  <w:style w:type="character" w:customStyle="1" w:styleId="45">
    <w:name w:val="标题 Char"/>
    <w:qFormat/>
    <w:uiPriority w:val="0"/>
    <w:rPr>
      <w:rFonts w:ascii="Arial Black" w:hAnsi="Arial Black" w:cs="Arial"/>
      <w:b/>
      <w:bCs/>
      <w:kern w:val="2"/>
      <w:sz w:val="32"/>
      <w:szCs w:val="32"/>
    </w:rPr>
  </w:style>
  <w:style w:type="paragraph" w:customStyle="1" w:styleId="46">
    <w:name w:val="1"/>
    <w:basedOn w:val="1"/>
    <w:next w:val="10"/>
    <w:link w:val="49"/>
    <w:qFormat/>
    <w:uiPriority w:val="99"/>
    <w:rPr>
      <w:rFonts w:ascii="宋体" w:hAnsi="Courier New"/>
      <w:sz w:val="21"/>
    </w:rPr>
  </w:style>
  <w:style w:type="paragraph" w:customStyle="1" w:styleId="47">
    <w:name w:val="Style1"/>
    <w:next w:val="1"/>
    <w:qFormat/>
    <w:uiPriority w:val="0"/>
    <w:pPr>
      <w:numPr>
        <w:ilvl w:val="0"/>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andale mono"/>
      <w:b/>
      <w:kern w:val="24"/>
      <w:sz w:val="24"/>
      <w:lang w:val="en-GB" w:eastAsia="zh-CN" w:bidi="ar-SA"/>
    </w:rPr>
  </w:style>
  <w:style w:type="character" w:customStyle="1" w:styleId="48">
    <w:name w:val="正文文本缩进 2 Char"/>
    <w:basedOn w:val="26"/>
    <w:link w:val="12"/>
    <w:qFormat/>
    <w:uiPriority w:val="0"/>
    <w:rPr>
      <w:sz w:val="24"/>
      <w:szCs w:val="24"/>
    </w:rPr>
  </w:style>
  <w:style w:type="character" w:customStyle="1" w:styleId="49">
    <w:name w:val="1[858D7CFB-ED40-4347-BF05-701D383B685F]"/>
    <w:link w:val="46"/>
    <w:qFormat/>
    <w:uiPriority w:val="0"/>
    <w:rPr>
      <w:rFonts w:ascii="宋体" w:hAnsi="Courier New"/>
      <w:sz w:val="21"/>
      <w:szCs w:val="24"/>
    </w:rPr>
  </w:style>
  <w:style w:type="table" w:customStyle="1" w:styleId="50">
    <w:name w:val="网格型1"/>
    <w:basedOn w:val="2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1">
    <w:name w:val="p"/>
    <w:basedOn w:val="1"/>
    <w:qFormat/>
    <w:uiPriority w:val="0"/>
    <w:pPr>
      <w:widowControl/>
      <w:adjustRightInd/>
      <w:spacing w:before="100" w:beforeAutospacing="1" w:after="100" w:afterAutospacing="1" w:line="240" w:lineRule="auto"/>
      <w:textAlignment w:val="auto"/>
    </w:pPr>
    <w:rPr>
      <w:rFonts w:ascii="宋体" w:hAnsi="宋体" w:cs="宋体"/>
    </w:rPr>
  </w:style>
  <w:style w:type="character" w:customStyle="1" w:styleId="52">
    <w:name w:val="标题 1 Char"/>
    <w:link w:val="2"/>
    <w:qFormat/>
    <w:uiPriority w:val="99"/>
    <w:rPr>
      <w:b/>
      <w:bCs/>
      <w:kern w:val="44"/>
      <w:sz w:val="44"/>
      <w:szCs w:val="44"/>
    </w:rPr>
  </w:style>
  <w:style w:type="character" w:customStyle="1" w:styleId="53">
    <w:name w:val="列出段落 Char"/>
    <w:link w:val="31"/>
    <w:qFormat/>
    <w:uiPriority w:val="99"/>
    <w:rPr>
      <w:rFonts w:ascii="Calibri" w:hAnsi="Calibri"/>
      <w:kern w:val="2"/>
      <w:sz w:val="21"/>
      <w:szCs w:val="22"/>
    </w:rPr>
  </w:style>
  <w:style w:type="character" w:customStyle="1" w:styleId="54">
    <w:name w:val="批注文字 Char"/>
    <w:basedOn w:val="26"/>
    <w:link w:val="6"/>
    <w:qFormat/>
    <w:uiPriority w:val="99"/>
  </w:style>
  <w:style w:type="character" w:customStyle="1" w:styleId="55">
    <w:name w:val="批注主题 Char"/>
    <w:basedOn w:val="54"/>
    <w:link w:val="22"/>
    <w:qFormat/>
    <w:uiPriority w:val="0"/>
    <w:rPr>
      <w:b/>
      <w:bCs/>
      <w:sz w:val="24"/>
      <w:szCs w:val="24"/>
    </w:rPr>
  </w:style>
  <w:style w:type="paragraph" w:customStyle="1" w:styleId="56">
    <w:name w:val="修订1"/>
    <w:hidden/>
    <w:semiHidden/>
    <w:qFormat/>
    <w:uiPriority w:val="99"/>
    <w:rPr>
      <w:rFonts w:ascii="Times New Roman" w:hAnsi="Times New Roman" w:eastAsia="宋体" w:cs="Times New Roman"/>
      <w:sz w:val="24"/>
      <w:szCs w:val="24"/>
      <w:lang w:val="en-US" w:eastAsia="zh-CN" w:bidi="ar-SA"/>
    </w:rPr>
  </w:style>
  <w:style w:type="character" w:customStyle="1" w:styleId="57">
    <w:name w:val="页脚 Char"/>
    <w:basedOn w:val="26"/>
    <w:link w:val="14"/>
    <w:qFormat/>
    <w:uiPriority w:val="99"/>
    <w:rPr>
      <w:sz w:val="18"/>
      <w:szCs w:val="18"/>
    </w:rPr>
  </w:style>
  <w:style w:type="character" w:customStyle="1" w:styleId="58">
    <w:name w:val="正文文本 Char"/>
    <w:basedOn w:val="26"/>
    <w:link w:val="7"/>
    <w:qFormat/>
    <w:uiPriority w:val="99"/>
  </w:style>
  <w:style w:type="paragraph" w:customStyle="1" w:styleId="59">
    <w:name w:val="修订2"/>
    <w:hidden/>
    <w:unhideWhenUsed/>
    <w:qFormat/>
    <w:uiPriority w:val="99"/>
    <w:rPr>
      <w:rFonts w:ascii="Times New Roman" w:hAnsi="Times New Roman" w:eastAsia="宋体" w:cs="Times New Roman"/>
      <w:sz w:val="24"/>
      <w:szCs w:val="24"/>
      <w:lang w:val="en-US" w:eastAsia="zh-CN" w:bidi="ar-SA"/>
    </w:rPr>
  </w:style>
  <w:style w:type="paragraph" w:customStyle="1" w:styleId="60">
    <w:name w:val="修订3"/>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24F144-B15E-4BDF-A333-90C0C1993E09}">
  <ds:schemaRefs/>
</ds:datastoreItem>
</file>

<file path=docProps/app.xml><?xml version="1.0" encoding="utf-8"?>
<Properties xmlns="http://schemas.openxmlformats.org/officeDocument/2006/extended-properties" xmlns:vt="http://schemas.openxmlformats.org/officeDocument/2006/docPropsVTypes">
  <Template>Normal</Template>
  <Company>swu</Company>
  <Pages>89</Pages>
  <Words>9167</Words>
  <Characters>52253</Characters>
  <Lines>435</Lines>
  <Paragraphs>122</Paragraphs>
  <TotalTime>24</TotalTime>
  <ScaleCrop>false</ScaleCrop>
  <LinksUpToDate>false</LinksUpToDate>
  <CharactersWithSpaces>61298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2023-09-27T09:44:00Z</dcterms:created>
  <dc:creator>火焰-IT</dc:creator>
  <cp:lastModifiedBy>Administrator</cp:lastModifiedBy>
  <cp:lastPrinted>2023-10-20T03:11:00Z</cp:lastPrinted>
  <dcterms:modified xsi:type="dcterms:W3CDTF">2023-11-14T01:33:33Z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38CB61301A414362A5E23C2553555A29_13</vt:lpwstr>
  </property>
</Properties>
</file>