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3785E">
      <w:pPr>
        <w:adjustRightInd w:val="0"/>
        <w:snapToGrid w:val="0"/>
        <w:spacing w:after="156" w:afterLines="50" w:line="360" w:lineRule="auto"/>
        <w:jc w:val="center"/>
        <w:outlineLvl w:val="0"/>
        <w:rPr>
          <w:rFonts w:ascii="黑体" w:eastAsia="黑体"/>
          <w:b/>
          <w:color w:val="000000" w:themeColor="text1"/>
          <w:kern w:val="44"/>
          <w:sz w:val="48"/>
          <w:szCs w:val="20"/>
          <w14:textFill>
            <w14:solidFill>
              <w14:schemeClr w14:val="tx1"/>
            </w14:solidFill>
          </w14:textFill>
        </w:rPr>
      </w:pPr>
      <w:bookmarkStart w:id="3" w:name="_GoBack"/>
      <w:bookmarkEnd w:id="3"/>
      <w:bookmarkStart w:id="0" w:name="_Toc129880039"/>
      <w:bookmarkStart w:id="1" w:name="_Toc512937852"/>
      <w:r>
        <w:rPr>
          <w:rFonts w:hint="eastAsia" w:ascii="宋体" w:hAnsi="宋体"/>
          <w:b/>
          <w:color w:val="000000" w:themeColor="text1"/>
          <w:sz w:val="30"/>
          <w:szCs w:val="30"/>
          <w14:textFill>
            <w14:solidFill>
              <w14:schemeClr w14:val="tx1"/>
            </w14:solidFill>
          </w14:textFill>
        </w:rPr>
        <w:t>第八部分 采购需求</w:t>
      </w:r>
      <w:bookmarkEnd w:id="0"/>
    </w:p>
    <w:bookmarkEnd w:id="1"/>
    <w:p w14:paraId="2D633675">
      <w:pPr>
        <w:adjustRightInd w:val="0"/>
        <w:snapToGrid w:val="0"/>
        <w:spacing w:before="156" w:beforeLines="50" w:after="156" w:afterLines="50" w:line="360" w:lineRule="auto"/>
        <w:jc w:val="cente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货物需求一览表</w:t>
      </w:r>
    </w:p>
    <w:p w14:paraId="6579CF5A">
      <w:pPr>
        <w:adjustRightInd w:val="0"/>
        <w:snapToGrid w:val="0"/>
        <w:jc w:val="center"/>
        <w:rPr>
          <w:rFonts w:hint="eastAsia" w:ascii="宋体" w:hAnsi="宋体"/>
          <w:b/>
          <w:color w:val="000000" w:themeColor="text1"/>
          <w:sz w:val="30"/>
          <w:szCs w:val="30"/>
          <w14:textFill>
            <w14:solidFill>
              <w14:schemeClr w14:val="tx1"/>
            </w14:solidFill>
          </w14:textFill>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7F92D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47E8C723">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包号</w:t>
            </w:r>
          </w:p>
        </w:tc>
        <w:tc>
          <w:tcPr>
            <w:tcW w:w="2357" w:type="dxa"/>
            <w:vAlign w:val="center"/>
          </w:tcPr>
          <w:p w14:paraId="18C4FBBD">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货物名称</w:t>
            </w:r>
          </w:p>
        </w:tc>
        <w:tc>
          <w:tcPr>
            <w:tcW w:w="1329" w:type="dxa"/>
            <w:vAlign w:val="center"/>
          </w:tcPr>
          <w:p w14:paraId="66516667">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数量</w:t>
            </w:r>
          </w:p>
        </w:tc>
        <w:tc>
          <w:tcPr>
            <w:tcW w:w="2470" w:type="dxa"/>
            <w:vAlign w:val="center"/>
          </w:tcPr>
          <w:p w14:paraId="312A6540">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是否接受进口</w:t>
            </w:r>
          </w:p>
        </w:tc>
      </w:tr>
      <w:tr w14:paraId="693A9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024C76FC">
            <w:pPr>
              <w:jc w:val="center"/>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w:t>
            </w:r>
          </w:p>
        </w:tc>
        <w:tc>
          <w:tcPr>
            <w:tcW w:w="2357" w:type="dxa"/>
            <w:vAlign w:val="center"/>
          </w:tcPr>
          <w:p w14:paraId="51698ECD">
            <w:pPr>
              <w:jc w:val="center"/>
              <w:rPr>
                <w:rFonts w:ascii="Bookman Old Style" w:hAnsi="Bookman Old Style"/>
                <w:color w:val="000000" w:themeColor="text1"/>
                <w:sz w:val="24"/>
                <w14:textFill>
                  <w14:solidFill>
                    <w14:schemeClr w14:val="tx1"/>
                  </w14:solidFill>
                </w14:textFill>
              </w:rPr>
            </w:pPr>
            <w:r>
              <w:rPr>
                <w:rFonts w:hint="eastAsia" w:ascii="Bookman Old Style" w:hAnsi="Bookman Old Style"/>
                <w:color w:val="000000" w:themeColor="text1"/>
                <w:sz w:val="24"/>
                <w14:textFill>
                  <w14:solidFill>
                    <w14:schemeClr w14:val="tx1"/>
                  </w14:solidFill>
                </w14:textFill>
              </w:rPr>
              <w:t>一体化金刚石磨抛设备</w:t>
            </w:r>
          </w:p>
        </w:tc>
        <w:tc>
          <w:tcPr>
            <w:tcW w:w="1329" w:type="dxa"/>
            <w:vAlign w:val="center"/>
          </w:tcPr>
          <w:p w14:paraId="23A86F0B">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1套</w:t>
            </w:r>
          </w:p>
        </w:tc>
        <w:tc>
          <w:tcPr>
            <w:tcW w:w="2470" w:type="dxa"/>
            <w:vAlign w:val="center"/>
          </w:tcPr>
          <w:p w14:paraId="696B6597">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否</w:t>
            </w:r>
          </w:p>
        </w:tc>
      </w:tr>
    </w:tbl>
    <w:p w14:paraId="1A3AA475">
      <w:pPr>
        <w:adjustRightInd w:val="0"/>
        <w:snapToGrid w:val="0"/>
        <w:jc w:val="center"/>
        <w:rPr>
          <w:rFonts w:hint="eastAsia" w:ascii="宋体" w:hAnsi="宋体"/>
          <w:b/>
          <w:color w:val="000000" w:themeColor="text1"/>
          <w:sz w:val="30"/>
          <w:szCs w:val="30"/>
          <w14:textFill>
            <w14:solidFill>
              <w14:schemeClr w14:val="tx1"/>
            </w14:solidFill>
          </w14:textFill>
        </w:rPr>
      </w:pPr>
    </w:p>
    <w:p w14:paraId="3B94319A">
      <w:pPr>
        <w:adjustRightInd w:val="0"/>
        <w:snapToGrid w:val="0"/>
        <w:jc w:val="center"/>
        <w:rPr>
          <w:rFonts w:hint="eastAsia" w:ascii="宋体" w:hAnsi="宋体"/>
          <w:b/>
          <w:color w:val="000000" w:themeColor="text1"/>
          <w:sz w:val="30"/>
          <w:szCs w:val="30"/>
          <w14:textFill>
            <w14:solidFill>
              <w14:schemeClr w14:val="tx1"/>
            </w14:solidFill>
          </w14:textFill>
        </w:rPr>
      </w:pPr>
    </w:p>
    <w:p w14:paraId="454CA7DD">
      <w:pPr>
        <w:rPr>
          <w:rFonts w:ascii="Bookman Old Style" w:hAnsi="Bookman Old Style"/>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注：投标人须对上述投标内容中完整的一包或几包进行投标，</w:t>
      </w:r>
      <w:r>
        <w:rPr>
          <w:rFonts w:hint="eastAsia" w:ascii="Bookman Old Style" w:hAnsi="Bookman Old Style"/>
          <w:color w:val="000000" w:themeColor="text1"/>
          <w:sz w:val="24"/>
          <w14:textFill>
            <w14:solidFill>
              <w14:schemeClr w14:val="tx1"/>
            </w14:solidFill>
          </w14:textFill>
        </w:rPr>
        <w:t>不完整的投标将视为非响应性投标予以拒绝。</w:t>
      </w:r>
    </w:p>
    <w:p w14:paraId="2D0999B3">
      <w:pPr>
        <w:adjustRightInd w:val="0"/>
        <w:snapToGrid w:val="0"/>
        <w:rPr>
          <w:rFonts w:hint="eastAsia" w:ascii="宋体" w:hAnsi="宋体"/>
          <w:color w:val="000000" w:themeColor="text1"/>
          <w:szCs w:val="21"/>
          <w14:textFill>
            <w14:solidFill>
              <w14:schemeClr w14:val="tx1"/>
            </w14:solidFill>
          </w14:textFill>
        </w:rPr>
      </w:pPr>
    </w:p>
    <w:p w14:paraId="5BD99B5D">
      <w:pPr>
        <w:adjustRightInd w:val="0"/>
        <w:snapToGrid w:val="0"/>
        <w:rPr>
          <w:rFonts w:hint="eastAsia" w:ascii="宋体" w:hAnsi="宋体"/>
          <w:color w:val="000000" w:themeColor="text1"/>
          <w:szCs w:val="21"/>
          <w14:textFill>
            <w14:solidFill>
              <w14:schemeClr w14:val="tx1"/>
            </w14:solidFill>
          </w14:textFill>
        </w:rPr>
      </w:pPr>
    </w:p>
    <w:p w14:paraId="2E2E0AC0">
      <w:pPr>
        <w:adjustRightInd w:val="0"/>
        <w:snapToGrid w:val="0"/>
        <w:rPr>
          <w:rFonts w:hint="eastAsia" w:ascii="宋体" w:hAnsi="宋体"/>
          <w:color w:val="000000" w:themeColor="text1"/>
          <w:szCs w:val="21"/>
          <w14:textFill>
            <w14:solidFill>
              <w14:schemeClr w14:val="tx1"/>
            </w14:solidFill>
          </w14:textFill>
        </w:rPr>
      </w:pPr>
    </w:p>
    <w:p w14:paraId="76451200">
      <w:pPr>
        <w:adjustRightInd w:val="0"/>
        <w:snapToGrid w:val="0"/>
        <w:spacing w:line="360" w:lineRule="auto"/>
        <w:rPr>
          <w:rFonts w:hint="eastAsia" w:ascii="宋体" w:hAnsi="宋体"/>
          <w:b/>
          <w:color w:val="000000" w:themeColor="text1"/>
          <w:sz w:val="28"/>
          <w:szCs w:val="28"/>
          <w14:textFill>
            <w14:solidFill>
              <w14:schemeClr w14:val="tx1"/>
            </w14:solidFill>
          </w14:textFill>
        </w:rPr>
      </w:pPr>
      <w:r>
        <w:rPr>
          <w:rFonts w:ascii="宋体" w:hAnsi="宋体"/>
          <w:b/>
          <w:color w:val="000000" w:themeColor="text1"/>
          <w:sz w:val="30"/>
          <w:szCs w:val="30"/>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一、总则</w:t>
      </w:r>
    </w:p>
    <w:p w14:paraId="293148E8">
      <w:pPr>
        <w:adjustRightInd w:val="0"/>
        <w:snapToGrid w:val="0"/>
        <w:spacing w:line="360" w:lineRule="auto"/>
        <w:rPr>
          <w:rFonts w:hint="eastAsia"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1</w:t>
      </w:r>
      <w:r>
        <w:rPr>
          <w:rFonts w:hint="eastAsia" w:ascii="宋体" w:hAnsi="宋体"/>
          <w:b/>
          <w:color w:val="000000" w:themeColor="text1"/>
          <w:sz w:val="28"/>
          <w:szCs w:val="28"/>
          <w14:textFill>
            <w14:solidFill>
              <w14:schemeClr w14:val="tx1"/>
            </w14:solidFill>
          </w14:textFill>
        </w:rPr>
        <w:t>、投标要求</w:t>
      </w:r>
    </w:p>
    <w:p w14:paraId="76EC782B">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 </w:t>
      </w:r>
      <w:r>
        <w:rPr>
          <w:rFonts w:hint="eastAsia" w:ascii="宋体" w:hAnsi="宋体"/>
          <w:color w:val="000000" w:themeColor="text1"/>
          <w:sz w:val="24"/>
          <w14:textFill>
            <w14:solidFill>
              <w14:schemeClr w14:val="tx1"/>
            </w14:solidFill>
          </w14:textFill>
        </w:rPr>
        <w:t xml:space="preserve"> 投标人在准备投标书时，务必在所提供的商品的技术规格文件中，标明型号、商标名称、目录号。</w:t>
      </w:r>
    </w:p>
    <w:p w14:paraId="0EB810E0">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5B34F3C">
      <w:pPr>
        <w:spacing w:line="360" w:lineRule="auto"/>
        <w:ind w:left="554" w:hanging="554" w:hangingChars="231"/>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投标人提供的</w:t>
      </w:r>
      <w:r>
        <w:rPr>
          <w:rFonts w:hint="eastAsia" w:ascii="宋体"/>
          <w:color w:val="000000" w:themeColor="text1"/>
          <w:sz w:val="24"/>
          <w14:textFill>
            <w14:solidFill>
              <w14:schemeClr w14:val="tx1"/>
            </w14:solidFill>
          </w14:textFill>
        </w:rPr>
        <w:t>产品</w:t>
      </w:r>
      <w:r>
        <w:rPr>
          <w:rFonts w:hint="eastAsia"/>
          <w:color w:val="000000" w:themeColor="text1"/>
          <w:sz w:val="24"/>
          <w14:textFill>
            <w14:solidFill>
              <w14:schemeClr w14:val="tx1"/>
            </w14:solidFill>
          </w14:textFill>
        </w:rPr>
        <w:t>样本，必须是“原件”而非复印件，</w:t>
      </w:r>
      <w:r>
        <w:rPr>
          <w:rFonts w:hint="eastAsia" w:ascii="宋体"/>
          <w:color w:val="000000" w:themeColor="text1"/>
          <w:sz w:val="24"/>
          <w14:textFill>
            <w14:solidFill>
              <w14:schemeClr w14:val="tx1"/>
            </w14:solidFill>
          </w14:textFill>
        </w:rPr>
        <w:t>图表、简图、电路图以及印刷电路板图等都应</w:t>
      </w:r>
      <w:r>
        <w:rPr>
          <w:rFonts w:hint="eastAsia"/>
          <w:color w:val="000000" w:themeColor="text1"/>
          <w:sz w:val="24"/>
          <w14:textFill>
            <w14:solidFill>
              <w14:schemeClr w14:val="tx1"/>
            </w14:solidFill>
          </w14:textFill>
        </w:rPr>
        <w:t>清晰易读。买方有权</w:t>
      </w:r>
      <w:r>
        <w:rPr>
          <w:rFonts w:hint="eastAsia" w:ascii="宋体"/>
          <w:color w:val="000000" w:themeColor="text1"/>
          <w:sz w:val="24"/>
          <w14:textFill>
            <w14:solidFill>
              <w14:schemeClr w14:val="tx1"/>
            </w14:solidFill>
          </w14:textFill>
        </w:rPr>
        <w:t>不付任何附加费用</w:t>
      </w:r>
      <w:r>
        <w:rPr>
          <w:rFonts w:hint="eastAsia"/>
          <w:color w:val="000000" w:themeColor="text1"/>
          <w:sz w:val="24"/>
          <w14:textFill>
            <w14:solidFill>
              <w14:schemeClr w14:val="tx1"/>
            </w14:solidFill>
          </w14:textFill>
        </w:rPr>
        <w:t>复制这些资料</w:t>
      </w:r>
      <w:r>
        <w:rPr>
          <w:rFonts w:hint="eastAsia" w:ascii="宋体"/>
          <w:color w:val="000000" w:themeColor="text1"/>
          <w:sz w:val="24"/>
          <w14:textFill>
            <w14:solidFill>
              <w14:schemeClr w14:val="tx1"/>
            </w14:solidFill>
          </w14:textFill>
        </w:rPr>
        <w:t>以供参考。</w:t>
      </w:r>
    </w:p>
    <w:p w14:paraId="6FA52095">
      <w:pPr>
        <w:spacing w:line="360" w:lineRule="auto"/>
        <w:ind w:left="554" w:hanging="554" w:hangingChars="23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53DA28C">
      <w:pPr>
        <w:adjustRightInd w:val="0"/>
        <w:snapToGrid w:val="0"/>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2、评标标准</w:t>
      </w:r>
    </w:p>
    <w:p w14:paraId="3DB2E1DF">
      <w:pPr>
        <w:spacing w:line="360" w:lineRule="auto"/>
        <w:ind w:left="554" w:hanging="554" w:hangingChars="231"/>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除招标文件中指定的附件和专用工具外，</w:t>
      </w:r>
      <w:r>
        <w:rPr>
          <w:rFonts w:hint="eastAsia" w:ascii="宋体"/>
          <w:color w:val="000000" w:themeColor="text1"/>
          <w:sz w:val="24"/>
          <w14:textFill>
            <w14:solidFill>
              <w14:schemeClr w14:val="tx1"/>
            </w14:solidFill>
          </w14:textFill>
        </w:rPr>
        <w:t>投标人应提供仪器设备的正常运行和常规保养所需的全套标准附件、专用工具</w:t>
      </w:r>
      <w:r>
        <w:rPr>
          <w:rFonts w:hint="eastAsia"/>
          <w:color w:val="000000" w:themeColor="text1"/>
          <w:sz w:val="24"/>
          <w14:textFill>
            <w14:solidFill>
              <w14:schemeClr w14:val="tx1"/>
            </w14:solidFill>
          </w14:textFill>
        </w:rPr>
        <w:t>和消耗品</w:t>
      </w:r>
      <w:r>
        <w:rPr>
          <w:rFonts w:hint="eastAsia" w:ascii="宋体"/>
          <w:color w:val="000000" w:themeColor="text1"/>
          <w:sz w:val="24"/>
          <w14:textFill>
            <w14:solidFill>
              <w14:schemeClr w14:val="tx1"/>
            </w14:solidFill>
          </w14:textFill>
        </w:rPr>
        <w:t>。投标人在投标书中需列出这些附件和工具的数量和单价的清单，这些附件和工具的报价的总值需计入投标价中。</w:t>
      </w:r>
    </w:p>
    <w:p w14:paraId="7D94A7D4">
      <w:pPr>
        <w:spacing w:line="360" w:lineRule="auto"/>
        <w:ind w:left="554" w:hanging="554" w:hangingChars="231"/>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对于标书</w:t>
      </w:r>
      <w:r>
        <w:rPr>
          <w:rFonts w:hint="eastAsia" w:ascii="宋体"/>
          <w:color w:val="000000" w:themeColor="text1"/>
          <w:sz w:val="24"/>
          <w14:textFill>
            <w14:solidFill>
              <w14:schemeClr w14:val="tx1"/>
            </w14:solidFill>
          </w14:textFill>
        </w:rPr>
        <w:t>技术规范中已列</w:t>
      </w:r>
      <w:r>
        <w:rPr>
          <w:rFonts w:hint="eastAsia"/>
          <w:color w:val="000000" w:themeColor="text1"/>
          <w:sz w:val="24"/>
          <w14:textFill>
            <w14:solidFill>
              <w14:schemeClr w14:val="tx1"/>
            </w14:solidFill>
          </w14:textFill>
        </w:rPr>
        <w:t>出的作为查询选件的附件、零配件、专用工具和消耗品，投标书中</w:t>
      </w:r>
      <w:r>
        <w:rPr>
          <w:rFonts w:hint="eastAsia" w:ascii="宋体"/>
          <w:color w:val="000000" w:themeColor="text1"/>
          <w:sz w:val="24"/>
          <w14:textFill>
            <w14:solidFill>
              <w14:schemeClr w14:val="tx1"/>
            </w14:solidFill>
          </w14:textFill>
        </w:rPr>
        <w:t>应列明其数量、单价、总价供买方参考。投标人也可推荐买方没有要求的附件或专用工具作为选件，并列明其数量、单价、总价供买方参考。选件价格不计入评标价中。</w:t>
      </w:r>
    </w:p>
    <w:p w14:paraId="33C6DB93">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  为便于用户进行接收仪器的准备工作，卖方应在合同生效后</w:t>
      </w:r>
      <w:r>
        <w:rPr>
          <w:rFonts w:hint="eastAsia" w:ascii="宋体" w:hAnsi="宋体"/>
          <w:b/>
          <w:color w:val="000000" w:themeColor="text1"/>
          <w:sz w:val="24"/>
          <w14:textFill>
            <w14:solidFill>
              <w14:schemeClr w14:val="tx1"/>
            </w14:solidFill>
          </w14:textFill>
        </w:rPr>
        <w:t>60</w:t>
      </w:r>
      <w:r>
        <w:rPr>
          <w:rFonts w:hint="eastAsia" w:ascii="宋体" w:hAnsi="宋体"/>
          <w:color w:val="000000" w:themeColor="text1"/>
          <w:sz w:val="24"/>
          <w14:textFill>
            <w14:solidFill>
              <w14:schemeClr w14:val="tx1"/>
            </w14:solidFill>
          </w14:textFill>
        </w:rPr>
        <w:t>天内向用户提供一套完整的使用说明书、操作手册、维修及安装说明等文件。另一套完整上述资料应在交货时随货包装提供给用户，这些费用应计入投标价中。</w:t>
      </w:r>
    </w:p>
    <w:p w14:paraId="3B08C129">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关于设备的安装调试，如果有必要的安装准备条件，卖方应在合同生效后一个月内向买方提出详细的要求或计划。安装调试的费用应计入投标价中，并应单独列出，供评标使用。</w:t>
      </w:r>
    </w:p>
    <w:p w14:paraId="20FD9BFF">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5  制造厂家提供的培训指的是涉及货物的基本原理、操作使用和保养维修等有关内容的培训。培训教员的培训费、旅费、食宿费等费用和培训场地费及培训资料费均应由卖方支付。</w:t>
      </w:r>
    </w:p>
    <w:p w14:paraId="5AA8EA8D">
      <w:pPr>
        <w:adjustRightInd w:val="0"/>
        <w:snapToGrid w:val="0"/>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3、工作条件</w:t>
      </w:r>
    </w:p>
    <w:p w14:paraId="2EAAC16A">
      <w:pPr>
        <w:spacing w:after="312" w:afterLines="10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除非在技术规格中另有说明，所有仪器、设备和系统都应符合下列要求：</w:t>
      </w:r>
      <w:r>
        <w:rPr>
          <w:rFonts w:ascii="宋体" w:hAnsi="宋体"/>
          <w:color w:val="000000" w:themeColor="text1"/>
          <w:sz w:val="24"/>
          <w14:textFill>
            <w14:solidFill>
              <w14:schemeClr w14:val="tx1"/>
            </w14:solidFill>
          </w14:textFill>
        </w:rPr>
        <w:t xml:space="preserve"> </w:t>
      </w:r>
    </w:p>
    <w:p w14:paraId="217A80DA">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  适于在气温为摄氏</w:t>
      </w:r>
      <w:r>
        <w:rPr>
          <w:rFonts w:ascii="宋体" w:hAnsi="宋体"/>
          <w:b/>
          <w:color w:val="000000" w:themeColor="text1"/>
          <w:sz w:val="24"/>
          <w14:textFill>
            <w14:solidFill>
              <w14:schemeClr w14:val="tx1"/>
            </w14:solidFill>
          </w14:textFill>
        </w:rPr>
        <w:t>-40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和相对湿度为</w:t>
      </w:r>
      <w:r>
        <w:rPr>
          <w:rFonts w:ascii="宋体" w:hAnsi="宋体"/>
          <w:b/>
          <w:color w:val="000000" w:themeColor="text1"/>
          <w:sz w:val="24"/>
          <w14:textFill>
            <w14:solidFill>
              <w14:schemeClr w14:val="tx1"/>
            </w14:solidFill>
          </w14:textFill>
        </w:rPr>
        <w:t>90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的环境条件下运输和贮存。</w:t>
      </w:r>
    </w:p>
    <w:p w14:paraId="77FE5D49">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3.2  适于在电源</w:t>
      </w:r>
      <w:r>
        <w:rPr>
          <w:rFonts w:ascii="宋体" w:hAnsi="宋体"/>
          <w:b/>
          <w:color w:val="000000" w:themeColor="text1"/>
          <w:sz w:val="24"/>
          <w14:textFill>
            <w14:solidFill>
              <w14:schemeClr w14:val="tx1"/>
            </w14:solidFill>
          </w14:textFill>
        </w:rPr>
        <w:t>220V</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sym w:font="Symbol" w:char="F0B1"/>
      </w:r>
      <w:r>
        <w:rPr>
          <w:rFonts w:ascii="宋体" w:hAnsi="宋体"/>
          <w:b/>
          <w:color w:val="000000" w:themeColor="text1"/>
          <w:sz w:val="24"/>
          <w14:textFill>
            <w14:solidFill>
              <w14:schemeClr w14:val="tx1"/>
            </w14:solidFill>
          </w14:textFill>
        </w:rPr>
        <w:t>10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/50Hz</w:t>
      </w:r>
      <w:r>
        <w:rPr>
          <w:rFonts w:hint="eastAsia" w:ascii="宋体" w:hAnsi="宋体"/>
          <w:color w:val="000000" w:themeColor="text1"/>
          <w:sz w:val="24"/>
          <w14:textFill>
            <w14:solidFill>
              <w14:schemeClr w14:val="tx1"/>
            </w14:solidFill>
          </w14:textFill>
        </w:rPr>
        <w:t>、气温摄氏</w:t>
      </w: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5</w:t>
      </w: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和相对湿度小于</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的环境条件下运行。</w:t>
      </w:r>
      <w:r>
        <w:rPr>
          <w:rFonts w:hint="eastAsia" w:ascii="宋体" w:hAnsi="宋体"/>
          <w:b/>
          <w:color w:val="000000" w:themeColor="text1"/>
          <w:sz w:val="24"/>
          <w14:textFill>
            <w14:solidFill>
              <w14:schemeClr w14:val="tx1"/>
            </w14:solidFill>
          </w14:textFill>
        </w:rPr>
        <w:t>能够连续正常工作。</w:t>
      </w:r>
    </w:p>
    <w:p w14:paraId="2FC453F7">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3.3  配置符合中国有关标准要求的插头，如果没有这样的插头，则需</w:t>
      </w:r>
      <w:r>
        <w:rPr>
          <w:rFonts w:hint="eastAsia" w:ascii="宋体"/>
          <w:color w:val="000000" w:themeColor="text1"/>
          <w:sz w:val="24"/>
          <w14:textFill>
            <w14:solidFill>
              <w14:schemeClr w14:val="tx1"/>
            </w14:solidFill>
          </w14:textFill>
        </w:rPr>
        <w:t>提供适当的转</w:t>
      </w:r>
      <w:r>
        <w:rPr>
          <w:rFonts w:hint="eastAsia" w:ascii="宋体" w:hAnsi="宋体"/>
          <w:color w:val="000000" w:themeColor="text1"/>
          <w:sz w:val="24"/>
          <w14:textFill>
            <w14:solidFill>
              <w14:schemeClr w14:val="tx1"/>
            </w14:solidFill>
          </w14:textFill>
        </w:rPr>
        <w:t>换插座。</w:t>
      </w:r>
    </w:p>
    <w:p w14:paraId="05B5487E">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59EDFDD1">
      <w:pPr>
        <w:rPr>
          <w:rFonts w:eastAsia="黑体"/>
          <w:b/>
          <w:bCs/>
          <w:color w:val="000000" w:themeColor="text1"/>
          <w:kern w:val="44"/>
          <w:sz w:val="24"/>
          <w14:textFill>
            <w14:solidFill>
              <w14:schemeClr w14:val="tx1"/>
            </w14:solidFill>
          </w14:textFill>
        </w:rPr>
      </w:pPr>
    </w:p>
    <w:p w14:paraId="1113AE46">
      <w:pPr>
        <w:adjustRightInd w:val="0"/>
        <w:snapToGrid w:val="0"/>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4、验收标准</w:t>
      </w:r>
    </w:p>
    <w:p w14:paraId="65EB2D88">
      <w:pPr>
        <w:spacing w:after="312" w:afterLines="10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除非在技术规格中另有说明，所有仪器、设备和系统按下列要求进行验收：</w:t>
      </w:r>
      <w:r>
        <w:rPr>
          <w:rFonts w:ascii="宋体" w:hAnsi="宋体"/>
          <w:color w:val="000000" w:themeColor="text1"/>
          <w:sz w:val="24"/>
          <w14:textFill>
            <w14:solidFill>
              <w14:schemeClr w14:val="tx1"/>
            </w14:solidFill>
          </w14:textFill>
        </w:rPr>
        <w:t xml:space="preserve"> </w:t>
      </w:r>
    </w:p>
    <w:p w14:paraId="6591DE11">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4.1  仪器设备运抵安装现场后，买方将与卖方共同开箱验收</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如卖方届时不派人来</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则验收结果应以买方的验收报告为最终验收结果。验收时发现短缺、破损</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买方有权要求卖方负责更换。</w:t>
      </w:r>
    </w:p>
    <w:p w14:paraId="78EBD56D">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验收标准以中标人提供的投标文件中所列的指标为准（该指标应不低于招标文件所要求的指标）。任何虚假指标响应一经发现即作废标，卖方必须承担由此给买方带来的一切经济损失和其它相关责任。</w:t>
      </w:r>
    </w:p>
    <w:p w14:paraId="15ABFC5D">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  </w:t>
      </w:r>
      <w:r>
        <w:rPr>
          <w:rFonts w:ascii="宋体" w:hAnsi="宋体"/>
          <w:color w:val="000000" w:themeColor="text1"/>
          <w:sz w:val="24"/>
          <w14:textFill>
            <w14:solidFill>
              <w14:schemeClr w14:val="tx1"/>
            </w14:solidFill>
          </w14:textFill>
        </w:rPr>
        <w:t>验收由采购人、中标人及相关人员依国家有关标准、合同及有关附件要求进行，验收完毕由采购人及中标人在验收报告上签名。</w:t>
      </w:r>
    </w:p>
    <w:p w14:paraId="65F17F89">
      <w:pPr>
        <w:pStyle w:val="20"/>
        <w:spacing w:line="360" w:lineRule="auto"/>
        <w:ind w:left="410" w:hanging="410" w:hangingChars="170"/>
        <w:rPr>
          <w:rFonts w:hint="eastAsia" w:hAnsi="宋体"/>
          <w:b/>
          <w:color w:val="000000" w:themeColor="text1"/>
          <w:sz w:val="24"/>
          <w:szCs w:val="24"/>
          <w14:textFill>
            <w14:solidFill>
              <w14:schemeClr w14:val="tx1"/>
            </w14:solidFill>
          </w14:textFill>
        </w:rPr>
      </w:pPr>
    </w:p>
    <w:p w14:paraId="392D0461">
      <w:pPr>
        <w:adjustRightInd w:val="0"/>
        <w:snapToGrid w:val="0"/>
        <w:spacing w:line="360" w:lineRule="auto"/>
        <w:rPr>
          <w:rFonts w:hint="eastAsia" w:hAnsi="宋体"/>
          <w:b/>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5、本采购需求书中标注“★”号技术条款的为实质性要求，不满足其投标将视为无效投标被拒绝。</w:t>
      </w:r>
    </w:p>
    <w:p w14:paraId="49E22D35">
      <w:pPr>
        <w:adjustRightInd w:val="0"/>
        <w:snapToGrid w:val="0"/>
        <w:spacing w:line="360" w:lineRule="auto"/>
        <w:rPr>
          <w:rFonts w:hint="eastAsia" w:ascii="宋体" w:hAnsi="宋体"/>
          <w:b/>
          <w:color w:val="000000" w:themeColor="text1"/>
          <w:sz w:val="24"/>
          <w14:textFill>
            <w14:solidFill>
              <w14:schemeClr w14:val="tx1"/>
            </w14:solidFill>
          </w14:textFill>
        </w:rPr>
      </w:pPr>
    </w:p>
    <w:p w14:paraId="3B0D757C">
      <w:pPr>
        <w:adjustRightInd w:val="0"/>
        <w:snapToGrid w:val="0"/>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6、如在具体技术规格中有本总则不一致之处，以具体技术规格中的要求为准。</w:t>
      </w:r>
    </w:p>
    <w:p w14:paraId="0F0EF83B">
      <w:pPr>
        <w:adjustRightInd w:val="0"/>
        <w:snapToGrid w:val="0"/>
        <w:spacing w:line="360" w:lineRule="auto"/>
        <w:rPr>
          <w:rFonts w:hint="eastAsia" w:ascii="宋体" w:hAnsi="宋体"/>
          <w:b/>
          <w:color w:val="000000" w:themeColor="text1"/>
          <w:sz w:val="28"/>
          <w:szCs w:val="28"/>
          <w14:textFill>
            <w14:solidFill>
              <w14:schemeClr w14:val="tx1"/>
            </w14:solidFill>
          </w14:textFill>
        </w:rPr>
      </w:pPr>
      <w:r>
        <w:rPr>
          <w:rFonts w:ascii="宋体" w:hAnsi="宋体"/>
          <w:b/>
          <w:color w:val="000000" w:themeColor="text1"/>
          <w:sz w:val="28"/>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二、具体技术规格</w:t>
      </w:r>
    </w:p>
    <w:p w14:paraId="783353C2">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第1包 一体化金刚石磨抛设备</w:t>
      </w:r>
    </w:p>
    <w:p w14:paraId="015D948F">
      <w:pPr>
        <w:rPr>
          <w:b/>
          <w:color w:val="000000" w:themeColor="text1"/>
          <w:sz w:val="24"/>
          <w14:textFill>
            <w14:solidFill>
              <w14:schemeClr w14:val="tx1"/>
            </w14:solidFill>
          </w14:textFill>
        </w:rPr>
      </w:pPr>
    </w:p>
    <w:p w14:paraId="53CD6946">
      <w:pPr>
        <w:numPr>
          <w:ilvl w:val="0"/>
          <w:numId w:val="1"/>
        </w:num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技术要求：</w:t>
      </w:r>
    </w:p>
    <w:p w14:paraId="0CA9CAF3">
      <w:pPr>
        <w:rPr>
          <w:b/>
          <w:color w:val="000000" w:themeColor="text1"/>
          <w:sz w:val="24"/>
          <w14:textFill>
            <w14:solidFill>
              <w14:schemeClr w14:val="tx1"/>
            </w14:solidFill>
          </w14:textFill>
        </w:rPr>
      </w:pPr>
    </w:p>
    <w:p w14:paraId="07B9528B">
      <w:pPr>
        <w:adjustRightInd w:val="0"/>
        <w:snapToGrid w:val="0"/>
        <w:spacing w:line="360" w:lineRule="auto"/>
        <w:rPr>
          <w:b/>
          <w:color w:val="000000" w:themeColor="text1"/>
          <w:kern w:val="0"/>
          <w:sz w:val="24"/>
          <w14:textFill>
            <w14:solidFill>
              <w14:schemeClr w14:val="tx1"/>
            </w14:solidFill>
          </w14:textFill>
        </w:rPr>
      </w:pPr>
      <w:r>
        <w:rPr>
          <w:b/>
          <w:color w:val="000000" w:themeColor="text1"/>
          <w:kern w:val="0"/>
          <w:sz w:val="24"/>
          <w14:textFill>
            <w14:solidFill>
              <w14:schemeClr w14:val="tx1"/>
            </w14:solidFill>
          </w14:textFill>
        </w:rPr>
        <w:t>1 工作条件</w:t>
      </w:r>
    </w:p>
    <w:p w14:paraId="6BA050EC">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1.1 工作电压：380V 最高</w:t>
      </w:r>
      <w:r>
        <w:rPr>
          <w:rFonts w:hint="eastAsia"/>
          <w:color w:val="000000" w:themeColor="text1"/>
          <w:sz w:val="24"/>
          <w14:textFill>
            <w14:solidFill>
              <w14:schemeClr w14:val="tx1"/>
            </w14:solidFill>
          </w14:textFill>
        </w:rPr>
        <w:t>总</w:t>
      </w:r>
      <w:r>
        <w:rPr>
          <w:color w:val="000000" w:themeColor="text1"/>
          <w:sz w:val="24"/>
          <w14:textFill>
            <w14:solidFill>
              <w14:schemeClr w14:val="tx1"/>
            </w14:solidFill>
          </w14:textFill>
        </w:rPr>
        <w:t>功率</w:t>
      </w:r>
      <w:r>
        <w:rPr>
          <w:rFonts w:hint="eastAsia"/>
          <w:color w:val="000000" w:themeColor="text1"/>
          <w:sz w:val="24"/>
          <w14:textFill>
            <w14:solidFill>
              <w14:schemeClr w14:val="tx1"/>
            </w14:solidFill>
          </w14:textFill>
        </w:rPr>
        <w:t>30</w:t>
      </w:r>
      <w:r>
        <w:rPr>
          <w:color w:val="000000" w:themeColor="text1"/>
          <w:sz w:val="24"/>
          <w14:textFill>
            <w14:solidFill>
              <w14:schemeClr w14:val="tx1"/>
            </w14:solidFill>
          </w14:textFill>
        </w:rPr>
        <w:t xml:space="preserve"> kw，220V最高</w:t>
      </w:r>
      <w:r>
        <w:rPr>
          <w:rFonts w:hint="eastAsia"/>
          <w:color w:val="000000" w:themeColor="text1"/>
          <w:sz w:val="24"/>
          <w14:textFill>
            <w14:solidFill>
              <w14:schemeClr w14:val="tx1"/>
            </w14:solidFill>
          </w14:textFill>
        </w:rPr>
        <w:t>总</w:t>
      </w:r>
      <w:r>
        <w:rPr>
          <w:color w:val="000000" w:themeColor="text1"/>
          <w:sz w:val="24"/>
          <w14:textFill>
            <w14:solidFill>
              <w14:schemeClr w14:val="tx1"/>
            </w14:solidFill>
          </w14:textFill>
        </w:rPr>
        <w:t>功率20kW；</w:t>
      </w:r>
    </w:p>
    <w:p w14:paraId="3126F3E9">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1.2 环境温度：</w:t>
      </w:r>
      <w:r>
        <w:rPr>
          <w:rFonts w:hint="eastAsia"/>
          <w:color w:val="000000" w:themeColor="text1"/>
          <w:sz w:val="24"/>
          <w14:textFill>
            <w14:solidFill>
              <w14:schemeClr w14:val="tx1"/>
            </w14:solidFill>
          </w14:textFill>
        </w:rPr>
        <w:t>15</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40</w:t>
      </w:r>
      <w:r>
        <w:rPr>
          <w:color w:val="000000" w:themeColor="text1"/>
          <w:sz w:val="24"/>
          <w14:textFill>
            <w14:solidFill>
              <w14:schemeClr w14:val="tx1"/>
            </w14:solidFill>
          </w14:textFill>
        </w:rPr>
        <w:t>℃；</w:t>
      </w:r>
    </w:p>
    <w:p w14:paraId="3E67FAA0">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1.3 相对湿度：30%-</w:t>
      </w:r>
      <w:r>
        <w:rPr>
          <w:rFonts w:hint="eastAsia"/>
          <w:color w:val="000000" w:themeColor="text1"/>
          <w:sz w:val="24"/>
          <w14:textFill>
            <w14:solidFill>
              <w14:schemeClr w14:val="tx1"/>
            </w14:solidFill>
          </w14:textFill>
        </w:rPr>
        <w:t>8</w:t>
      </w:r>
      <w:r>
        <w:rPr>
          <w:color w:val="000000" w:themeColor="text1"/>
          <w:sz w:val="24"/>
          <w14:textFill>
            <w14:solidFill>
              <w14:schemeClr w14:val="tx1"/>
            </w14:solidFill>
          </w14:textFill>
        </w:rPr>
        <w:t>0%。</w:t>
      </w:r>
    </w:p>
    <w:p w14:paraId="0D254FE4">
      <w:pPr>
        <w:adjustRightInd w:val="0"/>
        <w:snapToGrid w:val="0"/>
        <w:spacing w:line="360" w:lineRule="auto"/>
        <w:rPr>
          <w:color w:val="000000" w:themeColor="text1"/>
          <w:sz w:val="24"/>
          <w14:textFill>
            <w14:solidFill>
              <w14:schemeClr w14:val="tx1"/>
            </w14:solidFill>
          </w14:textFill>
        </w:rPr>
      </w:pPr>
    </w:p>
    <w:p w14:paraId="39C8F301">
      <w:pPr>
        <w:adjustRightInd w:val="0"/>
        <w:snapToGrid w:val="0"/>
        <w:spacing w:line="360" w:lineRule="auto"/>
        <w:rPr>
          <w:b/>
          <w:color w:val="000000" w:themeColor="text1"/>
          <w:kern w:val="0"/>
          <w:sz w:val="24"/>
          <w14:textFill>
            <w14:solidFill>
              <w14:schemeClr w14:val="tx1"/>
            </w14:solidFill>
          </w14:textFill>
        </w:rPr>
      </w:pPr>
      <w:r>
        <w:rPr>
          <w:b/>
          <w:color w:val="000000" w:themeColor="text1"/>
          <w:kern w:val="0"/>
          <w:sz w:val="24"/>
          <w14:textFill>
            <w14:solidFill>
              <w14:schemeClr w14:val="tx1"/>
            </w14:solidFill>
          </w14:textFill>
        </w:rPr>
        <w:t>2 仪器用途</w:t>
      </w:r>
    </w:p>
    <w:p w14:paraId="2D265FB3">
      <w:pPr>
        <w:adjustRightInd w:val="0"/>
        <w:snapToGrid w:val="0"/>
        <w:spacing w:before="62" w:beforeLines="20" w:after="62" w:afterLines="20" w:line="360" w:lineRule="auto"/>
        <w:ind w:firstLine="480" w:firstLineChars="200"/>
        <w:rPr>
          <w:b/>
          <w:color w:val="000000" w:themeColor="text1"/>
          <w:kern w:val="0"/>
          <w:sz w:val="24"/>
          <w14:textFill>
            <w14:solidFill>
              <w14:schemeClr w14:val="tx1"/>
            </w14:solidFill>
          </w14:textFill>
        </w:rPr>
      </w:pPr>
      <w:bookmarkStart w:id="2" w:name="_Hlk195534628"/>
      <w:r>
        <w:rPr>
          <w:rFonts w:hint="eastAsia"/>
          <w:color w:val="000000" w:themeColor="text1"/>
          <w:sz w:val="24"/>
          <w:szCs w:val="21"/>
          <w14:textFill>
            <w14:solidFill>
              <w14:schemeClr w14:val="tx1"/>
            </w14:solidFill>
          </w14:textFill>
        </w:rPr>
        <w:t>金刚石具有优异的物理和化学性能，如高硬度、高热导率、高电绝缘性、宽禁带宽度等。这些特性使其在多个领域具有广泛应用前景。一体化的金刚石抛设备，涵盖了激光切割整形、减薄、研磨、抛光四个加工步骤。其中激光切割模块在金刚石长晶后采用激光扫面整形的工艺将金刚石控制在一定的厚度范围和 TTV 范围</w:t>
      </w:r>
      <w:r>
        <w:rPr>
          <w:rFonts w:hint="eastAsia"/>
          <w:color w:val="000000" w:themeColor="text1"/>
          <w:sz w:val="24"/>
          <w:szCs w:val="21"/>
          <w:lang w:eastAsia="zh-CN"/>
          <w14:textFill>
            <w14:solidFill>
              <w14:schemeClr w14:val="tx1"/>
            </w14:solidFill>
          </w14:textFill>
        </w:rPr>
        <w:t>：</w:t>
      </w:r>
      <w:r>
        <w:rPr>
          <w:rFonts w:hint="eastAsia"/>
          <w:color w:val="000000" w:themeColor="text1"/>
          <w:sz w:val="24"/>
          <w:szCs w:val="21"/>
          <w14:textFill>
            <w14:solidFill>
              <w14:schemeClr w14:val="tx1"/>
            </w14:solidFill>
          </w14:textFill>
        </w:rPr>
        <w:t>减薄模块采用砂轮减薄工艺去除激光后的损伤层;研模块配备两个研头，使用铸铁盘搭配金刚石研磨液，进一步控制产品的 TTV;抛光模块使用金刚石抛光盘物理抛光，使产品达到要求的Ra 范围。</w:t>
      </w:r>
      <w:bookmarkEnd w:id="2"/>
      <w:r>
        <w:rPr>
          <w:rFonts w:hint="eastAsia"/>
          <w:color w:val="000000" w:themeColor="text1"/>
          <w:sz w:val="24"/>
          <w:szCs w:val="21"/>
          <w14:textFill>
            <w14:solidFill>
              <w14:schemeClr w14:val="tx1"/>
            </w14:solidFill>
          </w14:textFill>
        </w:rPr>
        <w:t>相较于过往金刚石加工设备</w:t>
      </w:r>
      <w:r>
        <w:rPr>
          <w:rFonts w:hint="eastAsia"/>
          <w:color w:val="000000" w:themeColor="text1"/>
          <w:sz w:val="24"/>
          <w:szCs w:val="21"/>
          <w:lang w:eastAsia="zh-CN"/>
          <w14:textFill>
            <w14:solidFill>
              <w14:schemeClr w14:val="tx1"/>
            </w14:solidFill>
          </w14:textFill>
        </w:rPr>
        <w:t>，</w:t>
      </w:r>
      <w:r>
        <w:rPr>
          <w:rFonts w:hint="eastAsia"/>
          <w:color w:val="000000" w:themeColor="text1"/>
          <w:sz w:val="24"/>
          <w:szCs w:val="21"/>
          <w14:textFill>
            <w14:solidFill>
              <w14:schemeClr w14:val="tx1"/>
            </w14:solidFill>
          </w14:textFill>
        </w:rPr>
        <w:t>一体化的金刚石磨抛设备可以品的指标精度控制的更好，且整体的加工效率更高。</w:t>
      </w:r>
      <w:r>
        <w:rPr>
          <w:rFonts w:hint="eastAsia"/>
          <w:color w:val="000000" w:themeColor="text1"/>
          <w:sz w:val="24"/>
          <w:szCs w:val="21"/>
          <w14:textFill>
            <w14:solidFill>
              <w14:schemeClr w14:val="tx1"/>
            </w14:solidFill>
          </w14:textFill>
        </w:rPr>
        <w:br w:type="textWrapping"/>
      </w:r>
      <w:r>
        <w:rPr>
          <w:rFonts w:hint="eastAsia"/>
          <w:color w:val="000000" w:themeColor="text1"/>
          <w:sz w:val="24"/>
          <w:szCs w:val="21"/>
          <w14:textFill>
            <w14:solidFill>
              <w14:schemeClr w14:val="tx1"/>
            </w14:solidFill>
          </w14:textFill>
        </w:rPr>
        <w:br w:type="textWrapping"/>
      </w:r>
      <w:r>
        <w:rPr>
          <w:b/>
          <w:color w:val="000000" w:themeColor="text1"/>
          <w:kern w:val="0"/>
          <w:sz w:val="24"/>
          <w14:textFill>
            <w14:solidFill>
              <w14:schemeClr w14:val="tx1"/>
            </w14:solidFill>
          </w14:textFill>
        </w:rPr>
        <w:t>3 技术指标</w:t>
      </w:r>
    </w:p>
    <w:p w14:paraId="2218D961">
      <w:pPr>
        <w:adjustRightInd w:val="0"/>
        <w:snapToGrid w:val="0"/>
        <w:spacing w:before="62" w:beforeLines="20" w:after="62" w:afterLines="20" w:line="360" w:lineRule="auto"/>
        <w:rPr>
          <w:b/>
          <w:bCs/>
          <w:color w:val="000000" w:themeColor="text1"/>
          <w:sz w:val="24"/>
          <w:szCs w:val="21"/>
          <w14:textFill>
            <w14:solidFill>
              <w14:schemeClr w14:val="tx1"/>
            </w14:solidFill>
          </w14:textFill>
        </w:rPr>
      </w:pPr>
      <w:r>
        <w:rPr>
          <w:b/>
          <w:bCs/>
          <w:color w:val="000000" w:themeColor="text1"/>
          <w:sz w:val="24"/>
          <w:szCs w:val="21"/>
          <w14:textFill>
            <w14:solidFill>
              <w14:schemeClr w14:val="tx1"/>
            </w14:solidFill>
          </w14:textFill>
        </w:rPr>
        <w:t>3.1 激光整形切割功能</w:t>
      </w:r>
    </w:p>
    <w:p w14:paraId="057296B9">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szCs w:val="21"/>
          <w14:textFill>
            <w14:solidFill>
              <w14:schemeClr w14:val="tx1"/>
            </w14:solidFill>
          </w14:textFill>
        </w:rPr>
        <w:t>3.1.</w:t>
      </w:r>
      <w:r>
        <w:rPr>
          <w:rFonts w:hint="eastAsia"/>
          <w:color w:val="000000" w:themeColor="text1"/>
          <w:sz w:val="24"/>
          <w:szCs w:val="21"/>
          <w14:textFill>
            <w14:solidFill>
              <w14:schemeClr w14:val="tx1"/>
            </w14:solidFill>
          </w14:textFill>
        </w:rPr>
        <w:t>1</w:t>
      </w:r>
      <w:r>
        <w:rPr>
          <w:color w:val="000000" w:themeColor="text1"/>
          <w:sz w:val="24"/>
          <w:szCs w:val="21"/>
          <w14:textFill>
            <w14:solidFill>
              <w14:schemeClr w14:val="tx1"/>
            </w14:solidFill>
          </w14:textFill>
        </w:rPr>
        <w:t xml:space="preserve"> 加工平整度公差</w:t>
      </w:r>
      <w:r>
        <w:rPr>
          <w:rFonts w:hint="eastAsia"/>
          <w:color w:val="000000" w:themeColor="text1"/>
          <w:sz w:val="24"/>
          <w:szCs w:val="21"/>
          <w14:textFill>
            <w14:solidFill>
              <w14:schemeClr w14:val="tx1"/>
            </w14:solidFill>
          </w14:textFill>
        </w:rPr>
        <w:t>优于</w:t>
      </w:r>
      <w:r>
        <w:rPr>
          <w:color w:val="000000" w:themeColor="text1"/>
          <w:sz w:val="24"/>
          <w:szCs w:val="21"/>
          <w14:textFill>
            <w14:solidFill>
              <w14:schemeClr w14:val="tx1"/>
            </w14:solidFill>
          </w14:textFill>
        </w:rPr>
        <w:t>±0.02mm；</w:t>
      </w:r>
    </w:p>
    <w:p w14:paraId="180CEB49">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b/>
          <w:bCs/>
          <w:color w:val="000000" w:themeColor="text1"/>
          <w:sz w:val="24"/>
          <w14:textFill>
            <w14:solidFill>
              <w14:schemeClr w14:val="tx1"/>
            </w14:solidFill>
          </w14:textFill>
        </w:rPr>
        <w:t>★</w:t>
      </w:r>
      <w:r>
        <w:rPr>
          <w:color w:val="000000" w:themeColor="text1"/>
          <w:sz w:val="24"/>
          <w:szCs w:val="21"/>
          <w14:textFill>
            <w14:solidFill>
              <w14:schemeClr w14:val="tx1"/>
            </w14:solidFill>
          </w14:textFill>
        </w:rPr>
        <w:t>3.1.</w:t>
      </w:r>
      <w:r>
        <w:rPr>
          <w:rFonts w:hint="eastAsia"/>
          <w:color w:val="000000" w:themeColor="text1"/>
          <w:sz w:val="24"/>
          <w:szCs w:val="21"/>
          <w14:textFill>
            <w14:solidFill>
              <w14:schemeClr w14:val="tx1"/>
            </w14:solidFill>
          </w14:textFill>
        </w:rPr>
        <w:t>2</w:t>
      </w:r>
      <w:r>
        <w:rPr>
          <w:color w:val="000000" w:themeColor="text1"/>
          <w:sz w:val="24"/>
          <w:szCs w:val="21"/>
          <w14:textFill>
            <w14:solidFill>
              <w14:schemeClr w14:val="tx1"/>
            </w14:solidFill>
          </w14:textFill>
        </w:rPr>
        <w:t xml:space="preserve"> 激光整形切割去除效率：</w:t>
      </w:r>
    </w:p>
    <w:p w14:paraId="14F18E76">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3.1.2.1</w:t>
      </w:r>
      <w:r>
        <w:rPr>
          <w:rFonts w:hint="eastAsia" w:ascii="宋体" w:hAnsi="宋体" w:cs="宋体"/>
          <w:color w:val="000000" w:themeColor="text1"/>
          <w:sz w:val="24"/>
          <w:szCs w:val="21"/>
          <w14:textFill>
            <w14:solidFill>
              <w14:schemeClr w14:val="tx1"/>
            </w14:solidFill>
          </w14:textFill>
        </w:rPr>
        <w:t xml:space="preserve"> </w:t>
      </w:r>
      <w:r>
        <w:rPr>
          <w:color w:val="000000" w:themeColor="text1"/>
          <w:sz w:val="24"/>
          <w:szCs w:val="21"/>
          <w14:textFill>
            <w14:solidFill>
              <w14:schemeClr w14:val="tx1"/>
            </w14:solidFill>
          </w14:textFill>
        </w:rPr>
        <w:t>2英寸</w:t>
      </w:r>
      <w:r>
        <w:rPr>
          <w:rFonts w:hint="eastAsia"/>
          <w:color w:val="000000" w:themeColor="text1"/>
          <w:sz w:val="24"/>
          <w:szCs w:val="21"/>
          <w14:textFill>
            <w14:solidFill>
              <w14:schemeClr w14:val="tx1"/>
            </w14:solidFill>
          </w14:textFill>
        </w:rPr>
        <w:t>单晶或者多晶金刚石</w:t>
      </w:r>
      <w:r>
        <w:rPr>
          <w:color w:val="000000" w:themeColor="text1"/>
          <w:sz w:val="24"/>
          <w:szCs w:val="21"/>
          <w14:textFill>
            <w14:solidFill>
              <w14:schemeClr w14:val="tx1"/>
            </w14:solidFill>
          </w14:textFill>
        </w:rPr>
        <w:t>：</w:t>
      </w:r>
      <w:r>
        <w:rPr>
          <w:rFonts w:hint="eastAsia"/>
          <w:color w:val="000000" w:themeColor="text1"/>
          <w:sz w:val="24"/>
          <w:szCs w:val="21"/>
          <w14:textFill>
            <w14:solidFill>
              <w14:schemeClr w14:val="tx1"/>
            </w14:solidFill>
          </w14:textFill>
        </w:rPr>
        <w:t>平均每片减薄0.1mm耗时≤15</w:t>
      </w:r>
      <w:r>
        <w:rPr>
          <w:color w:val="000000" w:themeColor="text1"/>
          <w:sz w:val="24"/>
          <w:szCs w:val="21"/>
          <w14:textFill>
            <w14:solidFill>
              <w14:schemeClr w14:val="tx1"/>
            </w14:solidFill>
          </w14:textFill>
        </w:rPr>
        <w:t>分钟；</w:t>
      </w:r>
    </w:p>
    <w:p w14:paraId="11F2FDF7">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3.1.2.2</w:t>
      </w:r>
      <w:r>
        <w:rPr>
          <w:rFonts w:hint="eastAsia" w:ascii="宋体" w:hAnsi="宋体" w:cs="宋体"/>
          <w:color w:val="000000" w:themeColor="text1"/>
          <w:sz w:val="24"/>
          <w:szCs w:val="21"/>
          <w14:textFill>
            <w14:solidFill>
              <w14:schemeClr w14:val="tx1"/>
            </w14:solidFill>
          </w14:textFill>
        </w:rPr>
        <w:t xml:space="preserve"> </w:t>
      </w:r>
      <w:r>
        <w:rPr>
          <w:color w:val="000000" w:themeColor="text1"/>
          <w:sz w:val="24"/>
          <w:szCs w:val="21"/>
          <w14:textFill>
            <w14:solidFill>
              <w14:schemeClr w14:val="tx1"/>
            </w14:solidFill>
          </w14:textFill>
        </w:rPr>
        <w:t>4英寸</w:t>
      </w:r>
      <w:r>
        <w:rPr>
          <w:rFonts w:hint="eastAsia"/>
          <w:color w:val="000000" w:themeColor="text1"/>
          <w:sz w:val="24"/>
          <w:szCs w:val="21"/>
          <w14:textFill>
            <w14:solidFill>
              <w14:schemeClr w14:val="tx1"/>
            </w14:solidFill>
          </w14:textFill>
        </w:rPr>
        <w:t>单晶或者多晶金刚石</w:t>
      </w:r>
      <w:r>
        <w:rPr>
          <w:color w:val="000000" w:themeColor="text1"/>
          <w:sz w:val="24"/>
          <w:szCs w:val="21"/>
          <w14:textFill>
            <w14:solidFill>
              <w14:schemeClr w14:val="tx1"/>
            </w14:solidFill>
          </w14:textFill>
        </w:rPr>
        <w:t>：</w:t>
      </w:r>
      <w:r>
        <w:rPr>
          <w:rFonts w:hint="eastAsia"/>
          <w:color w:val="000000" w:themeColor="text1"/>
          <w:sz w:val="24"/>
          <w:szCs w:val="21"/>
          <w14:textFill>
            <w14:solidFill>
              <w14:schemeClr w14:val="tx1"/>
            </w14:solidFill>
          </w14:textFill>
        </w:rPr>
        <w:t>平均每片减薄0.1mm耗时≤75</w:t>
      </w:r>
      <w:r>
        <w:rPr>
          <w:color w:val="000000" w:themeColor="text1"/>
          <w:sz w:val="24"/>
          <w:szCs w:val="21"/>
          <w14:textFill>
            <w14:solidFill>
              <w14:schemeClr w14:val="tx1"/>
            </w14:solidFill>
          </w14:textFill>
        </w:rPr>
        <w:t>分钟；</w:t>
      </w:r>
    </w:p>
    <w:p w14:paraId="3205AFF1">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3.1.2.3</w:t>
      </w:r>
      <w:r>
        <w:rPr>
          <w:rFonts w:hint="eastAsia" w:ascii="宋体" w:hAnsi="宋体" w:cs="宋体"/>
          <w:color w:val="000000" w:themeColor="text1"/>
          <w:sz w:val="24"/>
          <w:szCs w:val="21"/>
          <w14:textFill>
            <w14:solidFill>
              <w14:schemeClr w14:val="tx1"/>
            </w14:solidFill>
          </w14:textFill>
        </w:rPr>
        <w:t xml:space="preserve"> </w:t>
      </w:r>
      <w:r>
        <w:rPr>
          <w:color w:val="000000" w:themeColor="text1"/>
          <w:sz w:val="24"/>
          <w:szCs w:val="21"/>
          <w14:textFill>
            <w14:solidFill>
              <w14:schemeClr w14:val="tx1"/>
            </w14:solidFill>
          </w14:textFill>
        </w:rPr>
        <w:t>6英寸</w:t>
      </w:r>
      <w:r>
        <w:rPr>
          <w:rFonts w:hint="eastAsia"/>
          <w:color w:val="000000" w:themeColor="text1"/>
          <w:sz w:val="24"/>
          <w:szCs w:val="21"/>
          <w14:textFill>
            <w14:solidFill>
              <w14:schemeClr w14:val="tx1"/>
            </w14:solidFill>
          </w14:textFill>
        </w:rPr>
        <w:t>单晶或者多晶金刚石</w:t>
      </w:r>
      <w:r>
        <w:rPr>
          <w:color w:val="000000" w:themeColor="text1"/>
          <w:sz w:val="24"/>
          <w:szCs w:val="21"/>
          <w14:textFill>
            <w14:solidFill>
              <w14:schemeClr w14:val="tx1"/>
            </w14:solidFill>
          </w14:textFill>
        </w:rPr>
        <w:t>：</w:t>
      </w:r>
      <w:r>
        <w:rPr>
          <w:rFonts w:hint="eastAsia"/>
          <w:color w:val="000000" w:themeColor="text1"/>
          <w:sz w:val="24"/>
          <w:szCs w:val="21"/>
          <w14:textFill>
            <w14:solidFill>
              <w14:schemeClr w14:val="tx1"/>
            </w14:solidFill>
          </w14:textFill>
        </w:rPr>
        <w:t>平均每片减薄0.1mm耗时≤24</w:t>
      </w:r>
      <w:r>
        <w:rPr>
          <w:color w:val="000000" w:themeColor="text1"/>
          <w:sz w:val="24"/>
          <w:szCs w:val="21"/>
          <w14:textFill>
            <w14:solidFill>
              <w14:schemeClr w14:val="tx1"/>
            </w14:solidFill>
          </w14:textFill>
        </w:rPr>
        <w:t>0分钟</w:t>
      </w:r>
      <w:r>
        <w:rPr>
          <w:rFonts w:hint="eastAsia"/>
          <w:color w:val="000000" w:themeColor="text1"/>
          <w:sz w:val="24"/>
          <w:szCs w:val="21"/>
          <w14:textFill>
            <w14:solidFill>
              <w14:schemeClr w14:val="tx1"/>
            </w14:solidFill>
          </w14:textFill>
        </w:rPr>
        <w:t>；</w:t>
      </w:r>
    </w:p>
    <w:p w14:paraId="0F5B18CE">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b/>
          <w:bCs/>
          <w:color w:val="000000" w:themeColor="text1"/>
          <w:sz w:val="24"/>
          <w14:textFill>
            <w14:solidFill>
              <w14:schemeClr w14:val="tx1"/>
            </w14:solidFill>
          </w14:textFill>
        </w:rPr>
        <w:t>★</w:t>
      </w:r>
      <w:r>
        <w:rPr>
          <w:color w:val="000000" w:themeColor="text1"/>
          <w:sz w:val="24"/>
          <w:szCs w:val="21"/>
          <w14:textFill>
            <w14:solidFill>
              <w14:schemeClr w14:val="tx1"/>
            </w14:solidFill>
          </w14:textFill>
        </w:rPr>
        <w:t>3.1.</w:t>
      </w:r>
      <w:r>
        <w:rPr>
          <w:rFonts w:hint="eastAsia"/>
          <w:color w:val="000000" w:themeColor="text1"/>
          <w:sz w:val="24"/>
          <w:szCs w:val="21"/>
          <w14:textFill>
            <w14:solidFill>
              <w14:schemeClr w14:val="tx1"/>
            </w14:solidFill>
          </w14:textFill>
        </w:rPr>
        <w:t>3</w:t>
      </w:r>
      <w:r>
        <w:rPr>
          <w:color w:val="000000" w:themeColor="text1"/>
          <w:sz w:val="24"/>
          <w:szCs w:val="21"/>
          <w14:textFill>
            <w14:solidFill>
              <w14:schemeClr w14:val="tx1"/>
            </w14:solidFill>
          </w14:textFill>
        </w:rPr>
        <w:t xml:space="preserve"> 平台最大速度</w:t>
      </w:r>
      <w:r>
        <w:rPr>
          <w:rFonts w:hint="eastAsia"/>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500mm/s；</w:t>
      </w:r>
    </w:p>
    <w:p w14:paraId="6F8773F6">
      <w:pPr>
        <w:adjustRightInd w:val="0"/>
        <w:snapToGrid w:val="0"/>
        <w:spacing w:before="62" w:beforeLines="20" w:after="62" w:afterLines="20" w:line="360" w:lineRule="auto"/>
        <w:rPr>
          <w:b/>
          <w:bCs/>
          <w:color w:val="000000" w:themeColor="text1"/>
          <w:sz w:val="24"/>
          <w:szCs w:val="21"/>
          <w14:textFill>
            <w14:solidFill>
              <w14:schemeClr w14:val="tx1"/>
            </w14:solidFill>
          </w14:textFill>
        </w:rPr>
      </w:pPr>
      <w:r>
        <w:rPr>
          <w:rFonts w:hint="eastAsia"/>
          <w:b/>
          <w:bCs/>
          <w:color w:val="000000" w:themeColor="text1"/>
          <w:sz w:val="24"/>
          <w:szCs w:val="21"/>
          <w14:textFill>
            <w14:solidFill>
              <w14:schemeClr w14:val="tx1"/>
            </w14:solidFill>
          </w14:textFill>
        </w:rPr>
        <w:t>3.2 减薄功能</w:t>
      </w:r>
    </w:p>
    <w:p w14:paraId="77BAA3EB">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3.2.1 </w:t>
      </w:r>
      <w:r>
        <w:rPr>
          <w:color w:val="000000" w:themeColor="text1"/>
          <w:sz w:val="24"/>
          <w:szCs w:val="21"/>
          <w14:textFill>
            <w14:solidFill>
              <w14:schemeClr w14:val="tx1"/>
            </w14:solidFill>
          </w14:textFill>
        </w:rPr>
        <w:t>砂轮</w:t>
      </w:r>
      <w:r>
        <w:rPr>
          <w:rFonts w:hint="eastAsia"/>
          <w:color w:val="000000" w:themeColor="text1"/>
          <w:sz w:val="24"/>
          <w:szCs w:val="21"/>
          <w14:textFill>
            <w14:solidFill>
              <w14:schemeClr w14:val="tx1"/>
            </w14:solidFill>
          </w14:textFill>
        </w:rPr>
        <w:t>或磨盘</w:t>
      </w:r>
      <w:r>
        <w:rPr>
          <w:color w:val="000000" w:themeColor="text1"/>
          <w:sz w:val="24"/>
          <w:szCs w:val="21"/>
          <w14:textFill>
            <w14:solidFill>
              <w14:schemeClr w14:val="tx1"/>
            </w14:solidFill>
          </w14:textFill>
        </w:rPr>
        <w:t>规格</w:t>
      </w:r>
      <w:r>
        <w:rPr>
          <w:rFonts w:hint="eastAsia"/>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Φ300(OD)mm；</w:t>
      </w:r>
    </w:p>
    <w:p w14:paraId="67571834">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3.2.2 </w:t>
      </w:r>
      <w:r>
        <w:rPr>
          <w:color w:val="000000" w:themeColor="text1"/>
          <w:sz w:val="24"/>
          <w:szCs w:val="21"/>
          <w14:textFill>
            <w14:solidFill>
              <w14:schemeClr w14:val="tx1"/>
            </w14:solidFill>
          </w14:textFill>
        </w:rPr>
        <w:t>工作台</w:t>
      </w:r>
      <w:r>
        <w:rPr>
          <w:rFonts w:hint="eastAsia"/>
          <w:color w:val="000000" w:themeColor="text1"/>
          <w:sz w:val="24"/>
          <w:szCs w:val="21"/>
          <w14:textFill>
            <w14:solidFill>
              <w14:schemeClr w14:val="tx1"/>
            </w14:solidFill>
          </w14:textFill>
        </w:rPr>
        <w:t>最大转速≥</w:t>
      </w:r>
      <w:r>
        <w:rPr>
          <w:color w:val="000000" w:themeColor="text1"/>
          <w:sz w:val="24"/>
          <w:szCs w:val="21"/>
          <w14:textFill>
            <w14:solidFill>
              <w14:schemeClr w14:val="tx1"/>
            </w14:solidFill>
          </w14:textFill>
        </w:rPr>
        <w:t>300RPM</w:t>
      </w:r>
      <w:r>
        <w:rPr>
          <w:rFonts w:hint="eastAsia"/>
          <w:color w:val="000000" w:themeColor="text1"/>
          <w:sz w:val="24"/>
          <w:szCs w:val="21"/>
          <w14:textFill>
            <w14:solidFill>
              <w14:schemeClr w14:val="tx1"/>
            </w14:solidFill>
          </w14:textFill>
        </w:rPr>
        <w:t>。</w:t>
      </w:r>
    </w:p>
    <w:p w14:paraId="09DAF1AC">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3.2.3 单晶或者多晶金刚石最大可加工尺寸≥6英寸；需提供检测报告。</w:t>
      </w:r>
    </w:p>
    <w:p w14:paraId="0668D626">
      <w:pPr>
        <w:adjustRightInd w:val="0"/>
        <w:snapToGrid w:val="0"/>
        <w:spacing w:before="62" w:beforeLines="20" w:after="62" w:afterLines="20" w:line="360" w:lineRule="auto"/>
        <w:rPr>
          <w:b/>
          <w:bCs/>
          <w:color w:val="000000" w:themeColor="text1"/>
          <w:sz w:val="24"/>
          <w:szCs w:val="21"/>
          <w14:textFill>
            <w14:solidFill>
              <w14:schemeClr w14:val="tx1"/>
            </w14:solidFill>
          </w14:textFill>
        </w:rPr>
      </w:pPr>
      <w:r>
        <w:rPr>
          <w:rFonts w:hint="eastAsia"/>
          <w:b/>
          <w:bCs/>
          <w:color w:val="000000" w:themeColor="text1"/>
          <w:sz w:val="24"/>
          <w:szCs w:val="21"/>
          <w14:textFill>
            <w14:solidFill>
              <w14:schemeClr w14:val="tx1"/>
            </w14:solidFill>
          </w14:textFill>
        </w:rPr>
        <w:t xml:space="preserve">3.3 </w:t>
      </w:r>
      <w:r>
        <w:rPr>
          <w:b/>
          <w:bCs/>
          <w:color w:val="000000" w:themeColor="text1"/>
          <w:sz w:val="24"/>
          <w:szCs w:val="21"/>
          <w14:textFill>
            <w14:solidFill>
              <w14:schemeClr w14:val="tx1"/>
            </w14:solidFill>
          </w14:textFill>
        </w:rPr>
        <w:t>研磨功能</w:t>
      </w:r>
    </w:p>
    <w:p w14:paraId="466837EE">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b/>
          <w:bCs/>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 xml:space="preserve">3.3.1 </w:t>
      </w:r>
      <w:r>
        <w:rPr>
          <w:color w:val="000000" w:themeColor="text1"/>
          <w:sz w:val="24"/>
          <w:szCs w:val="21"/>
          <w14:textFill>
            <w14:solidFill>
              <w14:schemeClr w14:val="tx1"/>
            </w14:solidFill>
          </w14:textFill>
        </w:rPr>
        <w:t>去除率：精磨 4</w:t>
      </w:r>
      <w:r>
        <w:rPr>
          <w:rFonts w:hint="eastAsia"/>
          <w:color w:val="000000" w:themeColor="text1"/>
          <w:sz w:val="24"/>
          <w:szCs w:val="21"/>
          <w14:textFill>
            <w14:solidFill>
              <w14:schemeClr w14:val="tx1"/>
            </w14:solidFill>
          </w14:textFill>
        </w:rPr>
        <w:t>英寸单晶或者多晶金刚石</w:t>
      </w:r>
      <w:r>
        <w:rPr>
          <w:color w:val="000000" w:themeColor="text1"/>
          <w:sz w:val="24"/>
          <w:szCs w:val="21"/>
          <w14:textFill>
            <w14:solidFill>
              <w14:schemeClr w14:val="tx1"/>
            </w14:solidFill>
          </w14:textFill>
        </w:rPr>
        <w:t>，MRR</w:t>
      </w:r>
      <w:r>
        <w:rPr>
          <w:rFonts w:hint="eastAsia"/>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5um/h</w:t>
      </w:r>
      <w:r>
        <w:rPr>
          <w:rFonts w:hint="eastAsia"/>
          <w:color w:val="000000" w:themeColor="text1"/>
          <w:sz w:val="24"/>
          <w:szCs w:val="21"/>
          <w14:textFill>
            <w14:solidFill>
              <w14:schemeClr w14:val="tx1"/>
            </w14:solidFill>
          </w14:textFill>
        </w:rPr>
        <w:t>；需提供检测报告。</w:t>
      </w:r>
    </w:p>
    <w:p w14:paraId="273671D1">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b/>
          <w:bCs/>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 xml:space="preserve">3.3.2 </w:t>
      </w:r>
      <w:r>
        <w:rPr>
          <w:color w:val="000000" w:themeColor="text1"/>
          <w:sz w:val="24"/>
          <w:szCs w:val="21"/>
          <w14:textFill>
            <w14:solidFill>
              <w14:schemeClr w14:val="tx1"/>
            </w14:solidFill>
          </w14:textFill>
        </w:rPr>
        <w:t>粗糙度：精磨 4</w:t>
      </w:r>
      <w:r>
        <w:rPr>
          <w:rFonts w:hint="eastAsia"/>
          <w:color w:val="000000" w:themeColor="text1"/>
          <w:sz w:val="24"/>
          <w:szCs w:val="21"/>
          <w14:textFill>
            <w14:solidFill>
              <w14:schemeClr w14:val="tx1"/>
            </w14:solidFill>
          </w14:textFill>
        </w:rPr>
        <w:t>英寸单晶或者多晶金刚石</w:t>
      </w:r>
      <w:r>
        <w:rPr>
          <w:color w:val="000000" w:themeColor="text1"/>
          <w:sz w:val="24"/>
          <w:szCs w:val="21"/>
          <w14:textFill>
            <w14:solidFill>
              <w14:schemeClr w14:val="tx1"/>
            </w14:solidFill>
          </w14:textFill>
        </w:rPr>
        <w:t>， Ra</w:t>
      </w:r>
      <w:r>
        <w:rPr>
          <w:rFonts w:hint="eastAsia"/>
          <w:color w:val="000000" w:themeColor="text1"/>
          <w:sz w:val="24"/>
          <w:szCs w:val="21"/>
          <w14:textFill>
            <w14:solidFill>
              <w14:schemeClr w14:val="tx1"/>
            </w14:solidFill>
          </w14:textFill>
        </w:rPr>
        <w:t>≤2</w:t>
      </w:r>
      <w:r>
        <w:rPr>
          <w:color w:val="000000" w:themeColor="text1"/>
          <w:sz w:val="24"/>
          <w:szCs w:val="21"/>
          <w14:textFill>
            <w14:solidFill>
              <w14:schemeClr w14:val="tx1"/>
            </w14:solidFill>
          </w14:textFill>
        </w:rPr>
        <w:t>00nm；</w:t>
      </w:r>
      <w:r>
        <w:rPr>
          <w:rFonts w:hint="eastAsia"/>
          <w:color w:val="000000" w:themeColor="text1"/>
          <w:sz w:val="24"/>
          <w:szCs w:val="21"/>
          <w14:textFill>
            <w14:solidFill>
              <w14:schemeClr w14:val="tx1"/>
            </w14:solidFill>
          </w14:textFill>
        </w:rPr>
        <w:t>需提供检测报告。</w:t>
      </w:r>
    </w:p>
    <w:p w14:paraId="15065962">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3.3.3 研磨</w:t>
      </w:r>
      <w:r>
        <w:rPr>
          <w:color w:val="000000" w:themeColor="text1"/>
          <w:sz w:val="24"/>
          <w:szCs w:val="21"/>
          <w14:textFill>
            <w14:solidFill>
              <w14:schemeClr w14:val="tx1"/>
            </w14:solidFill>
          </w14:textFill>
        </w:rPr>
        <w:t>头</w:t>
      </w:r>
      <w:r>
        <w:rPr>
          <w:rFonts w:hint="eastAsia"/>
          <w:color w:val="000000" w:themeColor="text1"/>
          <w:sz w:val="24"/>
          <w:szCs w:val="21"/>
          <w14:textFill>
            <w14:solidFill>
              <w14:schemeClr w14:val="tx1"/>
            </w14:solidFill>
          </w14:textFill>
        </w:rPr>
        <w:t>最大</w:t>
      </w:r>
      <w:r>
        <w:rPr>
          <w:color w:val="000000" w:themeColor="text1"/>
          <w:sz w:val="24"/>
          <w:szCs w:val="21"/>
          <w14:textFill>
            <w14:solidFill>
              <w14:schemeClr w14:val="tx1"/>
            </w14:solidFill>
          </w14:textFill>
        </w:rPr>
        <w:t>压力</w:t>
      </w:r>
      <w:r>
        <w:rPr>
          <w:rFonts w:hint="eastAsia"/>
          <w:color w:val="000000" w:themeColor="text1"/>
          <w:sz w:val="24"/>
          <w:szCs w:val="21"/>
          <w14:textFill>
            <w14:solidFill>
              <w14:schemeClr w14:val="tx1"/>
            </w14:solidFill>
          </w14:textFill>
        </w:rPr>
        <w:t>≥100</w:t>
      </w:r>
      <w:r>
        <w:rPr>
          <w:color w:val="000000" w:themeColor="text1"/>
          <w:sz w:val="24"/>
          <w:szCs w:val="21"/>
          <w14:textFill>
            <w14:solidFill>
              <w14:schemeClr w14:val="tx1"/>
            </w14:solidFill>
          </w14:textFill>
        </w:rPr>
        <w:t>kgf</w:t>
      </w:r>
      <w:r>
        <w:rPr>
          <w:rFonts w:hint="eastAsia"/>
          <w:color w:val="000000" w:themeColor="text1"/>
          <w:sz w:val="24"/>
          <w:szCs w:val="21"/>
          <w14:textFill>
            <w14:solidFill>
              <w14:schemeClr w14:val="tx1"/>
            </w14:solidFill>
          </w14:textFill>
        </w:rPr>
        <w:t>， 研磨</w:t>
      </w:r>
      <w:r>
        <w:rPr>
          <w:color w:val="000000" w:themeColor="text1"/>
          <w:sz w:val="24"/>
          <w:szCs w:val="21"/>
          <w14:textFill>
            <w14:solidFill>
              <w14:schemeClr w14:val="tx1"/>
            </w14:solidFill>
          </w14:textFill>
        </w:rPr>
        <w:t>头</w:t>
      </w:r>
      <w:r>
        <w:rPr>
          <w:rFonts w:hint="eastAsia"/>
          <w:color w:val="000000" w:themeColor="text1"/>
          <w:sz w:val="24"/>
          <w:szCs w:val="21"/>
          <w14:textFill>
            <w14:solidFill>
              <w14:schemeClr w14:val="tx1"/>
            </w14:solidFill>
          </w14:textFill>
        </w:rPr>
        <w:t>最小</w:t>
      </w:r>
      <w:r>
        <w:rPr>
          <w:color w:val="000000" w:themeColor="text1"/>
          <w:sz w:val="24"/>
          <w:szCs w:val="21"/>
          <w14:textFill>
            <w14:solidFill>
              <w14:schemeClr w14:val="tx1"/>
            </w14:solidFill>
          </w14:textFill>
        </w:rPr>
        <w:t>压力</w:t>
      </w:r>
      <w:r>
        <w:rPr>
          <w:rFonts w:hint="eastAsia"/>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10kgf</w:t>
      </w:r>
      <w:r>
        <w:rPr>
          <w:rFonts w:hint="eastAsia"/>
          <w:color w:val="000000" w:themeColor="text1"/>
          <w:sz w:val="24"/>
          <w:szCs w:val="21"/>
          <w14:textFill>
            <w14:solidFill>
              <w14:schemeClr w14:val="tx1"/>
            </w14:solidFill>
          </w14:textFill>
        </w:rPr>
        <w:t>，研磨头压力连续可调；</w:t>
      </w:r>
    </w:p>
    <w:p w14:paraId="1673ED1B">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3.3.4 单晶或者多晶金刚石最大可加工尺寸≥6英寸；需提供检测报告。</w:t>
      </w:r>
    </w:p>
    <w:p w14:paraId="769BF605">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3.3.5 总厚度偏差：</w:t>
      </w:r>
      <w:r>
        <w:rPr>
          <w:color w:val="000000" w:themeColor="text1"/>
          <w:sz w:val="24"/>
          <w:szCs w:val="21"/>
          <w14:textFill>
            <w14:solidFill>
              <w14:schemeClr w14:val="tx1"/>
            </w14:solidFill>
          </w14:textFill>
        </w:rPr>
        <w:t>精磨 4</w:t>
      </w:r>
      <w:r>
        <w:rPr>
          <w:rFonts w:hint="eastAsia"/>
          <w:color w:val="000000" w:themeColor="text1"/>
          <w:sz w:val="24"/>
          <w:szCs w:val="21"/>
          <w14:textFill>
            <w14:solidFill>
              <w14:schemeClr w14:val="tx1"/>
            </w14:solidFill>
          </w14:textFill>
        </w:rPr>
        <w:t>英寸单晶或者多晶金刚石，TTV≤20um；需提供检测报告。</w:t>
      </w:r>
    </w:p>
    <w:p w14:paraId="689A2825">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3.3.6 研磨头摆动：摆幅摆速可调；</w:t>
      </w:r>
    </w:p>
    <w:p w14:paraId="7D0307BA">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3.3.7 修整器：车刀独立修整系统；</w:t>
      </w:r>
    </w:p>
    <w:p w14:paraId="4D82D894">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3.3.8 冷却系统：研磨头冷却，研磨盘冷却；</w:t>
      </w:r>
    </w:p>
    <w:p w14:paraId="784C672C">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3.3.9晶圆固定方式：真空吸附或机械固定；</w:t>
      </w:r>
    </w:p>
    <w:p w14:paraId="261F05E3">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3.3.10 柔性加压：柔性加压，加工过程中压力均匀；</w:t>
      </w:r>
    </w:p>
    <w:p w14:paraId="6EB915EC">
      <w:pPr>
        <w:adjustRightInd w:val="0"/>
        <w:snapToGrid w:val="0"/>
        <w:spacing w:before="62" w:beforeLines="20" w:after="62" w:afterLines="20" w:line="360" w:lineRule="auto"/>
        <w:rPr>
          <w:b/>
          <w:bCs/>
          <w:color w:val="000000" w:themeColor="text1"/>
          <w:sz w:val="24"/>
          <w:szCs w:val="21"/>
          <w14:textFill>
            <w14:solidFill>
              <w14:schemeClr w14:val="tx1"/>
            </w14:solidFill>
          </w14:textFill>
        </w:rPr>
      </w:pPr>
      <w:r>
        <w:rPr>
          <w:rFonts w:hint="eastAsia"/>
          <w:b/>
          <w:bCs/>
          <w:color w:val="000000" w:themeColor="text1"/>
          <w:sz w:val="24"/>
          <w:szCs w:val="21"/>
          <w14:textFill>
            <w14:solidFill>
              <w14:schemeClr w14:val="tx1"/>
            </w14:solidFill>
          </w14:textFill>
        </w:rPr>
        <w:t xml:space="preserve">3.4 </w:t>
      </w:r>
      <w:r>
        <w:rPr>
          <w:b/>
          <w:bCs/>
          <w:color w:val="000000" w:themeColor="text1"/>
          <w:sz w:val="24"/>
          <w:szCs w:val="21"/>
          <w14:textFill>
            <w14:solidFill>
              <w14:schemeClr w14:val="tx1"/>
            </w14:solidFill>
          </w14:textFill>
        </w:rPr>
        <w:t>抛光功能：</w:t>
      </w:r>
    </w:p>
    <w:p w14:paraId="4D8AE503">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3.4.</w:t>
      </w:r>
      <w:r>
        <w:rPr>
          <w:color w:val="000000" w:themeColor="text1"/>
          <w:sz w:val="24"/>
          <w:szCs w:val="21"/>
          <w14:textFill>
            <w14:solidFill>
              <w14:schemeClr w14:val="tx1"/>
            </w14:solidFill>
          </w14:textFill>
        </w:rPr>
        <w:t>1</w:t>
      </w:r>
      <w:r>
        <w:rPr>
          <w:rFonts w:hint="eastAsia"/>
          <w:color w:val="000000" w:themeColor="text1"/>
          <w:sz w:val="24"/>
          <w:szCs w:val="21"/>
          <w14:textFill>
            <w14:solidFill>
              <w14:schemeClr w14:val="tx1"/>
            </w14:solidFill>
          </w14:textFill>
        </w:rPr>
        <w:t xml:space="preserve"> </w:t>
      </w:r>
      <w:r>
        <w:rPr>
          <w:color w:val="000000" w:themeColor="text1"/>
          <w:sz w:val="24"/>
          <w:szCs w:val="21"/>
          <w14:textFill>
            <w14:solidFill>
              <w14:schemeClr w14:val="tx1"/>
            </w14:solidFill>
          </w14:textFill>
        </w:rPr>
        <w:t>抛光盘</w:t>
      </w:r>
      <w:r>
        <w:rPr>
          <w:rFonts w:hint="eastAsia"/>
          <w:color w:val="000000" w:themeColor="text1"/>
          <w:sz w:val="24"/>
          <w:szCs w:val="21"/>
          <w14:textFill>
            <w14:solidFill>
              <w14:schemeClr w14:val="tx1"/>
            </w14:solidFill>
          </w14:textFill>
        </w:rPr>
        <w:t>最大</w:t>
      </w:r>
      <w:r>
        <w:rPr>
          <w:color w:val="000000" w:themeColor="text1"/>
          <w:sz w:val="24"/>
          <w:szCs w:val="21"/>
          <w14:textFill>
            <w14:solidFill>
              <w14:schemeClr w14:val="tx1"/>
            </w14:solidFill>
          </w14:textFill>
        </w:rPr>
        <w:t>转速</w:t>
      </w:r>
      <w:r>
        <w:rPr>
          <w:rFonts w:hint="eastAsia"/>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1500 RPM</w:t>
      </w:r>
      <w:r>
        <w:rPr>
          <w:rFonts w:hint="eastAsia"/>
          <w:color w:val="000000" w:themeColor="text1"/>
          <w:sz w:val="24"/>
          <w:szCs w:val="21"/>
          <w14:textFill>
            <w14:solidFill>
              <w14:schemeClr w14:val="tx1"/>
            </w14:solidFill>
          </w14:textFill>
        </w:rPr>
        <w:t>；</w:t>
      </w:r>
    </w:p>
    <w:p w14:paraId="64807BAE">
      <w:pPr>
        <w:adjustRightInd w:val="0"/>
        <w:snapToGrid w:val="0"/>
        <w:spacing w:before="62" w:beforeLines="20" w:after="62" w:afterLines="20" w:line="360" w:lineRule="auto"/>
        <w:rPr>
          <w:b/>
          <w:bCs/>
          <w:color w:val="000000" w:themeColor="text1"/>
          <w:sz w:val="24"/>
          <w:szCs w:val="21"/>
          <w14:textFill>
            <w14:solidFill>
              <w14:schemeClr w14:val="tx1"/>
            </w14:solidFill>
          </w14:textFill>
        </w:rPr>
      </w:pPr>
      <w:r>
        <w:rPr>
          <w:rFonts w:hint="eastAsia"/>
          <w:b/>
          <w:bCs/>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3.4.</w:t>
      </w:r>
      <w:r>
        <w:rPr>
          <w:color w:val="000000" w:themeColor="text1"/>
          <w:sz w:val="24"/>
          <w:szCs w:val="21"/>
          <w14:textFill>
            <w14:solidFill>
              <w14:schemeClr w14:val="tx1"/>
            </w14:solidFill>
          </w14:textFill>
        </w:rPr>
        <w:t>2</w:t>
      </w:r>
      <w:r>
        <w:rPr>
          <w:rFonts w:hint="eastAsia"/>
          <w:color w:val="000000" w:themeColor="text1"/>
          <w:sz w:val="24"/>
          <w:szCs w:val="21"/>
          <w14:textFill>
            <w14:solidFill>
              <w14:schemeClr w14:val="tx1"/>
            </w14:solidFill>
          </w14:textFill>
        </w:rPr>
        <w:t xml:space="preserve"> </w:t>
      </w:r>
      <w:r>
        <w:rPr>
          <w:color w:val="000000" w:themeColor="text1"/>
          <w:sz w:val="24"/>
          <w:szCs w:val="21"/>
          <w14:textFill>
            <w14:solidFill>
              <w14:schemeClr w14:val="tx1"/>
            </w14:solidFill>
          </w14:textFill>
        </w:rPr>
        <w:t>抛光头</w:t>
      </w:r>
      <w:r>
        <w:rPr>
          <w:rFonts w:hint="eastAsia"/>
          <w:color w:val="000000" w:themeColor="text1"/>
          <w:sz w:val="24"/>
          <w:szCs w:val="21"/>
          <w14:textFill>
            <w14:solidFill>
              <w14:schemeClr w14:val="tx1"/>
            </w14:solidFill>
          </w14:textFill>
        </w:rPr>
        <w:t>最大</w:t>
      </w:r>
      <w:r>
        <w:rPr>
          <w:color w:val="000000" w:themeColor="text1"/>
          <w:sz w:val="24"/>
          <w:szCs w:val="21"/>
          <w14:textFill>
            <w14:solidFill>
              <w14:schemeClr w14:val="tx1"/>
            </w14:solidFill>
          </w14:textFill>
        </w:rPr>
        <w:t>压力</w:t>
      </w:r>
      <w:r>
        <w:rPr>
          <w:rFonts w:hint="eastAsia"/>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5</w:t>
      </w:r>
      <w:r>
        <w:rPr>
          <w:rFonts w:hint="eastAsia"/>
          <w:color w:val="000000" w:themeColor="text1"/>
          <w:sz w:val="24"/>
          <w:szCs w:val="21"/>
          <w14:textFill>
            <w14:solidFill>
              <w14:schemeClr w14:val="tx1"/>
            </w14:solidFill>
          </w14:textFill>
        </w:rPr>
        <w:t>0</w:t>
      </w:r>
      <w:r>
        <w:rPr>
          <w:color w:val="000000" w:themeColor="text1"/>
          <w:sz w:val="24"/>
          <w:szCs w:val="21"/>
          <w14:textFill>
            <w14:solidFill>
              <w14:schemeClr w14:val="tx1"/>
            </w14:solidFill>
          </w14:textFill>
        </w:rPr>
        <w:t xml:space="preserve"> kgf </w:t>
      </w:r>
      <w:r>
        <w:rPr>
          <w:rFonts w:hint="eastAsia"/>
          <w:color w:val="000000" w:themeColor="text1"/>
          <w:sz w:val="24"/>
          <w:szCs w:val="21"/>
          <w14:textFill>
            <w14:solidFill>
              <w14:schemeClr w14:val="tx1"/>
            </w14:solidFill>
          </w14:textFill>
        </w:rPr>
        <w:t>，抛光头压力连续可调；</w:t>
      </w:r>
    </w:p>
    <w:p w14:paraId="2DD454FA">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b w:val="0"/>
          <w:bCs w:val="0"/>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3.4.3 粗糙度：抛光</w:t>
      </w:r>
      <w:r>
        <w:rPr>
          <w:color w:val="000000" w:themeColor="text1"/>
          <w:sz w:val="24"/>
          <w:szCs w:val="21"/>
          <w14:textFill>
            <w14:solidFill>
              <w14:schemeClr w14:val="tx1"/>
            </w14:solidFill>
          </w14:textFill>
        </w:rPr>
        <w:t>4</w:t>
      </w:r>
      <w:r>
        <w:rPr>
          <w:rFonts w:hint="eastAsia"/>
          <w:color w:val="000000" w:themeColor="text1"/>
          <w:sz w:val="24"/>
          <w:szCs w:val="21"/>
          <w14:textFill>
            <w14:solidFill>
              <w14:schemeClr w14:val="tx1"/>
            </w14:solidFill>
          </w14:textFill>
        </w:rPr>
        <w:t>英寸单晶或者多晶金刚石，Ra≤5nm；需提供检测报告。</w:t>
      </w:r>
    </w:p>
    <w:p w14:paraId="1F3CE684">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3.4.4 单晶或者多晶金刚石最大可加工尺寸≥6英寸；需提供检测报告。</w:t>
      </w:r>
    </w:p>
    <w:p w14:paraId="11FD5859">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3.4.5 抛光效率：抛光</w:t>
      </w:r>
      <w:r>
        <w:rPr>
          <w:color w:val="000000" w:themeColor="text1"/>
          <w:sz w:val="24"/>
          <w:szCs w:val="21"/>
          <w14:textFill>
            <w14:solidFill>
              <w14:schemeClr w14:val="tx1"/>
            </w14:solidFill>
          </w14:textFill>
        </w:rPr>
        <w:t xml:space="preserve"> 4</w:t>
      </w:r>
      <w:r>
        <w:rPr>
          <w:rFonts w:hint="eastAsia"/>
          <w:color w:val="000000" w:themeColor="text1"/>
          <w:sz w:val="24"/>
          <w:szCs w:val="21"/>
          <w14:textFill>
            <w14:solidFill>
              <w14:schemeClr w14:val="tx1"/>
            </w14:solidFill>
          </w14:textFill>
        </w:rPr>
        <w:t>英寸单晶或者多晶金刚石≤24hrs/面；需提供检测报告。</w:t>
      </w:r>
    </w:p>
    <w:p w14:paraId="09AB04D2">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szCs w:val="21"/>
          <w14:textFill>
            <w14:solidFill>
              <w14:schemeClr w14:val="tx1"/>
            </w14:solidFill>
          </w14:textFill>
        </w:rPr>
        <w:t>3.4.6 总厚度偏差：抛光</w:t>
      </w:r>
      <w:r>
        <w:rPr>
          <w:color w:val="000000" w:themeColor="text1"/>
          <w:sz w:val="24"/>
          <w:szCs w:val="21"/>
          <w14:textFill>
            <w14:solidFill>
              <w14:schemeClr w14:val="tx1"/>
            </w14:solidFill>
          </w14:textFill>
        </w:rPr>
        <w:t xml:space="preserve"> 4</w:t>
      </w:r>
      <w:r>
        <w:rPr>
          <w:rFonts w:hint="eastAsia"/>
          <w:color w:val="000000" w:themeColor="text1"/>
          <w:sz w:val="24"/>
          <w:szCs w:val="21"/>
          <w14:textFill>
            <w14:solidFill>
              <w14:schemeClr w14:val="tx1"/>
            </w14:solidFill>
          </w14:textFill>
        </w:rPr>
        <w:t>英寸单晶或者多晶金刚石，TTV≤10um；需提供检测报告。</w:t>
      </w:r>
    </w:p>
    <w:p w14:paraId="7A898CD7">
      <w:pPr>
        <w:adjustRightInd w:val="0"/>
        <w:snapToGrid w:val="0"/>
        <w:spacing w:before="62" w:beforeLines="20" w:after="62" w:afterLines="20" w:line="360" w:lineRule="auto"/>
        <w:rPr>
          <w:b/>
          <w:bCs/>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3.4.7 冷却系统：抛光头冷却，抛光盘冷却；</w:t>
      </w:r>
    </w:p>
    <w:p w14:paraId="243C506A">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3.4.8 晶圆固定方式：真空吸附或机械固定；</w:t>
      </w:r>
    </w:p>
    <w:p w14:paraId="4A937371">
      <w:pPr>
        <w:adjustRightInd w:val="0"/>
        <w:snapToGrid w:val="0"/>
        <w:spacing w:before="62" w:beforeLines="20" w:after="62" w:afterLines="20" w:line="360" w:lineRule="auto"/>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3.4.9 柔性加压：柔性加压，加工过程中压力均匀；</w:t>
      </w:r>
    </w:p>
    <w:p w14:paraId="54FD35F3">
      <w:pPr>
        <w:adjustRightInd w:val="0"/>
        <w:snapToGrid w:val="0"/>
        <w:spacing w:before="62" w:beforeLines="20" w:after="62" w:afterLines="20" w:line="360" w:lineRule="auto"/>
        <w:ind w:firstLine="480" w:firstLineChars="200"/>
        <w:rPr>
          <w:rFonts w:hint="eastAsia"/>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注：投标公司应提供由具备相关检测资质（CMA或者CNAS）的第三方检测机构出具的采用与标的设备相同或者类似型号的设备加工的金刚石样品（单晶尺寸不小于20mm</w:t>
      </w:r>
      <w:r>
        <w:rPr>
          <w:rFonts w:hint="eastAsia"/>
          <w:color w:val="000000" w:themeColor="text1"/>
          <w:sz w:val="24"/>
          <w:szCs w:val="21"/>
          <w14:textFill>
            <w14:solidFill>
              <w14:schemeClr w14:val="tx1"/>
            </w14:solidFill>
          </w14:textFill>
        </w:rPr>
        <w:sym w:font="Wingdings 2" w:char="F0CD"/>
      </w:r>
      <w:r>
        <w:rPr>
          <w:rFonts w:hint="eastAsia"/>
          <w:color w:val="000000" w:themeColor="text1"/>
          <w:sz w:val="24"/>
          <w:szCs w:val="21"/>
          <w14:textFill>
            <w14:solidFill>
              <w14:schemeClr w14:val="tx1"/>
            </w14:solidFill>
          </w14:textFill>
        </w:rPr>
        <w:t>20 mm，多晶不小于4英寸）检测报告，样品检测报告需包含样品材料（是否为金刚石），尺寸，总厚度变化，表面粗糙度等信息。</w:t>
      </w:r>
    </w:p>
    <w:p w14:paraId="2F7FED39">
      <w:pPr>
        <w:tabs>
          <w:tab w:val="left" w:pos="540"/>
        </w:tabs>
        <w:adjustRightInd w:val="0"/>
        <w:snapToGrid w:val="0"/>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color w:val="000000" w:themeColor="text1"/>
          <w:sz w:val="24"/>
          <w14:textFill>
            <w14:solidFill>
              <w14:schemeClr w14:val="tx1"/>
            </w14:solidFill>
          </w14:textFill>
        </w:rPr>
        <w:t xml:space="preserve"> </w:t>
      </w:r>
      <w:r>
        <w:rPr>
          <w:b/>
          <w:color w:val="000000" w:themeColor="text1"/>
          <w:sz w:val="24"/>
          <w14:textFill>
            <w14:solidFill>
              <w14:schemeClr w14:val="tx1"/>
            </w14:solidFill>
          </w14:textFill>
        </w:rPr>
        <w:t>产品配置要求</w:t>
      </w:r>
    </w:p>
    <w:p w14:paraId="2EB4FB37">
      <w:pPr>
        <w:tabs>
          <w:tab w:val="left" w:pos="540"/>
        </w:tabs>
        <w:adjustRightInd w:val="0"/>
        <w:snapToGrid w:val="0"/>
        <w:spacing w:line="360" w:lineRule="auto"/>
        <w:rPr>
          <w:b/>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一体化金刚石磨抛设备，1套</w:t>
      </w:r>
      <w:r>
        <w:rPr>
          <w:b/>
          <w:color w:val="000000" w:themeColor="text1"/>
          <w:sz w:val="24"/>
          <w14:textFill>
            <w14:solidFill>
              <w14:schemeClr w14:val="tx1"/>
            </w14:solidFill>
          </w14:textFill>
        </w:rPr>
        <w:br w:type="textWrapping"/>
      </w:r>
    </w:p>
    <w:p w14:paraId="158B2390">
      <w:pPr>
        <w:tabs>
          <w:tab w:val="left" w:pos="540"/>
        </w:tabs>
        <w:adjustRightInd w:val="0"/>
        <w:snapToGrid w:val="0"/>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5. 选购附件、备件及消耗品</w:t>
      </w:r>
    </w:p>
    <w:p w14:paraId="15E009E2">
      <w:pPr>
        <w:adjustRightInd w:val="0"/>
        <w:snapToGrid w:val="0"/>
        <w:spacing w:line="360" w:lineRule="auto"/>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5.1 投标人推荐的其它选件。</w:t>
      </w:r>
    </w:p>
    <w:p w14:paraId="200AF407">
      <w:pPr>
        <w:adjustRightInd w:val="0"/>
        <w:snapToGrid w:val="0"/>
        <w:spacing w:line="360" w:lineRule="auto"/>
        <w:rPr>
          <w:color w:val="000000" w:themeColor="text1"/>
          <w:kern w:val="0"/>
          <w:sz w:val="24"/>
          <w14:textFill>
            <w14:solidFill>
              <w14:schemeClr w14:val="tx1"/>
            </w14:solidFill>
          </w14:textFill>
        </w:rPr>
      </w:pPr>
    </w:p>
    <w:p w14:paraId="2F61227F">
      <w:pPr>
        <w:tabs>
          <w:tab w:val="left" w:pos="540"/>
        </w:tabs>
        <w:adjustRightInd w:val="0"/>
        <w:snapToGrid w:val="0"/>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6. 技术文件：</w:t>
      </w:r>
    </w:p>
    <w:p w14:paraId="5678DFB0">
      <w:pPr>
        <w:adjustRightInd w:val="0"/>
        <w:snapToGrid w:val="0"/>
        <w:spacing w:line="360" w:lineRule="auto"/>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6.1 投标人应提供设备电子版说明书。</w:t>
      </w:r>
    </w:p>
    <w:p w14:paraId="5F5C7558">
      <w:pPr>
        <w:adjustRightInd w:val="0"/>
        <w:snapToGrid w:val="0"/>
        <w:spacing w:line="360" w:lineRule="auto"/>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6.2 投标人应提供设备使用软件的备份。</w:t>
      </w:r>
    </w:p>
    <w:p w14:paraId="2513DD39">
      <w:pPr>
        <w:adjustRightInd w:val="0"/>
        <w:snapToGrid w:val="0"/>
        <w:spacing w:line="360" w:lineRule="auto"/>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6.3 提供电子版操作手册。</w:t>
      </w:r>
    </w:p>
    <w:p w14:paraId="5AF1AD42">
      <w:pPr>
        <w:spacing w:line="360" w:lineRule="auto"/>
        <w:rPr>
          <w:b/>
          <w:color w:val="000000" w:themeColor="text1"/>
          <w:sz w:val="24"/>
          <w14:textFill>
            <w14:solidFill>
              <w14:schemeClr w14:val="tx1"/>
            </w14:solidFill>
          </w14:textFill>
        </w:rPr>
      </w:pPr>
    </w:p>
    <w:p w14:paraId="67A13F4F">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（二）质保及售后服务：</w:t>
      </w:r>
    </w:p>
    <w:p w14:paraId="528781C8">
      <w:pPr>
        <w:spacing w:line="360" w:lineRule="auto"/>
        <w:rPr>
          <w:rFonts w:cs="Arial"/>
          <w:color w:val="000000" w:themeColor="text1"/>
          <w:sz w:val="24"/>
          <w14:textFill>
            <w14:solidFill>
              <w14:schemeClr w14:val="tx1"/>
            </w14:solidFill>
          </w14:textFill>
        </w:rPr>
      </w:pPr>
      <w:r>
        <w:rPr>
          <w:rFonts w:hint="eastAsia" w:cs="Arial"/>
          <w:color w:val="000000" w:themeColor="text1"/>
          <w:sz w:val="24"/>
          <w14:textFill>
            <w14:solidFill>
              <w14:schemeClr w14:val="tx1"/>
            </w14:solidFill>
          </w14:textFill>
        </w:rPr>
        <w:t>1技术保障：货物供应商应有同型号仪器供测试样品，方便、快捷的进行技术对比。</w:t>
      </w:r>
    </w:p>
    <w:p w14:paraId="7F6F9328">
      <w:pPr>
        <w:spacing w:line="360" w:lineRule="auto"/>
        <w:rPr>
          <w:rFonts w:cs="Arial"/>
          <w:color w:val="000000" w:themeColor="text1"/>
          <w:sz w:val="24"/>
          <w14:textFill>
            <w14:solidFill>
              <w14:schemeClr w14:val="tx1"/>
            </w14:solidFill>
          </w14:textFill>
        </w:rPr>
      </w:pPr>
      <w:r>
        <w:rPr>
          <w:rFonts w:hint="eastAsia" w:cs="Arial"/>
          <w:color w:val="000000" w:themeColor="text1"/>
          <w:sz w:val="24"/>
          <w14:textFill>
            <w14:solidFill>
              <w14:schemeClr w14:val="tx1"/>
            </w14:solidFill>
          </w14:textFill>
        </w:rPr>
        <w:t>2安装、调试保证：收到用户安装仪器通知后, 在两周之内, 厂方安排安装工程师前往现场免费安装调试仪器，时间约为3天。仪器安装后，仪器公司应在5日之内安排安装工程师为用户提供现场培训。仪器使用4-8周后，仪器公司应再派应用工程师提供现场解决疑难问题，所有费用由公司承担。</w:t>
      </w:r>
    </w:p>
    <w:p w14:paraId="2C88E260">
      <w:pPr>
        <w:spacing w:line="360" w:lineRule="auto"/>
        <w:rPr>
          <w:rFonts w:cs="Arial"/>
          <w:color w:val="000000" w:themeColor="text1"/>
          <w:sz w:val="24"/>
          <w14:textFill>
            <w14:solidFill>
              <w14:schemeClr w14:val="tx1"/>
            </w14:solidFill>
          </w14:textFill>
        </w:rPr>
      </w:pPr>
      <w:r>
        <w:rPr>
          <w:rFonts w:hint="eastAsia" w:cs="Arial"/>
          <w:color w:val="000000" w:themeColor="text1"/>
          <w:sz w:val="24"/>
          <w14:textFill>
            <w14:solidFill>
              <w14:schemeClr w14:val="tx1"/>
            </w14:solidFill>
          </w14:textFill>
        </w:rPr>
        <w:t>3培训：</w:t>
      </w:r>
    </w:p>
    <w:p w14:paraId="1A73F4B3">
      <w:pPr>
        <w:spacing w:line="360" w:lineRule="auto"/>
        <w:rPr>
          <w:rFonts w:cs="Arial"/>
          <w:color w:val="000000" w:themeColor="text1"/>
          <w:sz w:val="24"/>
          <w14:textFill>
            <w14:solidFill>
              <w14:schemeClr w14:val="tx1"/>
            </w14:solidFill>
          </w14:textFill>
        </w:rPr>
      </w:pPr>
      <w:r>
        <w:rPr>
          <w:rFonts w:hint="eastAsia" w:cs="Arial"/>
          <w:color w:val="000000" w:themeColor="text1"/>
          <w:sz w:val="24"/>
          <w14:textFill>
            <w14:solidFill>
              <w14:schemeClr w14:val="tx1"/>
            </w14:solidFill>
          </w14:textFill>
        </w:rPr>
        <w:t>3.1在用户现场进行安装调试时，进行现场进一步培训。</w:t>
      </w:r>
    </w:p>
    <w:p w14:paraId="2F60CBFF">
      <w:pPr>
        <w:spacing w:line="360" w:lineRule="auto"/>
        <w:rPr>
          <w:rFonts w:cs="Arial"/>
          <w:color w:val="000000" w:themeColor="text1"/>
          <w:sz w:val="24"/>
          <w14:textFill>
            <w14:solidFill>
              <w14:schemeClr w14:val="tx1"/>
            </w14:solidFill>
          </w14:textFill>
        </w:rPr>
      </w:pPr>
      <w:r>
        <w:rPr>
          <w:rFonts w:hint="eastAsia" w:cs="Arial"/>
          <w:color w:val="000000" w:themeColor="text1"/>
          <w:sz w:val="24"/>
          <w14:textFill>
            <w14:solidFill>
              <w14:schemeClr w14:val="tx1"/>
            </w14:solidFill>
          </w14:textFill>
        </w:rPr>
        <w:t>3.2在仪器安装调试结束后，供应商免费为用户提供多次的培训班。不计次数,免培训费,名额2人/次。</w:t>
      </w:r>
    </w:p>
    <w:p w14:paraId="3F0ABF9B">
      <w:pPr>
        <w:spacing w:line="360" w:lineRule="auto"/>
        <w:rPr>
          <w:rFonts w:cs="Arial"/>
          <w:color w:val="000000" w:themeColor="text1"/>
          <w:sz w:val="24"/>
          <w14:textFill>
            <w14:solidFill>
              <w14:schemeClr w14:val="tx1"/>
            </w14:solidFill>
          </w14:textFill>
        </w:rPr>
      </w:pPr>
      <w:r>
        <w:rPr>
          <w:rFonts w:hint="eastAsia" w:cs="Arial"/>
          <w:color w:val="000000" w:themeColor="text1"/>
          <w:sz w:val="24"/>
          <w14:textFill>
            <w14:solidFill>
              <w14:schemeClr w14:val="tx1"/>
            </w14:solidFill>
          </w14:textFill>
        </w:rPr>
        <w:t>3.3免费提供配套的调试工具和其他专用工具，提供全套仪器操作说明书。</w:t>
      </w:r>
    </w:p>
    <w:p w14:paraId="1F66B440">
      <w:pPr>
        <w:spacing w:line="360" w:lineRule="auto"/>
        <w:rPr>
          <w:rFonts w:hint="eastAsia" w:ascii="宋体" w:hAnsi="宋体"/>
          <w:b/>
          <w:color w:val="000000" w:themeColor="text1"/>
          <w:sz w:val="24"/>
          <w14:textFill>
            <w14:solidFill>
              <w14:schemeClr w14:val="tx1"/>
            </w14:solidFill>
          </w14:textFill>
        </w:rPr>
      </w:pPr>
      <w:r>
        <w:rPr>
          <w:rFonts w:hint="eastAsia" w:cs="Arial"/>
          <w:color w:val="000000" w:themeColor="text1"/>
          <w:sz w:val="24"/>
          <w14:textFill>
            <w14:solidFill>
              <w14:schemeClr w14:val="tx1"/>
            </w14:solidFill>
          </w14:textFill>
        </w:rPr>
        <w:t>4保修期：仪器整机质保期3年。</w:t>
      </w:r>
    </w:p>
    <w:p w14:paraId="359E0CF8">
      <w:pPr>
        <w:spacing w:line="360" w:lineRule="auto"/>
        <w:rPr>
          <w:color w:val="000000" w:themeColor="text1"/>
          <w:sz w:val="24"/>
          <w14:textFill>
            <w14:solidFill>
              <w14:schemeClr w14:val="tx1"/>
            </w14:solidFill>
          </w14:textFill>
        </w:rPr>
      </w:pPr>
    </w:p>
    <w:p w14:paraId="1E62328B">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（三） 订货数量：</w:t>
      </w:r>
    </w:p>
    <w:p w14:paraId="037E9165">
      <w:pPr>
        <w:spacing w:line="360" w:lineRule="auto"/>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一体化金刚石磨抛设备，1套。</w:t>
      </w:r>
    </w:p>
    <w:p w14:paraId="2E62A7F2">
      <w:pPr>
        <w:spacing w:line="360" w:lineRule="auto"/>
        <w:rPr>
          <w:color w:val="000000" w:themeColor="text1"/>
          <w:sz w:val="24"/>
          <w14:textFill>
            <w14:solidFill>
              <w14:schemeClr w14:val="tx1"/>
            </w14:solidFill>
          </w14:textFill>
        </w:rPr>
      </w:pPr>
    </w:p>
    <w:p w14:paraId="23730EF0">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（四）交货日期：</w:t>
      </w:r>
    </w:p>
    <w:p w14:paraId="451B492C">
      <w:pPr>
        <w:spacing w:line="360" w:lineRule="auto"/>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合同生效后2个月内。</w:t>
      </w:r>
    </w:p>
    <w:p w14:paraId="1EA605C8">
      <w:pPr>
        <w:spacing w:line="360" w:lineRule="auto"/>
        <w:rPr>
          <w:color w:val="000000" w:themeColor="text1"/>
          <w:sz w:val="24"/>
          <w14:textFill>
            <w14:solidFill>
              <w14:schemeClr w14:val="tx1"/>
            </w14:solidFill>
          </w14:textFill>
        </w:rPr>
      </w:pPr>
    </w:p>
    <w:p w14:paraId="14A4AB55">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（五）交货地点（项目现场）：</w:t>
      </w:r>
    </w:p>
    <w:p w14:paraId="4A69881A">
      <w:pPr>
        <w:spacing w:line="360" w:lineRule="auto"/>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中国科学院福建物质结构研究所指定实验室</w:t>
      </w:r>
    </w:p>
    <w:p w14:paraId="21665964">
      <w:pPr>
        <w:spacing w:line="360" w:lineRule="auto"/>
        <w:ind w:firstLine="480" w:firstLineChars="200"/>
        <w:rPr>
          <w:color w:val="000000" w:themeColor="text1"/>
          <w:sz w:val="24"/>
          <w14:textFill>
            <w14:solidFill>
              <w14:schemeClr w14:val="tx1"/>
            </w14:solidFill>
          </w14:textFill>
        </w:rPr>
      </w:pPr>
    </w:p>
    <w:p w14:paraId="6D38D553">
      <w:pPr>
        <w:spacing w:line="360" w:lineRule="auto"/>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（六）付款方式： </w:t>
      </w:r>
      <w:r>
        <w:rPr>
          <w:rFonts w:hint="eastAsia"/>
          <w:color w:val="000000" w:themeColor="text1"/>
          <w:sz w:val="24"/>
          <w14:textFill>
            <w14:solidFill>
              <w14:schemeClr w14:val="tx1"/>
            </w14:solidFill>
          </w14:textFill>
        </w:rPr>
        <w:t xml:space="preserve">                                        </w:t>
      </w:r>
    </w:p>
    <w:p w14:paraId="2A4549FB">
      <w:pPr>
        <w:spacing w:line="360" w:lineRule="auto"/>
        <w:ind w:firstLine="420"/>
        <w:rPr>
          <w:rFonts w:hint="eastAsia" w:ascii="宋体" w:hAnsi="宋体"/>
          <w:b/>
          <w:color w:val="000000" w:themeColor="text1"/>
          <w:sz w:val="30"/>
          <w:szCs w:val="30"/>
          <w14:textFill>
            <w14:solidFill>
              <w14:schemeClr w14:val="tx1"/>
            </w14:solidFill>
          </w14:textFill>
        </w:rPr>
      </w:pPr>
      <w:r>
        <w:rPr>
          <w:rFonts w:hint="eastAsia"/>
          <w:color w:val="000000" w:themeColor="text1"/>
          <w:sz w:val="24"/>
          <w14:textFill>
            <w14:solidFill>
              <w14:schemeClr w14:val="tx1"/>
            </w14:solidFill>
          </w14:textFill>
        </w:rPr>
        <w:t>国产产品，100%凭用户代表签字并加盖单位公章后的验收报告支付。</w:t>
      </w: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74FEF">
    <w:pPr>
      <w:pStyle w:val="25"/>
      <w:jc w:val="center"/>
    </w:pPr>
    <w:r>
      <w:fldChar w:fldCharType="begin"/>
    </w:r>
    <w:r>
      <w:instrText xml:space="preserve">PAGE   \* MERGEFORMAT</w:instrText>
    </w:r>
    <w:r>
      <w:fldChar w:fldCharType="separate"/>
    </w:r>
    <w:r>
      <w:rPr>
        <w:lang w:val="zh-CN"/>
      </w:rPr>
      <w:t>80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F43B6">
    <w:pPr>
      <w:pStyle w:val="25"/>
      <w:jc w:val="center"/>
    </w:pPr>
    <w:r>
      <w:fldChar w:fldCharType="begin"/>
    </w:r>
    <w:r>
      <w:instrText xml:space="preserve">PAGE   \* MERGEFORMAT</w:instrText>
    </w:r>
    <w:r>
      <w:fldChar w:fldCharType="separate"/>
    </w:r>
    <w:r>
      <w:rPr>
        <w:lang w:val="zh-CN"/>
      </w:rPr>
      <w:t>58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354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27C8D"/>
    <w:rsid w:val="000313C2"/>
    <w:rsid w:val="00040005"/>
    <w:rsid w:val="000543E7"/>
    <w:rsid w:val="0006010D"/>
    <w:rsid w:val="00060F7A"/>
    <w:rsid w:val="00061B59"/>
    <w:rsid w:val="000668DC"/>
    <w:rsid w:val="00081ADD"/>
    <w:rsid w:val="000969BB"/>
    <w:rsid w:val="000973D2"/>
    <w:rsid w:val="000A0E03"/>
    <w:rsid w:val="000B12EC"/>
    <w:rsid w:val="000B636A"/>
    <w:rsid w:val="000C1F98"/>
    <w:rsid w:val="000C325D"/>
    <w:rsid w:val="000C505C"/>
    <w:rsid w:val="000D1A3C"/>
    <w:rsid w:val="000D24C4"/>
    <w:rsid w:val="000E0B0C"/>
    <w:rsid w:val="000E17D4"/>
    <w:rsid w:val="000E2D17"/>
    <w:rsid w:val="000E4DA9"/>
    <w:rsid w:val="000F0512"/>
    <w:rsid w:val="000F4571"/>
    <w:rsid w:val="00101384"/>
    <w:rsid w:val="00103352"/>
    <w:rsid w:val="00105333"/>
    <w:rsid w:val="00107AF4"/>
    <w:rsid w:val="001140D0"/>
    <w:rsid w:val="001235CA"/>
    <w:rsid w:val="00137D93"/>
    <w:rsid w:val="001437EA"/>
    <w:rsid w:val="001444BD"/>
    <w:rsid w:val="00144505"/>
    <w:rsid w:val="00144DDA"/>
    <w:rsid w:val="00145B04"/>
    <w:rsid w:val="0014761F"/>
    <w:rsid w:val="001509D9"/>
    <w:rsid w:val="00153F11"/>
    <w:rsid w:val="00154F47"/>
    <w:rsid w:val="00155A34"/>
    <w:rsid w:val="0016297B"/>
    <w:rsid w:val="00164E27"/>
    <w:rsid w:val="001921CA"/>
    <w:rsid w:val="00194900"/>
    <w:rsid w:val="001A0E56"/>
    <w:rsid w:val="001A6E63"/>
    <w:rsid w:val="001B195C"/>
    <w:rsid w:val="001B30E7"/>
    <w:rsid w:val="001B62CC"/>
    <w:rsid w:val="001B66E1"/>
    <w:rsid w:val="001B6E57"/>
    <w:rsid w:val="001D7301"/>
    <w:rsid w:val="001E1467"/>
    <w:rsid w:val="001E152C"/>
    <w:rsid w:val="001E3480"/>
    <w:rsid w:val="001F18B7"/>
    <w:rsid w:val="001F1D2B"/>
    <w:rsid w:val="001F5FAD"/>
    <w:rsid w:val="001F79B6"/>
    <w:rsid w:val="002024C7"/>
    <w:rsid w:val="00206639"/>
    <w:rsid w:val="0021259E"/>
    <w:rsid w:val="00213C28"/>
    <w:rsid w:val="00216E61"/>
    <w:rsid w:val="00224FE7"/>
    <w:rsid w:val="00233C8A"/>
    <w:rsid w:val="00240E7B"/>
    <w:rsid w:val="00247ED0"/>
    <w:rsid w:val="00251DB7"/>
    <w:rsid w:val="002672D1"/>
    <w:rsid w:val="00275598"/>
    <w:rsid w:val="002761A3"/>
    <w:rsid w:val="0028124D"/>
    <w:rsid w:val="00282A80"/>
    <w:rsid w:val="00282F14"/>
    <w:rsid w:val="00292E0B"/>
    <w:rsid w:val="002B44BD"/>
    <w:rsid w:val="002B6E7A"/>
    <w:rsid w:val="002B7380"/>
    <w:rsid w:val="002C47B5"/>
    <w:rsid w:val="002D5C47"/>
    <w:rsid w:val="002E03AA"/>
    <w:rsid w:val="002E36D0"/>
    <w:rsid w:val="002E6A76"/>
    <w:rsid w:val="002F1704"/>
    <w:rsid w:val="002F6DE0"/>
    <w:rsid w:val="002F6FCA"/>
    <w:rsid w:val="002F7EF8"/>
    <w:rsid w:val="00301191"/>
    <w:rsid w:val="00321486"/>
    <w:rsid w:val="00322611"/>
    <w:rsid w:val="003248D5"/>
    <w:rsid w:val="00326D72"/>
    <w:rsid w:val="0033189B"/>
    <w:rsid w:val="003442AE"/>
    <w:rsid w:val="0034443A"/>
    <w:rsid w:val="003474B8"/>
    <w:rsid w:val="00353E66"/>
    <w:rsid w:val="00357C16"/>
    <w:rsid w:val="003637C6"/>
    <w:rsid w:val="003732CC"/>
    <w:rsid w:val="00373B63"/>
    <w:rsid w:val="00374F9A"/>
    <w:rsid w:val="00382C0C"/>
    <w:rsid w:val="00396F19"/>
    <w:rsid w:val="00397F24"/>
    <w:rsid w:val="003A298A"/>
    <w:rsid w:val="003B4F45"/>
    <w:rsid w:val="003B5D24"/>
    <w:rsid w:val="003B6193"/>
    <w:rsid w:val="003C172D"/>
    <w:rsid w:val="003C7092"/>
    <w:rsid w:val="003C785A"/>
    <w:rsid w:val="003D2B81"/>
    <w:rsid w:val="003F5F7A"/>
    <w:rsid w:val="004043A2"/>
    <w:rsid w:val="00404EA5"/>
    <w:rsid w:val="00415144"/>
    <w:rsid w:val="00420D92"/>
    <w:rsid w:val="0042297A"/>
    <w:rsid w:val="00423A0E"/>
    <w:rsid w:val="004362C7"/>
    <w:rsid w:val="0044106E"/>
    <w:rsid w:val="00446E68"/>
    <w:rsid w:val="00447503"/>
    <w:rsid w:val="00457522"/>
    <w:rsid w:val="0046038A"/>
    <w:rsid w:val="00471176"/>
    <w:rsid w:val="00484FF8"/>
    <w:rsid w:val="004A0EB1"/>
    <w:rsid w:val="004A3B49"/>
    <w:rsid w:val="004A5C14"/>
    <w:rsid w:val="004B3476"/>
    <w:rsid w:val="004B36B8"/>
    <w:rsid w:val="004C387C"/>
    <w:rsid w:val="004D00FB"/>
    <w:rsid w:val="004D0AB9"/>
    <w:rsid w:val="004E042A"/>
    <w:rsid w:val="004E4504"/>
    <w:rsid w:val="004F0FDE"/>
    <w:rsid w:val="004F3E07"/>
    <w:rsid w:val="00504FD3"/>
    <w:rsid w:val="00512882"/>
    <w:rsid w:val="005143FF"/>
    <w:rsid w:val="00516FEB"/>
    <w:rsid w:val="005244F5"/>
    <w:rsid w:val="00524665"/>
    <w:rsid w:val="00543C0A"/>
    <w:rsid w:val="0054699B"/>
    <w:rsid w:val="00550FAD"/>
    <w:rsid w:val="005515EB"/>
    <w:rsid w:val="0055226E"/>
    <w:rsid w:val="00552E7C"/>
    <w:rsid w:val="00554D1C"/>
    <w:rsid w:val="005601D0"/>
    <w:rsid w:val="005613B2"/>
    <w:rsid w:val="0056304A"/>
    <w:rsid w:val="00567C6F"/>
    <w:rsid w:val="0057066D"/>
    <w:rsid w:val="00572671"/>
    <w:rsid w:val="00591688"/>
    <w:rsid w:val="005916DF"/>
    <w:rsid w:val="00595627"/>
    <w:rsid w:val="00595D3F"/>
    <w:rsid w:val="00595EAC"/>
    <w:rsid w:val="005A2F5B"/>
    <w:rsid w:val="005A52D6"/>
    <w:rsid w:val="005C574A"/>
    <w:rsid w:val="005D09A0"/>
    <w:rsid w:val="005D479D"/>
    <w:rsid w:val="005E416B"/>
    <w:rsid w:val="005E753A"/>
    <w:rsid w:val="005E7A21"/>
    <w:rsid w:val="005F24B2"/>
    <w:rsid w:val="0060103A"/>
    <w:rsid w:val="00602911"/>
    <w:rsid w:val="00602A7A"/>
    <w:rsid w:val="0060509A"/>
    <w:rsid w:val="006125F5"/>
    <w:rsid w:val="00612A9B"/>
    <w:rsid w:val="00614D00"/>
    <w:rsid w:val="006225E2"/>
    <w:rsid w:val="0062676A"/>
    <w:rsid w:val="00640DB1"/>
    <w:rsid w:val="006416E9"/>
    <w:rsid w:val="0064545D"/>
    <w:rsid w:val="00646C82"/>
    <w:rsid w:val="00647CD5"/>
    <w:rsid w:val="006548A6"/>
    <w:rsid w:val="00655478"/>
    <w:rsid w:val="00664D7F"/>
    <w:rsid w:val="00673641"/>
    <w:rsid w:val="00683319"/>
    <w:rsid w:val="006858B6"/>
    <w:rsid w:val="0069730F"/>
    <w:rsid w:val="006A377B"/>
    <w:rsid w:val="006A520E"/>
    <w:rsid w:val="006A7299"/>
    <w:rsid w:val="006B0930"/>
    <w:rsid w:val="006C4384"/>
    <w:rsid w:val="006C5135"/>
    <w:rsid w:val="006C546E"/>
    <w:rsid w:val="006D29F2"/>
    <w:rsid w:val="006E2DE0"/>
    <w:rsid w:val="006E5A8E"/>
    <w:rsid w:val="0070081C"/>
    <w:rsid w:val="00701751"/>
    <w:rsid w:val="007114DF"/>
    <w:rsid w:val="0071653B"/>
    <w:rsid w:val="00721985"/>
    <w:rsid w:val="00724C84"/>
    <w:rsid w:val="007252A8"/>
    <w:rsid w:val="00725C0A"/>
    <w:rsid w:val="0073119D"/>
    <w:rsid w:val="0073199C"/>
    <w:rsid w:val="0073213D"/>
    <w:rsid w:val="007376B0"/>
    <w:rsid w:val="00740508"/>
    <w:rsid w:val="00743776"/>
    <w:rsid w:val="00751428"/>
    <w:rsid w:val="0075674B"/>
    <w:rsid w:val="00761F2B"/>
    <w:rsid w:val="00762E43"/>
    <w:rsid w:val="00763B74"/>
    <w:rsid w:val="007731D0"/>
    <w:rsid w:val="00775B16"/>
    <w:rsid w:val="00785A0A"/>
    <w:rsid w:val="00787CED"/>
    <w:rsid w:val="007967F8"/>
    <w:rsid w:val="007A3772"/>
    <w:rsid w:val="007C2696"/>
    <w:rsid w:val="007C4C31"/>
    <w:rsid w:val="007C5EA5"/>
    <w:rsid w:val="007D381E"/>
    <w:rsid w:val="007D3EE2"/>
    <w:rsid w:val="007E03CA"/>
    <w:rsid w:val="007E6193"/>
    <w:rsid w:val="007F2F97"/>
    <w:rsid w:val="007F387D"/>
    <w:rsid w:val="007F6A07"/>
    <w:rsid w:val="007F7152"/>
    <w:rsid w:val="008203E6"/>
    <w:rsid w:val="00822633"/>
    <w:rsid w:val="00830107"/>
    <w:rsid w:val="00831B02"/>
    <w:rsid w:val="00833174"/>
    <w:rsid w:val="00846609"/>
    <w:rsid w:val="00852958"/>
    <w:rsid w:val="0085467F"/>
    <w:rsid w:val="00864F77"/>
    <w:rsid w:val="008661F8"/>
    <w:rsid w:val="008712FA"/>
    <w:rsid w:val="00876AA9"/>
    <w:rsid w:val="00876EFF"/>
    <w:rsid w:val="00882892"/>
    <w:rsid w:val="00883AB2"/>
    <w:rsid w:val="008861B2"/>
    <w:rsid w:val="00887A5A"/>
    <w:rsid w:val="00893750"/>
    <w:rsid w:val="00896377"/>
    <w:rsid w:val="008A09F5"/>
    <w:rsid w:val="008A4B18"/>
    <w:rsid w:val="008A5FE4"/>
    <w:rsid w:val="008A738C"/>
    <w:rsid w:val="008B2645"/>
    <w:rsid w:val="008C36D3"/>
    <w:rsid w:val="008C41EC"/>
    <w:rsid w:val="008D0675"/>
    <w:rsid w:val="008D1425"/>
    <w:rsid w:val="008D1EC0"/>
    <w:rsid w:val="008D3BC8"/>
    <w:rsid w:val="008D6F23"/>
    <w:rsid w:val="008E2B21"/>
    <w:rsid w:val="008E5EB5"/>
    <w:rsid w:val="008F04C7"/>
    <w:rsid w:val="008F21A5"/>
    <w:rsid w:val="008F2440"/>
    <w:rsid w:val="00907A9A"/>
    <w:rsid w:val="00911168"/>
    <w:rsid w:val="00914619"/>
    <w:rsid w:val="009202C8"/>
    <w:rsid w:val="009246BA"/>
    <w:rsid w:val="00930CDE"/>
    <w:rsid w:val="00935AA1"/>
    <w:rsid w:val="009451DC"/>
    <w:rsid w:val="009467F2"/>
    <w:rsid w:val="0095655E"/>
    <w:rsid w:val="009718ED"/>
    <w:rsid w:val="0097297B"/>
    <w:rsid w:val="0098154C"/>
    <w:rsid w:val="0098549E"/>
    <w:rsid w:val="009857EF"/>
    <w:rsid w:val="009862C5"/>
    <w:rsid w:val="009920E5"/>
    <w:rsid w:val="009941D8"/>
    <w:rsid w:val="009A2C18"/>
    <w:rsid w:val="009C0A0B"/>
    <w:rsid w:val="009C14BD"/>
    <w:rsid w:val="009D1AF8"/>
    <w:rsid w:val="009D32B1"/>
    <w:rsid w:val="009E1C84"/>
    <w:rsid w:val="009E32D4"/>
    <w:rsid w:val="009E4080"/>
    <w:rsid w:val="009E4DCB"/>
    <w:rsid w:val="009E580F"/>
    <w:rsid w:val="009E72E9"/>
    <w:rsid w:val="009F5A6A"/>
    <w:rsid w:val="00A01B3A"/>
    <w:rsid w:val="00A0205F"/>
    <w:rsid w:val="00A03ADE"/>
    <w:rsid w:val="00A04E9D"/>
    <w:rsid w:val="00A06893"/>
    <w:rsid w:val="00A21886"/>
    <w:rsid w:val="00A25682"/>
    <w:rsid w:val="00A2638C"/>
    <w:rsid w:val="00A27417"/>
    <w:rsid w:val="00A27AFD"/>
    <w:rsid w:val="00A354A8"/>
    <w:rsid w:val="00A4031E"/>
    <w:rsid w:val="00A44A2B"/>
    <w:rsid w:val="00A46F60"/>
    <w:rsid w:val="00A53234"/>
    <w:rsid w:val="00A57F47"/>
    <w:rsid w:val="00A75FB4"/>
    <w:rsid w:val="00AA7A0D"/>
    <w:rsid w:val="00AB113B"/>
    <w:rsid w:val="00AD2FD2"/>
    <w:rsid w:val="00AD41E6"/>
    <w:rsid w:val="00AD4ECF"/>
    <w:rsid w:val="00AD70C8"/>
    <w:rsid w:val="00AF6067"/>
    <w:rsid w:val="00AF6CB8"/>
    <w:rsid w:val="00B04039"/>
    <w:rsid w:val="00B07AAD"/>
    <w:rsid w:val="00B15273"/>
    <w:rsid w:val="00B16887"/>
    <w:rsid w:val="00B1746F"/>
    <w:rsid w:val="00B27A2B"/>
    <w:rsid w:val="00B31F00"/>
    <w:rsid w:val="00B351A2"/>
    <w:rsid w:val="00B41959"/>
    <w:rsid w:val="00B42C18"/>
    <w:rsid w:val="00B43CF7"/>
    <w:rsid w:val="00B44327"/>
    <w:rsid w:val="00B53944"/>
    <w:rsid w:val="00B61FDD"/>
    <w:rsid w:val="00B72C56"/>
    <w:rsid w:val="00B758E7"/>
    <w:rsid w:val="00B75B80"/>
    <w:rsid w:val="00B81149"/>
    <w:rsid w:val="00B8672D"/>
    <w:rsid w:val="00B93873"/>
    <w:rsid w:val="00B93C1F"/>
    <w:rsid w:val="00B94FB1"/>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12CF"/>
    <w:rsid w:val="00C23BA4"/>
    <w:rsid w:val="00C241B2"/>
    <w:rsid w:val="00C34485"/>
    <w:rsid w:val="00C40AB3"/>
    <w:rsid w:val="00C43805"/>
    <w:rsid w:val="00C43E24"/>
    <w:rsid w:val="00C45235"/>
    <w:rsid w:val="00C60EF2"/>
    <w:rsid w:val="00C615B2"/>
    <w:rsid w:val="00C702F0"/>
    <w:rsid w:val="00C74553"/>
    <w:rsid w:val="00C8112C"/>
    <w:rsid w:val="00C87EF4"/>
    <w:rsid w:val="00CA623E"/>
    <w:rsid w:val="00CA630F"/>
    <w:rsid w:val="00CB4EB2"/>
    <w:rsid w:val="00CB7A41"/>
    <w:rsid w:val="00CC7A0B"/>
    <w:rsid w:val="00CD0A52"/>
    <w:rsid w:val="00CD0E66"/>
    <w:rsid w:val="00CD0EEF"/>
    <w:rsid w:val="00CD64CD"/>
    <w:rsid w:val="00CE2041"/>
    <w:rsid w:val="00CE3059"/>
    <w:rsid w:val="00CE4960"/>
    <w:rsid w:val="00CE56FA"/>
    <w:rsid w:val="00CF0912"/>
    <w:rsid w:val="00D0060C"/>
    <w:rsid w:val="00D027B8"/>
    <w:rsid w:val="00D033DC"/>
    <w:rsid w:val="00D04134"/>
    <w:rsid w:val="00D0571C"/>
    <w:rsid w:val="00D0679B"/>
    <w:rsid w:val="00D11879"/>
    <w:rsid w:val="00D12547"/>
    <w:rsid w:val="00D22D44"/>
    <w:rsid w:val="00D26DB6"/>
    <w:rsid w:val="00D378BA"/>
    <w:rsid w:val="00D40668"/>
    <w:rsid w:val="00D6263A"/>
    <w:rsid w:val="00D778D7"/>
    <w:rsid w:val="00D83934"/>
    <w:rsid w:val="00D861C3"/>
    <w:rsid w:val="00D86633"/>
    <w:rsid w:val="00D91A0C"/>
    <w:rsid w:val="00D9239C"/>
    <w:rsid w:val="00D95955"/>
    <w:rsid w:val="00D979AB"/>
    <w:rsid w:val="00DA41C6"/>
    <w:rsid w:val="00DA590C"/>
    <w:rsid w:val="00DA703D"/>
    <w:rsid w:val="00DB54CF"/>
    <w:rsid w:val="00DC1546"/>
    <w:rsid w:val="00DC1783"/>
    <w:rsid w:val="00DD2172"/>
    <w:rsid w:val="00DD4A09"/>
    <w:rsid w:val="00DD4C25"/>
    <w:rsid w:val="00DD6A1F"/>
    <w:rsid w:val="00DE4C00"/>
    <w:rsid w:val="00DE5C67"/>
    <w:rsid w:val="00DF2449"/>
    <w:rsid w:val="00DF7ACF"/>
    <w:rsid w:val="00E004CA"/>
    <w:rsid w:val="00E03391"/>
    <w:rsid w:val="00E0373B"/>
    <w:rsid w:val="00E05E3F"/>
    <w:rsid w:val="00E07308"/>
    <w:rsid w:val="00E077A7"/>
    <w:rsid w:val="00E14474"/>
    <w:rsid w:val="00E179B5"/>
    <w:rsid w:val="00E26286"/>
    <w:rsid w:val="00E30AC2"/>
    <w:rsid w:val="00E331B5"/>
    <w:rsid w:val="00E33D84"/>
    <w:rsid w:val="00E34813"/>
    <w:rsid w:val="00E356D2"/>
    <w:rsid w:val="00E401B3"/>
    <w:rsid w:val="00E40B82"/>
    <w:rsid w:val="00E458DA"/>
    <w:rsid w:val="00E5687E"/>
    <w:rsid w:val="00E639CC"/>
    <w:rsid w:val="00E63D5B"/>
    <w:rsid w:val="00E671AD"/>
    <w:rsid w:val="00E83E40"/>
    <w:rsid w:val="00E857B8"/>
    <w:rsid w:val="00E907E5"/>
    <w:rsid w:val="00E943B8"/>
    <w:rsid w:val="00E974F1"/>
    <w:rsid w:val="00EA11F7"/>
    <w:rsid w:val="00EA20B9"/>
    <w:rsid w:val="00EA4549"/>
    <w:rsid w:val="00ED0B37"/>
    <w:rsid w:val="00ED22DF"/>
    <w:rsid w:val="00ED4C66"/>
    <w:rsid w:val="00ED6781"/>
    <w:rsid w:val="00EE4BD8"/>
    <w:rsid w:val="00EF5BA0"/>
    <w:rsid w:val="00F11A21"/>
    <w:rsid w:val="00F13600"/>
    <w:rsid w:val="00F15FC0"/>
    <w:rsid w:val="00F17042"/>
    <w:rsid w:val="00F175D1"/>
    <w:rsid w:val="00F21DA9"/>
    <w:rsid w:val="00F22A75"/>
    <w:rsid w:val="00F2612F"/>
    <w:rsid w:val="00F30C1E"/>
    <w:rsid w:val="00F3185D"/>
    <w:rsid w:val="00F33650"/>
    <w:rsid w:val="00F35217"/>
    <w:rsid w:val="00F35C50"/>
    <w:rsid w:val="00F42D68"/>
    <w:rsid w:val="00F436FE"/>
    <w:rsid w:val="00F500D2"/>
    <w:rsid w:val="00F51A9D"/>
    <w:rsid w:val="00F51B69"/>
    <w:rsid w:val="00F57792"/>
    <w:rsid w:val="00F60048"/>
    <w:rsid w:val="00F6185A"/>
    <w:rsid w:val="00F70DF7"/>
    <w:rsid w:val="00F73FE2"/>
    <w:rsid w:val="00F74944"/>
    <w:rsid w:val="00F8497C"/>
    <w:rsid w:val="00F91E41"/>
    <w:rsid w:val="00FA238D"/>
    <w:rsid w:val="00FA26D5"/>
    <w:rsid w:val="00FA3835"/>
    <w:rsid w:val="00FA6816"/>
    <w:rsid w:val="00FB5D79"/>
    <w:rsid w:val="00FE3D91"/>
    <w:rsid w:val="00FE4467"/>
    <w:rsid w:val="00FE55D2"/>
    <w:rsid w:val="00FF5179"/>
    <w:rsid w:val="00FF728E"/>
    <w:rsid w:val="015878D2"/>
    <w:rsid w:val="01C24F20"/>
    <w:rsid w:val="020B291A"/>
    <w:rsid w:val="025D4D8E"/>
    <w:rsid w:val="029E76DC"/>
    <w:rsid w:val="04A459ED"/>
    <w:rsid w:val="053E2C54"/>
    <w:rsid w:val="05C25634"/>
    <w:rsid w:val="05FE75C6"/>
    <w:rsid w:val="06F02823"/>
    <w:rsid w:val="0762073E"/>
    <w:rsid w:val="07C27C17"/>
    <w:rsid w:val="09120680"/>
    <w:rsid w:val="09A45050"/>
    <w:rsid w:val="09FA1199"/>
    <w:rsid w:val="0A5B05D9"/>
    <w:rsid w:val="0AE0030A"/>
    <w:rsid w:val="0B3C1449"/>
    <w:rsid w:val="0BBC0465"/>
    <w:rsid w:val="0C590374"/>
    <w:rsid w:val="0D6B0DE4"/>
    <w:rsid w:val="0D8A6F81"/>
    <w:rsid w:val="0E39045D"/>
    <w:rsid w:val="0E5D57E2"/>
    <w:rsid w:val="0E936CC2"/>
    <w:rsid w:val="0ED40186"/>
    <w:rsid w:val="0EE967FA"/>
    <w:rsid w:val="0F070D96"/>
    <w:rsid w:val="0F4075C9"/>
    <w:rsid w:val="0F4672D5"/>
    <w:rsid w:val="0F4E40DD"/>
    <w:rsid w:val="0F6F4465"/>
    <w:rsid w:val="10E279BE"/>
    <w:rsid w:val="114F467A"/>
    <w:rsid w:val="12103566"/>
    <w:rsid w:val="122E6778"/>
    <w:rsid w:val="124949E7"/>
    <w:rsid w:val="140844A6"/>
    <w:rsid w:val="141A6218"/>
    <w:rsid w:val="14250B6B"/>
    <w:rsid w:val="15D708BB"/>
    <w:rsid w:val="15F52619"/>
    <w:rsid w:val="17CB6513"/>
    <w:rsid w:val="17CF567C"/>
    <w:rsid w:val="17D15BAA"/>
    <w:rsid w:val="17E30CEE"/>
    <w:rsid w:val="185D6BC0"/>
    <w:rsid w:val="18BA0A7E"/>
    <w:rsid w:val="19AE7309"/>
    <w:rsid w:val="1A18361C"/>
    <w:rsid w:val="1A231D83"/>
    <w:rsid w:val="1A902BB0"/>
    <w:rsid w:val="1AC76B94"/>
    <w:rsid w:val="1ACF0052"/>
    <w:rsid w:val="1B9E3D36"/>
    <w:rsid w:val="1BBA3A2F"/>
    <w:rsid w:val="1C686EB5"/>
    <w:rsid w:val="1C8F2A04"/>
    <w:rsid w:val="1CAF0198"/>
    <w:rsid w:val="1D8B6157"/>
    <w:rsid w:val="20365C75"/>
    <w:rsid w:val="20863AF3"/>
    <w:rsid w:val="20916CDF"/>
    <w:rsid w:val="20FD3BD3"/>
    <w:rsid w:val="218B2C39"/>
    <w:rsid w:val="21B62B64"/>
    <w:rsid w:val="21D70176"/>
    <w:rsid w:val="22597BF6"/>
    <w:rsid w:val="227819CB"/>
    <w:rsid w:val="23256975"/>
    <w:rsid w:val="23423424"/>
    <w:rsid w:val="238276EB"/>
    <w:rsid w:val="23F21382"/>
    <w:rsid w:val="240C4724"/>
    <w:rsid w:val="243F7370"/>
    <w:rsid w:val="248B1FC0"/>
    <w:rsid w:val="26053E04"/>
    <w:rsid w:val="262539EF"/>
    <w:rsid w:val="26976211"/>
    <w:rsid w:val="26DD3CEE"/>
    <w:rsid w:val="277B693B"/>
    <w:rsid w:val="27F05BD9"/>
    <w:rsid w:val="29DF7CB3"/>
    <w:rsid w:val="2A050E49"/>
    <w:rsid w:val="2A156674"/>
    <w:rsid w:val="2A8E004C"/>
    <w:rsid w:val="2B6A1BE2"/>
    <w:rsid w:val="2C0F1908"/>
    <w:rsid w:val="2C7813F9"/>
    <w:rsid w:val="2CB90995"/>
    <w:rsid w:val="2D2B3E5F"/>
    <w:rsid w:val="2D5179CF"/>
    <w:rsid w:val="2ED5581D"/>
    <w:rsid w:val="2F25260C"/>
    <w:rsid w:val="2F6F7D2B"/>
    <w:rsid w:val="308A097E"/>
    <w:rsid w:val="313271BA"/>
    <w:rsid w:val="31842C3E"/>
    <w:rsid w:val="319039E6"/>
    <w:rsid w:val="31A82C32"/>
    <w:rsid w:val="32085AE3"/>
    <w:rsid w:val="327F0D3B"/>
    <w:rsid w:val="32A22E31"/>
    <w:rsid w:val="330E5F16"/>
    <w:rsid w:val="331A4758"/>
    <w:rsid w:val="3369385E"/>
    <w:rsid w:val="33CA23C6"/>
    <w:rsid w:val="33F65B10"/>
    <w:rsid w:val="33FE78CF"/>
    <w:rsid w:val="346437A2"/>
    <w:rsid w:val="34A978E5"/>
    <w:rsid w:val="35073D21"/>
    <w:rsid w:val="35C0542C"/>
    <w:rsid w:val="372B2789"/>
    <w:rsid w:val="38196A86"/>
    <w:rsid w:val="384F06F9"/>
    <w:rsid w:val="391807C4"/>
    <w:rsid w:val="395026E3"/>
    <w:rsid w:val="39A43A9C"/>
    <w:rsid w:val="3A6971C5"/>
    <w:rsid w:val="3AE72E6B"/>
    <w:rsid w:val="3AFF33E8"/>
    <w:rsid w:val="3C050313"/>
    <w:rsid w:val="3C2D3B80"/>
    <w:rsid w:val="3D476359"/>
    <w:rsid w:val="3D9A658C"/>
    <w:rsid w:val="3DE10046"/>
    <w:rsid w:val="3DEE1D80"/>
    <w:rsid w:val="3DF338D5"/>
    <w:rsid w:val="3EA378DA"/>
    <w:rsid w:val="3EF73899"/>
    <w:rsid w:val="3F651E10"/>
    <w:rsid w:val="405C4659"/>
    <w:rsid w:val="40BC5A97"/>
    <w:rsid w:val="4197550B"/>
    <w:rsid w:val="426C16E4"/>
    <w:rsid w:val="43130DAF"/>
    <w:rsid w:val="43D85920"/>
    <w:rsid w:val="442F62DC"/>
    <w:rsid w:val="443B5FD6"/>
    <w:rsid w:val="45811CB2"/>
    <w:rsid w:val="459220B9"/>
    <w:rsid w:val="46DB7A17"/>
    <w:rsid w:val="47975424"/>
    <w:rsid w:val="48333FF5"/>
    <w:rsid w:val="485E6BC5"/>
    <w:rsid w:val="49FA5FEB"/>
    <w:rsid w:val="4A3E0C6F"/>
    <w:rsid w:val="4B914BF5"/>
    <w:rsid w:val="4BA36CC0"/>
    <w:rsid w:val="4BFA22D2"/>
    <w:rsid w:val="4C7D3400"/>
    <w:rsid w:val="4CB230FF"/>
    <w:rsid w:val="4D413CB4"/>
    <w:rsid w:val="4D821D41"/>
    <w:rsid w:val="4E582E83"/>
    <w:rsid w:val="4EE564B0"/>
    <w:rsid w:val="4FFC159D"/>
    <w:rsid w:val="51CD3614"/>
    <w:rsid w:val="522400A9"/>
    <w:rsid w:val="531539E5"/>
    <w:rsid w:val="53D55AFF"/>
    <w:rsid w:val="53DA511B"/>
    <w:rsid w:val="53FC6986"/>
    <w:rsid w:val="54802254"/>
    <w:rsid w:val="54A60BE9"/>
    <w:rsid w:val="55866C5D"/>
    <w:rsid w:val="559A7000"/>
    <w:rsid w:val="55C81664"/>
    <w:rsid w:val="5628185A"/>
    <w:rsid w:val="56770AFB"/>
    <w:rsid w:val="57014F34"/>
    <w:rsid w:val="573C6F55"/>
    <w:rsid w:val="57D63A28"/>
    <w:rsid w:val="57F95C42"/>
    <w:rsid w:val="581B6CF3"/>
    <w:rsid w:val="58527420"/>
    <w:rsid w:val="585F0652"/>
    <w:rsid w:val="59123351"/>
    <w:rsid w:val="591A5625"/>
    <w:rsid w:val="5980136F"/>
    <w:rsid w:val="59DD58A1"/>
    <w:rsid w:val="5AA16827"/>
    <w:rsid w:val="5AE900E2"/>
    <w:rsid w:val="5B435A44"/>
    <w:rsid w:val="5C590701"/>
    <w:rsid w:val="5C7F1F93"/>
    <w:rsid w:val="5CCE2A51"/>
    <w:rsid w:val="5D89084C"/>
    <w:rsid w:val="5DDE51E3"/>
    <w:rsid w:val="5E237D26"/>
    <w:rsid w:val="5E72647F"/>
    <w:rsid w:val="5E834DD9"/>
    <w:rsid w:val="5F236DE7"/>
    <w:rsid w:val="5FD517CA"/>
    <w:rsid w:val="608E3660"/>
    <w:rsid w:val="60E10C96"/>
    <w:rsid w:val="610F4CC8"/>
    <w:rsid w:val="617B2DAB"/>
    <w:rsid w:val="617B7B59"/>
    <w:rsid w:val="620B4DE2"/>
    <w:rsid w:val="621505DC"/>
    <w:rsid w:val="623A50C2"/>
    <w:rsid w:val="625D22A8"/>
    <w:rsid w:val="62970423"/>
    <w:rsid w:val="63025693"/>
    <w:rsid w:val="641404F4"/>
    <w:rsid w:val="648D7D30"/>
    <w:rsid w:val="657340D8"/>
    <w:rsid w:val="65874EDE"/>
    <w:rsid w:val="65C0401D"/>
    <w:rsid w:val="662648F8"/>
    <w:rsid w:val="665F1537"/>
    <w:rsid w:val="66A13869"/>
    <w:rsid w:val="67D85B6C"/>
    <w:rsid w:val="68ED6A71"/>
    <w:rsid w:val="69317B0A"/>
    <w:rsid w:val="69F67FAD"/>
    <w:rsid w:val="6B6E3D88"/>
    <w:rsid w:val="6BE7369A"/>
    <w:rsid w:val="6C2E79CF"/>
    <w:rsid w:val="6C5B3C67"/>
    <w:rsid w:val="6C67192F"/>
    <w:rsid w:val="6C9A748E"/>
    <w:rsid w:val="6CD428C2"/>
    <w:rsid w:val="6CE60189"/>
    <w:rsid w:val="6D050DAB"/>
    <w:rsid w:val="6E04301E"/>
    <w:rsid w:val="6F135C55"/>
    <w:rsid w:val="6F215C44"/>
    <w:rsid w:val="6F5A2F04"/>
    <w:rsid w:val="732820F7"/>
    <w:rsid w:val="732B25B2"/>
    <w:rsid w:val="734D446A"/>
    <w:rsid w:val="73656534"/>
    <w:rsid w:val="740972B4"/>
    <w:rsid w:val="74C80B12"/>
    <w:rsid w:val="768637B5"/>
    <w:rsid w:val="76C80CBC"/>
    <w:rsid w:val="76D417EE"/>
    <w:rsid w:val="77FE4FE3"/>
    <w:rsid w:val="78C830A0"/>
    <w:rsid w:val="78D36201"/>
    <w:rsid w:val="792F1A3C"/>
    <w:rsid w:val="796E79FC"/>
    <w:rsid w:val="79B5177D"/>
    <w:rsid w:val="79CD520C"/>
    <w:rsid w:val="7A463EB9"/>
    <w:rsid w:val="7A8377B3"/>
    <w:rsid w:val="7BBD0AA3"/>
    <w:rsid w:val="7BBD2A4F"/>
    <w:rsid w:val="7CC0341D"/>
    <w:rsid w:val="7D9D4043"/>
    <w:rsid w:val="7E9D0BC6"/>
    <w:rsid w:val="7ED568D9"/>
    <w:rsid w:val="7ED607F9"/>
    <w:rsid w:val="7F8942DD"/>
    <w:rsid w:val="7FD20CF9"/>
    <w:rsid w:val="7FD237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0"/>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character" w:customStyle="1" w:styleId="70">
    <w:name w:val="批注主题 字符"/>
    <w:basedOn w:val="47"/>
    <w:link w:val="37"/>
    <w:qFormat/>
    <w:uiPriority w:val="0"/>
    <w:rPr>
      <w:rFonts w:ascii="Cambria" w:hAnsi="Cambria"/>
      <w:b/>
      <w:bCs/>
      <w:kern w:val="2"/>
      <w:sz w:val="21"/>
      <w:szCs w:val="24"/>
    </w:rPr>
  </w:style>
  <w:style w:type="paragraph" w:customStyle="1" w:styleId="71">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72">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73">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7</Pages>
  <Words>3155</Words>
  <Characters>3499</Characters>
  <Lines>1432</Lines>
  <Paragraphs>1385</Paragraphs>
  <TotalTime>0</TotalTime>
  <ScaleCrop>false</ScaleCrop>
  <LinksUpToDate>false</LinksUpToDate>
  <CharactersWithSpaces>3643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2025-08-20T13:46:00Z</dcterms:created>
  <dc:creator>caowuning</dc:creator>
  <cp:lastModifiedBy>清</cp:lastModifiedBy>
  <cp:lastPrinted>2025-08-21T01:14:00Z</cp:lastPrinted>
  <dcterms:modified xsi:type="dcterms:W3CDTF">2025-08-26T03:26:02Z</dcterms:modified>
  <dc:title>北 京 市 政 府 采 购</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DF7EA261A94F40F49BF5CEF3B94EF2F7_13</vt:lpwstr>
  </property>
  <property fmtid="{D5CDD505-2E9C-101B-9397-08002B2CF9AE}" pid="4" name="KSOTemplateDocerSaveRecord">
    <vt:lpwstr>eyJoZGlkIjoiNTI5ZmZjMjA2MjdiMDFiYzZmZWIzNjQ5YThhMzQxMzIiLCJ1c2VySWQiOiIxMDI1MTk0NTMzIn0=</vt:lpwstr>
  </property>
</Properties>
</file>