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D11B6">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14:paraId="156C83F9">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1B2C5E2C">
      <w:pPr>
        <w:adjustRightInd w:val="0"/>
        <w:snapToGrid w:val="0"/>
        <w:jc w:val="center"/>
        <w:rPr>
          <w:rFonts w:hint="eastAsia" w:ascii="宋体" w:hAnsi="宋体" w:eastAsia="宋体" w:cs="Times New Roman"/>
          <w:b/>
          <w:sz w:val="30"/>
          <w:szCs w:val="30"/>
        </w:rPr>
      </w:pPr>
      <w:bookmarkStart w:id="1" w:name="_GoBack"/>
      <w:bookmarkEnd w:id="1"/>
    </w:p>
    <w:tbl>
      <w:tblPr>
        <w:tblStyle w:val="2"/>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2B99D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0A2991FD">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0AD0C2A7">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6F8D89CB">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2470" w:type="dxa"/>
            <w:noWrap w:val="0"/>
            <w:vAlign w:val="center"/>
          </w:tcPr>
          <w:p w14:paraId="2A6B632F">
            <w:pPr>
              <w:jc w:val="center"/>
              <w:rPr>
                <w:rFonts w:ascii="宋体" w:hAnsi="Bookman Old Style" w:eastAsia="宋体" w:cs="Times New Roman"/>
                <w:sz w:val="24"/>
              </w:rPr>
            </w:pPr>
            <w:r>
              <w:rPr>
                <w:rFonts w:hint="eastAsia" w:ascii="宋体" w:hAnsi="Bookman Old Style" w:eastAsia="宋体" w:cs="Times New Roman"/>
                <w:sz w:val="24"/>
              </w:rPr>
              <w:t>是否接受进口</w:t>
            </w:r>
          </w:p>
        </w:tc>
      </w:tr>
      <w:tr w14:paraId="6D850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30AB2A5C">
            <w:pPr>
              <w:jc w:val="center"/>
              <w:rPr>
                <w:rFonts w:hint="eastAsia" w:ascii="宋体" w:hAnsi="Times New Roman" w:eastAsia="宋体" w:cs="Times New Roman"/>
                <w:sz w:val="24"/>
                <w:lang w:eastAsia="zh-CN"/>
              </w:rPr>
            </w:pPr>
            <w:r>
              <w:rPr>
                <w:rFonts w:hint="eastAsia" w:ascii="宋体" w:hAnsi="Times New Roman" w:eastAsia="宋体" w:cs="Times New Roman"/>
                <w:sz w:val="24"/>
                <w:lang w:val="en-US" w:eastAsia="zh-CN"/>
              </w:rPr>
              <w:t>1</w:t>
            </w:r>
          </w:p>
        </w:tc>
        <w:tc>
          <w:tcPr>
            <w:tcW w:w="2357" w:type="dxa"/>
            <w:noWrap w:val="0"/>
            <w:vAlign w:val="center"/>
          </w:tcPr>
          <w:p w14:paraId="51383B7B">
            <w:pPr>
              <w:jc w:val="center"/>
              <w:rPr>
                <w:rFonts w:hint="eastAsia" w:ascii="Bookman Old Style" w:hAnsi="Bookman Old Style" w:eastAsia="宋体" w:cs="Times New Roman"/>
                <w:sz w:val="24"/>
              </w:rPr>
            </w:pPr>
            <w:r>
              <w:rPr>
                <w:rFonts w:hint="eastAsia" w:ascii="Bookman Old Style" w:hAnsi="Bookman Old Style" w:eastAsia="宋体" w:cs="Times New Roman"/>
                <w:sz w:val="24"/>
              </w:rPr>
              <w:t>高内涵细胞成像分析系统</w:t>
            </w:r>
          </w:p>
        </w:tc>
        <w:tc>
          <w:tcPr>
            <w:tcW w:w="1329" w:type="dxa"/>
            <w:noWrap w:val="0"/>
            <w:vAlign w:val="center"/>
          </w:tcPr>
          <w:p w14:paraId="4505BA45">
            <w:pPr>
              <w:jc w:val="center"/>
              <w:rPr>
                <w:rFonts w:hint="eastAsia" w:ascii="宋体" w:hAnsi="Bookman Old Style" w:eastAsia="宋体" w:cs="Times New Roman"/>
                <w:sz w:val="24"/>
              </w:rPr>
            </w:pPr>
            <w:r>
              <w:rPr>
                <w:rFonts w:hint="eastAsia" w:ascii="宋体" w:hAnsi="Bookman Old Style" w:eastAsia="宋体" w:cs="Times New Roman"/>
                <w:sz w:val="24"/>
              </w:rPr>
              <w:t>1套</w:t>
            </w:r>
          </w:p>
        </w:tc>
        <w:tc>
          <w:tcPr>
            <w:tcW w:w="2470" w:type="dxa"/>
            <w:noWrap w:val="0"/>
            <w:vAlign w:val="center"/>
          </w:tcPr>
          <w:p w14:paraId="51948861">
            <w:pPr>
              <w:jc w:val="center"/>
              <w:rPr>
                <w:rFonts w:ascii="宋体" w:hAnsi="Bookman Old Style" w:eastAsia="宋体" w:cs="Times New Roman"/>
                <w:sz w:val="24"/>
              </w:rPr>
            </w:pPr>
            <w:r>
              <w:rPr>
                <w:rFonts w:hint="eastAsia" w:ascii="宋体" w:hAnsi="Bookman Old Style" w:eastAsia="宋体" w:cs="Times New Roman"/>
                <w:sz w:val="24"/>
              </w:rPr>
              <w:t>是</w:t>
            </w:r>
          </w:p>
        </w:tc>
      </w:tr>
    </w:tbl>
    <w:p w14:paraId="5DCC7358">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4E1F81BD">
      <w:pPr>
        <w:adjustRightInd w:val="0"/>
        <w:snapToGrid w:val="0"/>
        <w:rPr>
          <w:rFonts w:hint="eastAsia" w:ascii="宋体" w:hAnsi="宋体" w:eastAsia="宋体" w:cs="Times New Roman"/>
          <w:szCs w:val="21"/>
        </w:rPr>
      </w:pPr>
    </w:p>
    <w:p w14:paraId="7C14E16F">
      <w:pPr>
        <w:adjustRightInd w:val="0"/>
        <w:snapToGrid w:val="0"/>
        <w:rPr>
          <w:rFonts w:hint="eastAsia" w:ascii="宋体" w:hAnsi="宋体" w:eastAsia="宋体" w:cs="Times New Roman"/>
          <w:szCs w:val="21"/>
        </w:rPr>
      </w:pPr>
    </w:p>
    <w:p w14:paraId="66BE3ADE">
      <w:pPr>
        <w:adjustRightInd w:val="0"/>
        <w:snapToGrid w:val="0"/>
        <w:rPr>
          <w:rFonts w:hint="eastAsia" w:ascii="宋体" w:hAnsi="宋体" w:eastAsia="宋体" w:cs="Times New Roman"/>
          <w:szCs w:val="21"/>
        </w:rPr>
      </w:pPr>
    </w:p>
    <w:p w14:paraId="25BC2118">
      <w:pPr>
        <w:adjustRightInd w:val="0"/>
        <w:snapToGrid w:val="0"/>
        <w:spacing w:line="360" w:lineRule="auto"/>
        <w:rPr>
          <w:rFonts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7118E0FD">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704AECE1">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48C8404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08EB998">
      <w:pPr>
        <w:spacing w:line="360" w:lineRule="auto"/>
        <w:ind w:left="554" w:hanging="554" w:hangingChars="231"/>
        <w:rPr>
          <w:rFonts w:hint="eastAsia"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41734198">
      <w:pPr>
        <w:spacing w:line="360" w:lineRule="auto"/>
        <w:ind w:left="554" w:hanging="554" w:hangingChars="231"/>
        <w:rPr>
          <w:rFonts w:hint="eastAsia"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F2E51CE">
      <w:pPr>
        <w:adjustRightInd w:val="0"/>
        <w:snapToGrid w:val="0"/>
        <w:spacing w:line="360" w:lineRule="auto"/>
        <w:rPr>
          <w:rFonts w:ascii="宋体" w:hAnsi="宋体" w:eastAsia="宋体" w:cs="Times New Roman"/>
          <w:b/>
          <w:sz w:val="28"/>
          <w:szCs w:val="28"/>
        </w:rPr>
      </w:pPr>
      <w:r>
        <w:rPr>
          <w:rFonts w:hint="eastAsia" w:ascii="宋体" w:hAnsi="宋体" w:eastAsia="宋体" w:cs="Times New Roman"/>
          <w:b/>
          <w:sz w:val="28"/>
          <w:szCs w:val="28"/>
        </w:rPr>
        <w:t>2、评标标准</w:t>
      </w:r>
    </w:p>
    <w:p w14:paraId="095CD83A">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719E8A0E">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5BF53F86">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68175AA7">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217AA65C">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7203288B">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15C6F89D">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13071D2B">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597F680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05796BCE">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410BE0FD">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38A6062C">
      <w:pPr>
        <w:rPr>
          <w:rFonts w:hint="eastAsia" w:ascii="Times New Roman" w:hAnsi="Times New Roman" w:eastAsia="黑体" w:cs="Times New Roman"/>
          <w:b/>
          <w:bCs/>
          <w:kern w:val="44"/>
          <w:sz w:val="24"/>
        </w:rPr>
      </w:pPr>
    </w:p>
    <w:p w14:paraId="6C8CE225">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66A5ACF3">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除非另有说明，所有仪器、设备和系统按下列要求进行验收：</w:t>
      </w:r>
      <w:r>
        <w:rPr>
          <w:rFonts w:ascii="宋体" w:hAnsi="宋体" w:eastAsia="宋体" w:cs="Times New Roman"/>
          <w:sz w:val="24"/>
        </w:rPr>
        <w:t xml:space="preserve"> </w:t>
      </w:r>
    </w:p>
    <w:p w14:paraId="7D2F123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5E2D8862">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17CC6C9B">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657FD24E">
      <w:pPr>
        <w:widowControl w:val="0"/>
        <w:spacing w:line="360" w:lineRule="auto"/>
        <w:ind w:left="410" w:hanging="410" w:hangingChars="170"/>
        <w:jc w:val="both"/>
        <w:rPr>
          <w:rFonts w:hint="eastAsia" w:ascii="宋体" w:hAnsi="宋体" w:eastAsia="宋体" w:cs="Times New Roman"/>
          <w:b/>
          <w:kern w:val="2"/>
          <w:sz w:val="24"/>
          <w:szCs w:val="24"/>
          <w:lang w:val="en-US" w:eastAsia="zh-CN" w:bidi="ar-SA"/>
        </w:rPr>
      </w:pPr>
    </w:p>
    <w:p w14:paraId="16EF296A">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5、本采购需求书中标注“*”号技术条款的为实质性要求，不满足其投标将视为无效投标被拒绝。</w:t>
      </w:r>
    </w:p>
    <w:p w14:paraId="13FEC6C8">
      <w:pPr>
        <w:adjustRightInd w:val="0"/>
        <w:snapToGrid w:val="0"/>
        <w:spacing w:line="360" w:lineRule="auto"/>
        <w:rPr>
          <w:rFonts w:hint="eastAsia" w:ascii="宋体" w:hAnsi="宋体" w:eastAsia="宋体" w:cs="Times New Roman"/>
          <w:b/>
          <w:sz w:val="24"/>
        </w:rPr>
      </w:pPr>
    </w:p>
    <w:p w14:paraId="34F4F01C">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6、如在具体规格要求中有本总则不一致之处，以具体规格中的要求为准。</w:t>
      </w:r>
    </w:p>
    <w:p w14:paraId="1009CB7B">
      <w:pPr>
        <w:adjustRightInd w:val="0"/>
        <w:snapToGrid w:val="0"/>
        <w:spacing w:line="360" w:lineRule="auto"/>
        <w:rPr>
          <w:rFonts w:hint="eastAsia" w:ascii="宋体" w:hAnsi="宋体" w:eastAsia="宋体" w:cs="Times New Roman"/>
          <w:b/>
          <w:sz w:val="28"/>
          <w:szCs w:val="28"/>
        </w:rPr>
      </w:pPr>
      <w:r>
        <w:rPr>
          <w:rFonts w:ascii="宋体" w:hAnsi="宋体" w:eastAsia="宋体" w:cs="Times New Roman"/>
          <w:b/>
          <w:sz w:val="28"/>
        </w:rPr>
        <w:br w:type="page"/>
      </w:r>
      <w:r>
        <w:rPr>
          <w:rFonts w:hint="eastAsia" w:ascii="宋体" w:hAnsi="宋体" w:eastAsia="宋体" w:cs="Times New Roman"/>
          <w:b/>
          <w:sz w:val="28"/>
          <w:szCs w:val="28"/>
        </w:rPr>
        <w:t>二、具体规格要求</w:t>
      </w:r>
    </w:p>
    <w:p w14:paraId="0DE6609A">
      <w:pPr>
        <w:spacing w:line="360" w:lineRule="auto"/>
        <w:ind w:firstLine="3373" w:firstLineChars="1400"/>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高内涵细胞成像分析系统</w:t>
      </w:r>
    </w:p>
    <w:p w14:paraId="0935B4F4">
      <w:pPr>
        <w:numPr>
          <w:ilvl w:val="0"/>
          <w:numId w:val="1"/>
        </w:numPr>
        <w:spacing w:line="360" w:lineRule="auto"/>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技术要求：</w:t>
      </w:r>
    </w:p>
    <w:p w14:paraId="1A876E00">
      <w:pPr>
        <w:numPr>
          <w:ilvl w:val="0"/>
          <w:numId w:val="2"/>
        </w:numPr>
        <w:spacing w:line="360" w:lineRule="auto"/>
        <w:ind w:left="360" w:hanging="360"/>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工作条件：</w:t>
      </w:r>
    </w:p>
    <w:p w14:paraId="2BBC5B98">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1</w:t>
      </w:r>
      <w:r>
        <w:rPr>
          <w:rFonts w:ascii="Times New Roman" w:hAnsi="Times New Roman" w:eastAsia="宋体" w:cs="Times New Roman"/>
          <w:color w:val="000000"/>
          <w:sz w:val="24"/>
        </w:rPr>
        <w:t>.1</w:t>
      </w:r>
      <w:r>
        <w:rPr>
          <w:rFonts w:hint="eastAsia" w:ascii="Times New Roman" w:hAnsi="Times New Roman" w:eastAsia="宋体" w:cs="Times New Roman"/>
          <w:color w:val="000000"/>
          <w:sz w:val="24"/>
        </w:rPr>
        <w:t xml:space="preserve"> 见总则第3条。（如无特殊要求）</w:t>
      </w:r>
    </w:p>
    <w:p w14:paraId="2CC732EB">
      <w:pPr>
        <w:numPr>
          <w:ilvl w:val="0"/>
          <w:numId w:val="2"/>
        </w:numPr>
        <w:spacing w:line="360" w:lineRule="auto"/>
        <w:ind w:left="360" w:hanging="360"/>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设备用途：</w:t>
      </w:r>
    </w:p>
    <w:p w14:paraId="15AB988C">
      <w:pPr>
        <w:spacing w:line="360" w:lineRule="auto"/>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本平台购置“高内涵细胞成像分析系统”仪器1套，预算人民币315万元。</w:t>
      </w:r>
    </w:p>
    <w:p w14:paraId="0F41DD01">
      <w:pPr>
        <w:spacing w:line="360" w:lineRule="auto"/>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1、仪器主要功能</w:t>
      </w:r>
    </w:p>
    <w:p w14:paraId="310668CF">
      <w:pPr>
        <w:spacing w:line="360" w:lineRule="auto"/>
        <w:ind w:firstLine="480" w:firstLineChars="200"/>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高内涵细胞成像分析系统可在保持活细胞结构和功能完整性的前提下，在亚显微形态下高通量自动化同时检测不同影响因素对活细胞、3D细胞球、类器官、小型模式动物等样品中细胞形态、生长、分化、迁移、凋亡、代谢途径及信号转导各个环节的影响，在单次实验中直接获取大规模图像学证据及基于图像分析的数据结果。此外，高内涵细胞成像分析系统还可进行靶点调控、细胞凋亡、蛋白转位、细胞活力、细胞迁移、受体内化、细胞毒性、细胞周期和信号转导等分析。</w:t>
      </w:r>
    </w:p>
    <w:p w14:paraId="0B9A127C">
      <w:pPr>
        <w:spacing w:line="360" w:lineRule="auto"/>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2、仪器工作任务</w:t>
      </w:r>
    </w:p>
    <w:p w14:paraId="7C5B7C6F">
      <w:pPr>
        <w:spacing w:line="360" w:lineRule="auto"/>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（1）中藏药药效及作用机制研究</w:t>
      </w:r>
    </w:p>
    <w:p w14:paraId="7842A5E0">
      <w:pPr>
        <w:spacing w:line="360" w:lineRule="auto"/>
        <w:ind w:firstLine="480" w:firstLineChars="200"/>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高内涵细胞成像分析系统可在保持细胞结构和功能完整的前提下，在细胞和亚细胞层次下同时检测被筛选药物对细胞形态、生长、分化、迁移、凋亡、代谢及信号转导各个环节的影响，有利于阐明中药作用的具体环节；可以从活细胞方面深入研究整个细胞的生命功能；并强调把细胞作为一个整体来研究，使结果更具客观性和综合性；针对中药多组分、多成分的特点，进行高通量筛选，发现活性组分和成分，大幅度提高工作效率；利用微量、高效的特点，多种设计与分析中药组分/成分的配伍效应。该系统非常适用于中药的复杂成分和多靶点作用机制的研究，对揭示中药复方的科学性和合理性，促进中药现代化的发展均有重要意义。</w:t>
      </w:r>
    </w:p>
    <w:p w14:paraId="53BCF4DF">
      <w:pPr>
        <w:spacing w:line="360" w:lineRule="auto"/>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（2）生物资源多样性保护和可持续利用研究</w:t>
      </w:r>
    </w:p>
    <w:p w14:paraId="1E0C5004">
      <w:pPr>
        <w:spacing w:line="360" w:lineRule="auto"/>
        <w:ind w:firstLine="480" w:firstLineChars="200"/>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高内涵细胞成像分析系统可进行多通道、多靶点荧光或可见光扫描，多维度检测植物细胞形态、生长、分化、发育、蛋白或囊泡共定位、病原在植株的亚结构定位、代谢途径及信号转导等，开展植物生长发育机制、病原致病机制及疾病早期诊断等研究，为生物资源多样性保护和可持续利用提供有力的技术支撑。</w:t>
      </w:r>
    </w:p>
    <w:p w14:paraId="4B4BA35B">
      <w:pPr>
        <w:spacing w:line="360" w:lineRule="auto"/>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（3）动物遗传资源挖掘与遗传多样性评估</w:t>
      </w:r>
    </w:p>
    <w:p w14:paraId="4DFD1F59">
      <w:pPr>
        <w:spacing w:line="360" w:lineRule="auto"/>
        <w:ind w:firstLine="480" w:firstLineChars="200"/>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高内涵细胞成像分析系统可对动物的受精卵细胞和胚体进行长时间活细胞检测，全面分析其在生长、发育、代谢等各个生命活动阶段的动态变化，开展遗传多样性机制、适应极端环境基因的调控机制、遗传物质中优质蛋白表达机制研究等研究，为动物遗传资源挖掘与遗传多样性评估提供有力的技术支撑。</w:t>
      </w:r>
    </w:p>
    <w:p w14:paraId="724BEE6B">
      <w:pPr>
        <w:numPr>
          <w:ilvl w:val="0"/>
          <w:numId w:val="2"/>
        </w:numPr>
        <w:spacing w:line="360" w:lineRule="auto"/>
        <w:ind w:left="360" w:hanging="360"/>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技术规格：</w:t>
      </w:r>
    </w:p>
    <w:p w14:paraId="1182BCE8">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3.1主机</w:t>
      </w:r>
    </w:p>
    <w:p w14:paraId="72BAE78E">
      <w:pPr>
        <w:spacing w:line="360" w:lineRule="auto"/>
        <w:ind w:firstLine="240" w:firstLineChars="100"/>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sz w:val="24"/>
        </w:rPr>
        <w:t>3.1.1</w:t>
      </w:r>
      <w:r>
        <w:rPr>
          <w:rFonts w:hint="eastAsia" w:ascii="Times New Roman" w:hAnsi="Times New Roman" w:eastAsia="宋体" w:cs="Times New Roman"/>
          <w:b w:val="0"/>
          <w:bCs w:val="0"/>
          <w:color w:val="auto"/>
          <w:sz w:val="24"/>
          <w:lang w:val="en-US" w:eastAsia="zh-CN"/>
        </w:rPr>
        <w:t xml:space="preserve"> </w:t>
      </w:r>
      <w:r>
        <w:rPr>
          <w:rFonts w:hint="eastAsia" w:ascii="Times New Roman" w:hAnsi="Times New Roman" w:eastAsia="宋体" w:cs="Times New Roman"/>
          <w:b w:val="0"/>
          <w:bCs w:val="0"/>
          <w:color w:val="auto"/>
          <w:kern w:val="2"/>
          <w:sz w:val="24"/>
          <w:szCs w:val="24"/>
          <w:lang w:val="en-US" w:eastAsia="zh-CN" w:bidi="ar-SA"/>
        </w:rPr>
        <w:t>显微镜光路采用全封闭箱式设计，具有宽场荧光成像、明场成像、无标记数字明场成像和共聚焦荧光扫描、共聚焦明场扫描五种检测模式。</w:t>
      </w:r>
    </w:p>
    <w:p w14:paraId="4C6A2AA7">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3.2 物镜系统</w:t>
      </w:r>
    </w:p>
    <w:p w14:paraId="78B4C857">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*3.2.1 物镜转轮≥6位；</w:t>
      </w:r>
    </w:p>
    <w:p w14:paraId="3C5F5633">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3.2.2  5X长工作距离物镜，NA≥0.1；</w:t>
      </w:r>
    </w:p>
    <w:p w14:paraId="6D6ADA57">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3.2.3  </w:t>
      </w:r>
      <w:r>
        <w:rPr>
          <w:rFonts w:hint="eastAsia" w:ascii="Times New Roman" w:hAnsi="Times New Roman" w:eastAsia="宋体" w:cs="Times New Roman"/>
          <w:b w:val="0"/>
          <w:bCs w:val="0"/>
          <w:color w:val="auto"/>
          <w:sz w:val="24"/>
        </w:rPr>
        <w:t>10 X 长工作距离物镜，NA≥0.25；</w:t>
      </w:r>
    </w:p>
    <w:p w14:paraId="3B807414">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3.2.4  </w:t>
      </w:r>
      <w:r>
        <w:rPr>
          <w:rFonts w:hint="eastAsia" w:ascii="Times New Roman" w:hAnsi="Times New Roman" w:eastAsia="宋体" w:cs="Times New Roman"/>
          <w:b w:val="0"/>
          <w:bCs w:val="0"/>
          <w:color w:val="auto"/>
          <w:sz w:val="24"/>
        </w:rPr>
        <w:t>20 X 长工作距离物镜 NA≥0.4；</w:t>
      </w:r>
    </w:p>
    <w:p w14:paraId="41711D8A">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3.2.5  </w:t>
      </w:r>
      <w:r>
        <w:rPr>
          <w:rFonts w:hint="eastAsia" w:ascii="Times New Roman" w:hAnsi="Times New Roman" w:eastAsia="宋体" w:cs="Times New Roman"/>
          <w:b w:val="0"/>
          <w:bCs w:val="0"/>
          <w:color w:val="auto"/>
          <w:sz w:val="24"/>
        </w:rPr>
        <w:t>20 X 高数值孔径物镜,NA≥0.8；</w:t>
      </w:r>
    </w:p>
    <w:p w14:paraId="72FCE065">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3.2.6  </w:t>
      </w:r>
      <w:r>
        <w:rPr>
          <w:rFonts w:hint="eastAsia" w:ascii="Times New Roman" w:hAnsi="Times New Roman" w:eastAsia="宋体" w:cs="Times New Roman"/>
          <w:b w:val="0"/>
          <w:bCs w:val="0"/>
          <w:color w:val="auto"/>
          <w:sz w:val="24"/>
        </w:rPr>
        <w:t>40 X 高数值孔径物镜，NA≥0.75；</w:t>
      </w:r>
    </w:p>
    <w:p w14:paraId="13EF16BB">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 xml:space="preserve">3.2.7  </w:t>
      </w:r>
      <w:r>
        <w:rPr>
          <w:rFonts w:hint="eastAsia" w:ascii="Times New Roman" w:hAnsi="Times New Roman" w:eastAsia="宋体" w:cs="Times New Roman"/>
          <w:b w:val="0"/>
          <w:bCs w:val="0"/>
          <w:color w:val="auto"/>
          <w:sz w:val="24"/>
        </w:rPr>
        <w:t>63 X高数值孔径水浸物镜，NA≥1.15；</w:t>
      </w:r>
    </w:p>
    <w:p w14:paraId="06A489B6">
      <w:pPr>
        <w:spacing w:line="360" w:lineRule="auto"/>
        <w:ind w:firstLine="240" w:firstLineChars="10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rPr>
        <w:t>#3.2.</w:t>
      </w:r>
      <w:r>
        <w:rPr>
          <w:rFonts w:hint="eastAsia" w:ascii="Times New Roman" w:hAnsi="Times New Roman" w:eastAsia="宋体" w:cs="Times New Roman"/>
          <w:b w:val="0"/>
          <w:bCs w:val="0"/>
          <w:color w:val="auto"/>
          <w:sz w:val="24"/>
          <w:lang w:val="en-US" w:eastAsia="zh-CN"/>
        </w:rPr>
        <w:t>8</w:t>
      </w:r>
      <w:r>
        <w:rPr>
          <w:rFonts w:hint="eastAsia" w:ascii="Times New Roman" w:hAnsi="Times New Roman" w:eastAsia="宋体" w:cs="Times New Roman"/>
          <w:b w:val="0"/>
          <w:bCs w:val="0"/>
          <w:color w:val="auto"/>
          <w:sz w:val="24"/>
        </w:rPr>
        <w:t xml:space="preserve"> 配置全自动物镜补水循环系统，可同时装载水镜镜头≥3个，含电动水泵，补水管道，自动注水器。可实现整板的水镜高通量全自动扫描</w:t>
      </w:r>
      <w:r>
        <w:rPr>
          <w:rFonts w:hint="eastAsia" w:ascii="Times New Roman" w:hAnsi="Times New Roman" w:eastAsia="宋体" w:cs="Times New Roman"/>
          <w:b w:val="0"/>
          <w:bCs w:val="0"/>
          <w:color w:val="auto"/>
          <w:sz w:val="24"/>
          <w:lang w:eastAsia="zh-CN"/>
        </w:rPr>
        <w:t>。</w:t>
      </w:r>
    </w:p>
    <w:p w14:paraId="5C7CA32F">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3.2.9 镜头配置读码器，支持条形码识别。</w:t>
      </w:r>
    </w:p>
    <w:p w14:paraId="1D0B05CF">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 xml:space="preserve"> 光路系统</w:t>
      </w:r>
    </w:p>
    <w:p w14:paraId="4C477DAB">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3.3.1 明场光源：≥700nm波段 LED；</w:t>
      </w:r>
    </w:p>
    <w:p w14:paraId="6DACF83D">
      <w:pPr>
        <w:spacing w:line="360" w:lineRule="auto"/>
        <w:ind w:firstLine="240" w:firstLineChars="10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2</w:t>
      </w:r>
      <w:r>
        <w:rPr>
          <w:rFonts w:hint="eastAsia" w:ascii="Times New Roman" w:hAnsi="Times New Roman" w:eastAsia="宋体" w:cs="Times New Roman"/>
          <w:b w:val="0"/>
          <w:bCs w:val="0"/>
          <w:color w:val="auto"/>
          <w:sz w:val="24"/>
        </w:rPr>
        <w:t xml:space="preserve"> 荧光光源：≥8位，至少包含365nm、440nm、475nm、510nm、550nm、580nm、630nm、660nm波段</w:t>
      </w:r>
      <w:r>
        <w:rPr>
          <w:rFonts w:hint="eastAsia" w:ascii="Times New Roman" w:hAnsi="Times New Roman" w:eastAsia="宋体" w:cs="Times New Roman"/>
          <w:b w:val="0"/>
          <w:bCs w:val="0"/>
          <w:color w:val="auto"/>
          <w:sz w:val="24"/>
          <w:lang w:eastAsia="zh-CN"/>
        </w:rPr>
        <w:t>；</w:t>
      </w:r>
    </w:p>
    <w:p w14:paraId="1FBC2450">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3.3</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 xml:space="preserve"> 光源最低功率≥100 mW;</w:t>
      </w:r>
    </w:p>
    <w:p w14:paraId="0FC9D720">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4 光源寿命：≥20000小时；</w:t>
      </w:r>
    </w:p>
    <w:p w14:paraId="4D4E93BB">
      <w:pPr>
        <w:spacing w:line="360" w:lineRule="auto"/>
        <w:ind w:firstLine="240" w:firstLineChars="10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5二向色镜转轮≥8位，具备自动条形码识别系统</w:t>
      </w:r>
      <w:r>
        <w:rPr>
          <w:rFonts w:hint="eastAsia" w:ascii="Times New Roman" w:hAnsi="Times New Roman" w:eastAsia="宋体" w:cs="Times New Roman"/>
          <w:b w:val="0"/>
          <w:bCs w:val="0"/>
          <w:color w:val="auto"/>
          <w:sz w:val="24"/>
          <w:lang w:eastAsia="zh-CN"/>
        </w:rPr>
        <w:t>；</w:t>
      </w:r>
    </w:p>
    <w:p w14:paraId="5A86541C">
      <w:pPr>
        <w:spacing w:line="360" w:lineRule="auto"/>
        <w:ind w:left="239" w:leftChars="114" w:firstLine="0" w:firstLineChars="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eastAsia="zh-CN"/>
        </w:rPr>
        <w:t>3.6发射光滤光片：≥8位，至少包含430-500nm、470-515nm、500-550nm、515-580nm、570-620nm、570-650nm、655-760nm、685-760nm波段，适应各种不同染料。</w:t>
      </w:r>
    </w:p>
    <w:p w14:paraId="0ECB3A8B">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4</w:t>
      </w:r>
      <w:r>
        <w:rPr>
          <w:rFonts w:hint="eastAsia" w:ascii="Times New Roman" w:hAnsi="Times New Roman" w:eastAsia="宋体" w:cs="Times New Roman"/>
          <w:b w:val="0"/>
          <w:bCs w:val="0"/>
          <w:color w:val="auto"/>
          <w:sz w:val="24"/>
        </w:rPr>
        <w:t xml:space="preserve"> 共聚焦</w:t>
      </w:r>
    </w:p>
    <w:p w14:paraId="07CBAA88">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4</w:t>
      </w:r>
      <w:r>
        <w:rPr>
          <w:rFonts w:hint="eastAsia" w:ascii="Times New Roman" w:hAnsi="Times New Roman" w:eastAsia="宋体" w:cs="Times New Roman"/>
          <w:b w:val="0"/>
          <w:bCs w:val="0"/>
          <w:color w:val="auto"/>
          <w:sz w:val="24"/>
        </w:rPr>
        <w:t>.1 共聚焦类型：微孔阵列式转盘共聚焦；</w:t>
      </w:r>
    </w:p>
    <w:p w14:paraId="5BC0C2FC">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4</w:t>
      </w:r>
      <w:r>
        <w:rPr>
          <w:rFonts w:hint="eastAsia" w:ascii="Times New Roman" w:hAnsi="Times New Roman" w:eastAsia="宋体" w:cs="Times New Roman"/>
          <w:b w:val="0"/>
          <w:bCs w:val="0"/>
          <w:color w:val="auto"/>
          <w:sz w:val="24"/>
        </w:rPr>
        <w:t>.2 针孔直径：≤55 μm</w:t>
      </w:r>
      <w:r>
        <w:rPr>
          <w:rFonts w:hint="eastAsia" w:ascii="Times New Roman" w:hAnsi="Times New Roman" w:eastAsia="宋体" w:cs="Times New Roman"/>
          <w:b w:val="0"/>
          <w:bCs w:val="0"/>
          <w:color w:val="auto"/>
          <w:sz w:val="24"/>
          <w:lang w:eastAsia="zh-CN"/>
        </w:rPr>
        <w:t>。</w:t>
      </w:r>
    </w:p>
    <w:p w14:paraId="6F17CAD2">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 xml:space="preserve"> 载物台适配器适用板型</w:t>
      </w:r>
    </w:p>
    <w:p w14:paraId="07AD1A87">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3.5</w:t>
      </w:r>
      <w:r>
        <w:rPr>
          <w:rFonts w:hint="eastAsia" w:ascii="Times New Roman" w:hAnsi="Times New Roman" w:eastAsia="宋体" w:cs="Times New Roman"/>
          <w:b w:val="0"/>
          <w:bCs w:val="0"/>
          <w:color w:val="auto"/>
          <w:sz w:val="24"/>
        </w:rPr>
        <w:t>.1适合所有标准的6-1536微孔板；</w:t>
      </w:r>
    </w:p>
    <w:p w14:paraId="16DF688A">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5.2支持用户自定义微孔板格式；</w:t>
      </w:r>
    </w:p>
    <w:p w14:paraId="262C38B1">
      <w:pPr>
        <w:spacing w:line="360" w:lineRule="auto"/>
        <w:ind w:firstLine="240" w:firstLineChars="10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5.3 配置载玻片适配器，进行组织切片成像和分析</w:t>
      </w:r>
      <w:r>
        <w:rPr>
          <w:rFonts w:hint="eastAsia" w:ascii="Times New Roman" w:hAnsi="Times New Roman" w:eastAsia="宋体" w:cs="Times New Roman"/>
          <w:b w:val="0"/>
          <w:bCs w:val="0"/>
          <w:color w:val="auto"/>
          <w:sz w:val="24"/>
          <w:lang w:eastAsia="zh-CN"/>
        </w:rPr>
        <w:t>。</w:t>
      </w:r>
    </w:p>
    <w:p w14:paraId="75D92C1B">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3.6 活细胞培养系统</w:t>
      </w:r>
    </w:p>
    <w:p w14:paraId="6D99D18B">
      <w:pPr>
        <w:spacing w:line="360" w:lineRule="auto"/>
        <w:ind w:firstLine="240" w:firstLineChars="1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3.6.1温度控制调节范围37-42℃；</w:t>
      </w:r>
    </w:p>
    <w:p w14:paraId="4108BD5A">
      <w:pPr>
        <w:spacing w:line="360" w:lineRule="auto"/>
        <w:ind w:firstLine="240" w:firstLineChars="1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3.6.2 温度控制精确性±1℃；</w:t>
      </w:r>
    </w:p>
    <w:p w14:paraId="07550947">
      <w:pPr>
        <w:spacing w:line="360" w:lineRule="auto"/>
        <w:ind w:firstLine="240" w:firstLineChars="1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SG"/>
        </w:rPr>
        <w:t>#</w:t>
      </w:r>
      <w:r>
        <w:rPr>
          <w:rFonts w:hint="eastAsia" w:ascii="Times New Roman" w:hAnsi="Times New Roman" w:eastAsia="宋体" w:cs="Times New Roman"/>
          <w:b w:val="0"/>
          <w:bCs w:val="0"/>
          <w:color w:val="auto"/>
          <w:sz w:val="24"/>
          <w:highlight w:val="none"/>
          <w:lang w:val="en-US" w:eastAsia="zh-CN"/>
        </w:rPr>
        <w:t>3.6.3 主机内置一体化CO2气体控制系统，控制范围1-10%；</w:t>
      </w:r>
    </w:p>
    <w:p w14:paraId="6451ABA1">
      <w:pPr>
        <w:spacing w:line="360" w:lineRule="auto"/>
        <w:ind w:firstLine="240" w:firstLineChars="1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3.6.4 CO2 控制精确性±1%。</w:t>
      </w:r>
    </w:p>
    <w:p w14:paraId="3AC9B63B">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7</w:t>
      </w:r>
      <w:r>
        <w:rPr>
          <w:rFonts w:hint="eastAsia" w:ascii="Times New Roman" w:hAnsi="Times New Roman" w:eastAsia="宋体" w:cs="Times New Roman"/>
          <w:b w:val="0"/>
          <w:bCs w:val="0"/>
          <w:color w:val="auto"/>
          <w:sz w:val="24"/>
        </w:rPr>
        <w:t xml:space="preserve"> 检测器</w:t>
      </w:r>
    </w:p>
    <w:p w14:paraId="1924FBA3">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7.1检测器类型：高灵敏度高分辨率sCMOS相机</w:t>
      </w:r>
    </w:p>
    <w:p w14:paraId="3AD66A84">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7.2 像素大小:≥450万；</w:t>
      </w:r>
    </w:p>
    <w:p w14:paraId="4EC11CAC">
      <w:pPr>
        <w:spacing w:line="360" w:lineRule="auto"/>
        <w:ind w:firstLine="240" w:firstLineChars="100"/>
        <w:rPr>
          <w:rFonts w:hint="eastAsia" w:ascii="Times New Roman" w:hAnsi="Times New Roman" w:eastAsia="宋体" w:cs="Times New Roman"/>
          <w:b w:val="0"/>
          <w:bCs w:val="0"/>
          <w:color w:val="auto"/>
          <w:sz w:val="24"/>
          <w:lang w:val="en-SG"/>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lang w:val="en-SG"/>
        </w:rPr>
        <w:t>7.3 像素尺寸≥6.5 μm X 6.5 μm；</w:t>
      </w:r>
    </w:p>
    <w:p w14:paraId="7D703831">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lang w:val="en-SG"/>
        </w:rPr>
        <w:t>7.4具备荧光平场校正功能：获得视野信号均一的图像，校正过程全自动完成，无需任何人工干预，不需准备任何试剂和参考图像</w:t>
      </w:r>
      <w:r>
        <w:rPr>
          <w:rFonts w:hint="eastAsia" w:ascii="Times New Roman" w:hAnsi="Times New Roman" w:eastAsia="宋体" w:cs="Times New Roman"/>
          <w:b w:val="0"/>
          <w:bCs w:val="0"/>
          <w:color w:val="auto"/>
          <w:sz w:val="24"/>
          <w:lang w:val="en-SG" w:eastAsia="zh-CN"/>
        </w:rPr>
        <w:t>。</w:t>
      </w:r>
    </w:p>
    <w:p w14:paraId="71F6B073">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8</w:t>
      </w:r>
      <w:r>
        <w:rPr>
          <w:rFonts w:hint="eastAsia" w:ascii="Times New Roman" w:hAnsi="Times New Roman" w:eastAsia="宋体" w:cs="Times New Roman"/>
          <w:b w:val="0"/>
          <w:bCs w:val="0"/>
          <w:color w:val="auto"/>
          <w:sz w:val="24"/>
        </w:rPr>
        <w:t xml:space="preserve"> 载物台</w:t>
      </w:r>
    </w:p>
    <w:p w14:paraId="576304D9">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8</w:t>
      </w:r>
      <w:r>
        <w:rPr>
          <w:rFonts w:hint="eastAsia" w:ascii="Times New Roman" w:hAnsi="Times New Roman" w:eastAsia="宋体" w:cs="Times New Roman"/>
          <w:b w:val="0"/>
          <w:bCs w:val="0"/>
          <w:color w:val="auto"/>
          <w:sz w:val="24"/>
        </w:rPr>
        <w:t>.1 具备磁悬浮载物台，步进精度≤50nm。</w:t>
      </w:r>
    </w:p>
    <w:p w14:paraId="12994861">
      <w:pPr>
        <w:spacing w:line="360" w:lineRule="auto"/>
        <w:ind w:firstLine="240" w:firstLineChars="100"/>
        <w:rPr>
          <w:rFonts w:hint="eastAsia" w:ascii="Times New Roman" w:hAnsi="Times New Roman" w:eastAsia="宋体" w:cs="Times New Roman"/>
          <w:b w:val="0"/>
          <w:bCs w:val="0"/>
          <w:color w:val="auto"/>
          <w:sz w:val="24"/>
          <w:lang w:val="en-SG"/>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lang w:val="en-SG"/>
        </w:rPr>
        <w:t>9分析软件</w:t>
      </w:r>
    </w:p>
    <w:p w14:paraId="6B9B0990">
      <w:pPr>
        <w:spacing w:line="360" w:lineRule="auto"/>
        <w:ind w:firstLine="240" w:firstLineChars="100"/>
        <w:rPr>
          <w:rFonts w:hint="eastAsia" w:ascii="Times New Roman" w:hAnsi="Times New Roman" w:eastAsia="宋体" w:cs="Times New Roman"/>
          <w:b w:val="0"/>
          <w:bCs w:val="0"/>
          <w:color w:val="auto"/>
          <w:sz w:val="24"/>
          <w:lang w:val="en-SG" w:eastAsia="zh-CN"/>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lang w:val="en-SG"/>
        </w:rPr>
        <w:t>9.1具备30种以上的细胞分析预设软件，具有细胞纹理分析模块，具备机器自学习功能，可以在同一样本视野内同时进行5种以上的细胞表型分类</w:t>
      </w:r>
      <w:r>
        <w:rPr>
          <w:rFonts w:hint="eastAsia" w:ascii="Times New Roman" w:hAnsi="Times New Roman" w:eastAsia="宋体" w:cs="Times New Roman"/>
          <w:b w:val="0"/>
          <w:bCs w:val="0"/>
          <w:color w:val="auto"/>
          <w:sz w:val="24"/>
          <w:lang w:val="en-SG" w:eastAsia="zh-CN"/>
        </w:rPr>
        <w:t>；</w:t>
      </w:r>
    </w:p>
    <w:p w14:paraId="7ACCEF8D">
      <w:pPr>
        <w:spacing w:line="360" w:lineRule="auto"/>
        <w:ind w:firstLine="240" w:firstLineChars="100"/>
        <w:rPr>
          <w:rFonts w:hint="eastAsia" w:ascii="Times New Roman" w:hAnsi="Times New Roman" w:eastAsia="宋体" w:cs="Times New Roman"/>
          <w:b w:val="0"/>
          <w:bCs w:val="0"/>
          <w:color w:val="auto"/>
          <w:sz w:val="24"/>
          <w:lang w:val="en-SG" w:eastAsia="zh-CN"/>
        </w:rPr>
      </w:pPr>
      <w:r>
        <w:rPr>
          <w:rFonts w:hint="eastAsia" w:ascii="Times New Roman" w:hAnsi="Times New Roman" w:eastAsia="宋体" w:cs="Times New Roman"/>
          <w:b w:val="0"/>
          <w:bCs w:val="0"/>
          <w:color w:val="auto"/>
          <w:sz w:val="24"/>
          <w:lang w:val="en-SG"/>
        </w:rPr>
        <w:t>#</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lang w:val="en-SG"/>
        </w:rPr>
        <w:t>9.2具备自动分析功能：由软件对图像进行自主分析，无需任何人工干预，帮助使用者找到最合适的分析方法。形态学参数≥200个</w:t>
      </w:r>
      <w:r>
        <w:rPr>
          <w:rFonts w:hint="eastAsia" w:ascii="Times New Roman" w:hAnsi="Times New Roman" w:eastAsia="宋体" w:cs="Times New Roman"/>
          <w:b w:val="0"/>
          <w:bCs w:val="0"/>
          <w:color w:val="auto"/>
          <w:sz w:val="24"/>
          <w:lang w:val="en-SG" w:eastAsia="zh-CN"/>
        </w:rPr>
        <w:t>；</w:t>
      </w:r>
    </w:p>
    <w:p w14:paraId="7CFAA0B1">
      <w:pPr>
        <w:spacing w:line="360" w:lineRule="auto"/>
        <w:ind w:firstLine="240" w:firstLineChars="100"/>
        <w:rPr>
          <w:rFonts w:hint="eastAsia" w:ascii="Times New Roman" w:hAnsi="Times New Roman" w:eastAsia="宋体" w:cs="Times New Roman"/>
          <w:b w:val="0"/>
          <w:bCs w:val="0"/>
          <w:color w:val="auto"/>
          <w:sz w:val="24"/>
          <w:lang w:val="en-SG" w:eastAsia="zh-CN"/>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lang w:val="en-SG"/>
        </w:rPr>
        <w:t>9.3 软件所有分析模块均开放使用，无需额外费用，分析软件终身免费维护并升级</w:t>
      </w:r>
      <w:r>
        <w:rPr>
          <w:rFonts w:hint="eastAsia" w:ascii="Times New Roman" w:hAnsi="Times New Roman" w:eastAsia="宋体" w:cs="Times New Roman"/>
          <w:b w:val="0"/>
          <w:bCs w:val="0"/>
          <w:color w:val="auto"/>
          <w:sz w:val="24"/>
          <w:lang w:val="en-SG" w:eastAsia="zh-CN"/>
        </w:rPr>
        <w:t>；</w:t>
      </w:r>
    </w:p>
    <w:p w14:paraId="35F392CC">
      <w:pPr>
        <w:spacing w:line="360" w:lineRule="auto"/>
        <w:ind w:firstLine="240" w:firstLineChars="100"/>
        <w:rPr>
          <w:rFonts w:hint="eastAsia" w:ascii="Times New Roman" w:hAnsi="Times New Roman" w:eastAsia="宋体" w:cs="Times New Roman"/>
          <w:b w:val="0"/>
          <w:bCs w:val="0"/>
          <w:color w:val="auto"/>
          <w:sz w:val="24"/>
          <w:lang w:val="en-SG" w:eastAsia="zh-CN"/>
        </w:rPr>
      </w:pP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lang w:val="en-SG"/>
        </w:rPr>
        <w:t>9.4 计算机工作站：处理器Intel® Core™双六核处理器及以上，内存≥128GB，硬盘≥22TB，64 bit Windows®10操作系统或以上，24寸显示器或以上</w:t>
      </w:r>
      <w:r>
        <w:rPr>
          <w:rFonts w:hint="eastAsia" w:ascii="Times New Roman" w:hAnsi="Times New Roman" w:eastAsia="宋体" w:cs="Times New Roman"/>
          <w:b w:val="0"/>
          <w:bCs w:val="0"/>
          <w:color w:val="auto"/>
          <w:sz w:val="24"/>
          <w:lang w:val="en-SG" w:eastAsia="zh-CN"/>
        </w:rPr>
        <w:t>。</w:t>
      </w:r>
    </w:p>
    <w:p w14:paraId="6954A3DD">
      <w:pPr>
        <w:numPr>
          <w:ilvl w:val="0"/>
          <w:numId w:val="2"/>
        </w:numPr>
        <w:spacing w:line="360" w:lineRule="auto"/>
        <w:ind w:left="360" w:hanging="36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产品配置要求</w:t>
      </w:r>
    </w:p>
    <w:p w14:paraId="00A6C153">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4.1 主机 1套；</w:t>
      </w:r>
    </w:p>
    <w:p w14:paraId="34B0A314">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4.2 物镜镜头6个：包含5X长工作距离物镜，10X长工作距离物镜；20X长工作距离物镜；20X 高数值孔径物镜；40X高数值孔径物镜；63X高数值孔径水浸物镜；</w:t>
      </w:r>
    </w:p>
    <w:p w14:paraId="7A2618D2">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4.3 全自动物镜补水循环系统1套；</w:t>
      </w:r>
    </w:p>
    <w:p w14:paraId="69277183">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4.4 转盘共聚焦模块 1套；</w:t>
      </w:r>
    </w:p>
    <w:p w14:paraId="4FD3FE09">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4.5 活细胞培养模块 1套；</w:t>
      </w:r>
    </w:p>
    <w:p w14:paraId="73B86232">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4.6 玻片扫描适配器1套；</w:t>
      </w:r>
    </w:p>
    <w:p w14:paraId="33FBCEA9">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4.7 计算机工作站 1 套；</w:t>
      </w:r>
    </w:p>
    <w:p w14:paraId="4F27A61B">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4.8 分析软件2套；</w:t>
      </w:r>
    </w:p>
    <w:p w14:paraId="4C93119B">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rPr>
        <w:t>4.9 UPS不间断电源</w:t>
      </w:r>
      <w:r>
        <w:rPr>
          <w:rFonts w:hint="eastAsia" w:ascii="Times New Roman" w:hAnsi="Times New Roman" w:eastAsia="宋体" w:cs="仿宋_GB2312"/>
          <w:b w:val="0"/>
          <w:bCs w:val="0"/>
          <w:color w:val="auto"/>
          <w:sz w:val="24"/>
          <w:szCs w:val="28"/>
          <w:lang w:val="en-US" w:eastAsia="zh-CN"/>
        </w:rPr>
        <w:t>1</w:t>
      </w:r>
      <w:r>
        <w:rPr>
          <w:rFonts w:hint="eastAsia" w:ascii="Times New Roman" w:hAnsi="Times New Roman" w:eastAsia="宋体" w:cs="仿宋_GB2312"/>
          <w:b w:val="0"/>
          <w:bCs w:val="0"/>
          <w:color w:val="auto"/>
          <w:sz w:val="24"/>
          <w:szCs w:val="28"/>
        </w:rPr>
        <w:t>套。</w:t>
      </w:r>
    </w:p>
    <w:p w14:paraId="44C0E30C">
      <w:pPr>
        <w:adjustRightInd w:val="0"/>
        <w:snapToGrid w:val="0"/>
        <w:spacing w:line="360" w:lineRule="auto"/>
        <w:ind w:firstLine="480" w:firstLineChars="200"/>
        <w:rPr>
          <w:rFonts w:hint="eastAsia" w:ascii="Times New Roman" w:hAnsi="Times New Roman" w:eastAsia="宋体" w:cs="仿宋_GB2312"/>
          <w:b w:val="0"/>
          <w:bCs w:val="0"/>
          <w:color w:val="auto"/>
          <w:sz w:val="24"/>
          <w:szCs w:val="28"/>
        </w:rPr>
      </w:pPr>
      <w:r>
        <w:rPr>
          <w:rFonts w:hint="eastAsia" w:ascii="Times New Roman" w:hAnsi="Times New Roman" w:eastAsia="宋体" w:cs="仿宋_GB2312"/>
          <w:b w:val="0"/>
          <w:bCs w:val="0"/>
          <w:color w:val="auto"/>
          <w:sz w:val="24"/>
          <w:szCs w:val="28"/>
          <w:lang w:val="en-US" w:eastAsia="zh-CN"/>
        </w:rPr>
        <w:t>4</w:t>
      </w:r>
      <w:r>
        <w:rPr>
          <w:rFonts w:hint="eastAsia" w:ascii="Times New Roman" w:hAnsi="Times New Roman" w:eastAsia="宋体" w:cs="仿宋_GB2312"/>
          <w:b w:val="0"/>
          <w:bCs w:val="0"/>
          <w:color w:val="auto"/>
          <w:sz w:val="24"/>
          <w:szCs w:val="28"/>
        </w:rPr>
        <w:t>.</w:t>
      </w:r>
      <w:r>
        <w:rPr>
          <w:rFonts w:hint="eastAsia" w:ascii="Times New Roman" w:hAnsi="Times New Roman" w:eastAsia="宋体" w:cs="仿宋_GB2312"/>
          <w:b w:val="0"/>
          <w:bCs w:val="0"/>
          <w:color w:val="auto"/>
          <w:sz w:val="24"/>
          <w:szCs w:val="28"/>
          <w:lang w:val="en-US" w:eastAsia="zh-CN"/>
        </w:rPr>
        <w:t>1</w:t>
      </w:r>
      <w:r>
        <w:rPr>
          <w:rFonts w:hint="eastAsia" w:ascii="Times New Roman" w:hAnsi="Times New Roman" w:eastAsia="宋体" w:cs="仿宋_GB2312"/>
          <w:b w:val="0"/>
          <w:bCs w:val="0"/>
          <w:color w:val="auto"/>
          <w:sz w:val="24"/>
          <w:szCs w:val="28"/>
        </w:rPr>
        <w:t>0 其它保证仪器设备的正常运行和常规保养所需的附件、专用工具和消耗品。(由投标人提供)</w:t>
      </w:r>
    </w:p>
    <w:p w14:paraId="2AD3B5C9">
      <w:pPr>
        <w:adjustRightInd w:val="0"/>
        <w:snapToGrid w:val="0"/>
        <w:spacing w:line="360" w:lineRule="auto"/>
        <w:ind w:firstLine="420" w:firstLineChars="200"/>
        <w:rPr>
          <w:rFonts w:ascii="Times New Roman" w:hAnsi="Times New Roman" w:eastAsia="宋体" w:cs="Times New Roman"/>
          <w:b w:val="0"/>
          <w:bCs w:val="0"/>
          <w:color w:val="auto"/>
        </w:rPr>
      </w:pPr>
    </w:p>
    <w:p w14:paraId="781715D5">
      <w:pPr>
        <w:numPr>
          <w:ilvl w:val="0"/>
          <w:numId w:val="2"/>
        </w:numPr>
        <w:spacing w:line="360" w:lineRule="auto"/>
        <w:ind w:left="360" w:hanging="36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验收指标</w:t>
      </w:r>
    </w:p>
    <w:p w14:paraId="090AA7A5">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.1主机</w:t>
      </w:r>
    </w:p>
    <w:p w14:paraId="472A9F51">
      <w:pPr>
        <w:spacing w:line="360" w:lineRule="auto"/>
        <w:ind w:firstLine="240" w:firstLineChars="100"/>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.1.1</w:t>
      </w:r>
      <w:r>
        <w:rPr>
          <w:rFonts w:hint="eastAsia" w:ascii="Times New Roman" w:hAnsi="Times New Roman" w:eastAsia="宋体" w:cs="Times New Roman"/>
          <w:b w:val="0"/>
          <w:bCs w:val="0"/>
          <w:color w:val="auto"/>
          <w:sz w:val="24"/>
          <w:lang w:val="en-US" w:eastAsia="zh-CN"/>
        </w:rPr>
        <w:t xml:space="preserve"> </w:t>
      </w:r>
      <w:r>
        <w:rPr>
          <w:rFonts w:hint="eastAsia" w:ascii="Times New Roman" w:hAnsi="Times New Roman" w:eastAsia="宋体" w:cs="Times New Roman"/>
          <w:b w:val="0"/>
          <w:bCs w:val="0"/>
          <w:color w:val="auto"/>
          <w:kern w:val="2"/>
          <w:sz w:val="24"/>
          <w:szCs w:val="24"/>
          <w:lang w:val="en-US" w:eastAsia="zh-CN" w:bidi="ar-SA"/>
        </w:rPr>
        <w:t>显微镜光路采用全封闭箱式设计，具有宽场荧光成像、明场成像、无标记数字明场成像和共聚焦荧光扫描、共聚焦明场扫描五种检测模式。</w:t>
      </w:r>
    </w:p>
    <w:p w14:paraId="250AA068">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.2 物镜系统</w:t>
      </w:r>
    </w:p>
    <w:p w14:paraId="37B96E60">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.2.1 物镜转轮≥6位；</w:t>
      </w:r>
    </w:p>
    <w:p w14:paraId="1F267D04">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.2.2  5X长工作距离物镜，NA≥0.1；</w:t>
      </w:r>
    </w:p>
    <w:p w14:paraId="51C278C3">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5.2.3  </w:t>
      </w:r>
      <w:r>
        <w:rPr>
          <w:rFonts w:hint="eastAsia" w:ascii="Times New Roman" w:hAnsi="Times New Roman" w:eastAsia="宋体" w:cs="Times New Roman"/>
          <w:b w:val="0"/>
          <w:bCs w:val="0"/>
          <w:color w:val="auto"/>
          <w:sz w:val="24"/>
        </w:rPr>
        <w:t>10 X 长工作距离物镜，NA≥0.25；</w:t>
      </w:r>
    </w:p>
    <w:p w14:paraId="3BCD2FD6">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5.2.4  </w:t>
      </w:r>
      <w:r>
        <w:rPr>
          <w:rFonts w:hint="eastAsia" w:ascii="Times New Roman" w:hAnsi="Times New Roman" w:eastAsia="宋体" w:cs="Times New Roman"/>
          <w:b w:val="0"/>
          <w:bCs w:val="0"/>
          <w:color w:val="auto"/>
          <w:sz w:val="24"/>
        </w:rPr>
        <w:t>20 X 长工作距离物镜 NA≥0.4；</w:t>
      </w:r>
    </w:p>
    <w:p w14:paraId="1785641F">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5.2.5  </w:t>
      </w:r>
      <w:r>
        <w:rPr>
          <w:rFonts w:hint="eastAsia" w:ascii="Times New Roman" w:hAnsi="Times New Roman" w:eastAsia="宋体" w:cs="Times New Roman"/>
          <w:b w:val="0"/>
          <w:bCs w:val="0"/>
          <w:color w:val="auto"/>
          <w:sz w:val="24"/>
        </w:rPr>
        <w:t>20 X 高数值孔径物镜,NA≥0.8；</w:t>
      </w:r>
    </w:p>
    <w:p w14:paraId="694497FA">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5.2.6  </w:t>
      </w:r>
      <w:r>
        <w:rPr>
          <w:rFonts w:hint="eastAsia" w:ascii="Times New Roman" w:hAnsi="Times New Roman" w:eastAsia="宋体" w:cs="Times New Roman"/>
          <w:b w:val="0"/>
          <w:bCs w:val="0"/>
          <w:color w:val="auto"/>
          <w:sz w:val="24"/>
        </w:rPr>
        <w:t>40 X 高数值孔径物镜，NA≥0.75；</w:t>
      </w:r>
    </w:p>
    <w:p w14:paraId="097B586E">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 xml:space="preserve">5.2.7  </w:t>
      </w:r>
      <w:r>
        <w:rPr>
          <w:rFonts w:hint="eastAsia" w:ascii="Times New Roman" w:hAnsi="Times New Roman" w:eastAsia="宋体" w:cs="Times New Roman"/>
          <w:b w:val="0"/>
          <w:bCs w:val="0"/>
          <w:color w:val="auto"/>
          <w:sz w:val="24"/>
        </w:rPr>
        <w:t>63 X高数值孔径水浸物镜，NA≥1.15；</w:t>
      </w:r>
    </w:p>
    <w:p w14:paraId="098EB535">
      <w:pPr>
        <w:spacing w:line="360" w:lineRule="auto"/>
        <w:ind w:firstLine="240" w:firstLineChars="10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.2.</w:t>
      </w:r>
      <w:r>
        <w:rPr>
          <w:rFonts w:hint="eastAsia" w:ascii="Times New Roman" w:hAnsi="Times New Roman" w:eastAsia="宋体" w:cs="Times New Roman"/>
          <w:b w:val="0"/>
          <w:bCs w:val="0"/>
          <w:color w:val="auto"/>
          <w:sz w:val="24"/>
          <w:lang w:val="en-US" w:eastAsia="zh-CN"/>
        </w:rPr>
        <w:t>8</w:t>
      </w:r>
      <w:r>
        <w:rPr>
          <w:rFonts w:hint="eastAsia" w:ascii="Times New Roman" w:hAnsi="Times New Roman" w:eastAsia="宋体" w:cs="Times New Roman"/>
          <w:b w:val="0"/>
          <w:bCs w:val="0"/>
          <w:color w:val="auto"/>
          <w:sz w:val="24"/>
        </w:rPr>
        <w:t xml:space="preserve"> 配置全自动物镜补水循环系统，可同时装载水镜镜头≥3个，含电动水泵，补水管道，自动注水器。可实现整板的水镜高通量全自动扫描</w:t>
      </w:r>
      <w:r>
        <w:rPr>
          <w:rFonts w:hint="eastAsia" w:ascii="Times New Roman" w:hAnsi="Times New Roman" w:eastAsia="宋体" w:cs="Times New Roman"/>
          <w:b w:val="0"/>
          <w:bCs w:val="0"/>
          <w:color w:val="auto"/>
          <w:sz w:val="24"/>
          <w:lang w:eastAsia="zh-CN"/>
        </w:rPr>
        <w:t>。</w:t>
      </w:r>
    </w:p>
    <w:p w14:paraId="1B29C308">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5.2.9 镜头配置读码器，支持条形码识别。</w:t>
      </w:r>
    </w:p>
    <w:p w14:paraId="11317ED9">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 xml:space="preserve"> 光路系统</w:t>
      </w:r>
    </w:p>
    <w:p w14:paraId="1AC20541">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5.3.1 明场光源：≥700nm波段 LED；</w:t>
      </w:r>
    </w:p>
    <w:p w14:paraId="34415E77">
      <w:pPr>
        <w:spacing w:line="360" w:lineRule="auto"/>
        <w:ind w:firstLine="240" w:firstLineChars="10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2</w:t>
      </w:r>
      <w:r>
        <w:rPr>
          <w:rFonts w:hint="eastAsia" w:ascii="Times New Roman" w:hAnsi="Times New Roman" w:eastAsia="宋体" w:cs="Times New Roman"/>
          <w:b w:val="0"/>
          <w:bCs w:val="0"/>
          <w:color w:val="auto"/>
          <w:sz w:val="24"/>
        </w:rPr>
        <w:t xml:space="preserve"> 荧光光源：≥8位，至少包含365nm、440nm、475nm、510nm、550nm、580nm、630nm、660nm波段</w:t>
      </w:r>
      <w:r>
        <w:rPr>
          <w:rFonts w:hint="eastAsia" w:ascii="Times New Roman" w:hAnsi="Times New Roman" w:eastAsia="宋体" w:cs="Times New Roman"/>
          <w:b w:val="0"/>
          <w:bCs w:val="0"/>
          <w:color w:val="auto"/>
          <w:sz w:val="24"/>
          <w:lang w:eastAsia="zh-CN"/>
        </w:rPr>
        <w:t>；</w:t>
      </w:r>
    </w:p>
    <w:p w14:paraId="097BC190">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.3</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 xml:space="preserve"> 光源最低功率≥100 mW;</w:t>
      </w:r>
    </w:p>
    <w:p w14:paraId="32005F30">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4 光源寿命：≥20000小时；</w:t>
      </w:r>
    </w:p>
    <w:p w14:paraId="714DCACD">
      <w:pPr>
        <w:spacing w:line="360" w:lineRule="auto"/>
        <w:ind w:firstLine="240" w:firstLineChars="10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3.</w:t>
      </w:r>
      <w:r>
        <w:rPr>
          <w:rFonts w:hint="eastAsia" w:ascii="Times New Roman" w:hAnsi="Times New Roman" w:eastAsia="宋体" w:cs="Times New Roman"/>
          <w:b w:val="0"/>
          <w:bCs w:val="0"/>
          <w:color w:val="auto"/>
          <w:sz w:val="24"/>
        </w:rPr>
        <w:t>5二向色镜转轮≥8位，具备自动条形码识别系统</w:t>
      </w:r>
      <w:r>
        <w:rPr>
          <w:rFonts w:hint="eastAsia" w:ascii="Times New Roman" w:hAnsi="Times New Roman" w:eastAsia="宋体" w:cs="Times New Roman"/>
          <w:b w:val="0"/>
          <w:bCs w:val="0"/>
          <w:color w:val="auto"/>
          <w:sz w:val="24"/>
          <w:lang w:eastAsia="zh-CN"/>
        </w:rPr>
        <w:t>；</w:t>
      </w:r>
    </w:p>
    <w:p w14:paraId="0D9C4D10">
      <w:pPr>
        <w:spacing w:line="360" w:lineRule="auto"/>
        <w:ind w:left="19" w:leftChars="9" w:firstLine="218" w:firstLineChars="91"/>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lang w:eastAsia="zh-CN"/>
        </w:rPr>
        <w:t>.6发射光滤光片：≥8位，至少包含430-500nm、470-515nm、500-550nm、515-580nm、570-620nm、570-650nm、655-760nm、685-760nm波段，适应各种不同染料。</w:t>
      </w:r>
    </w:p>
    <w:p w14:paraId="0FD93E83">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4</w:t>
      </w:r>
      <w:r>
        <w:rPr>
          <w:rFonts w:hint="eastAsia" w:ascii="Times New Roman" w:hAnsi="Times New Roman" w:eastAsia="宋体" w:cs="Times New Roman"/>
          <w:b w:val="0"/>
          <w:bCs w:val="0"/>
          <w:color w:val="auto"/>
          <w:sz w:val="24"/>
        </w:rPr>
        <w:t xml:space="preserve"> 共聚焦</w:t>
      </w:r>
    </w:p>
    <w:p w14:paraId="51F2AB24">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4</w:t>
      </w:r>
      <w:r>
        <w:rPr>
          <w:rFonts w:hint="eastAsia" w:ascii="Times New Roman" w:hAnsi="Times New Roman" w:eastAsia="宋体" w:cs="Times New Roman"/>
          <w:b w:val="0"/>
          <w:bCs w:val="0"/>
          <w:color w:val="auto"/>
          <w:sz w:val="24"/>
        </w:rPr>
        <w:t>.1 共聚焦类型：微孔阵列式转盘共聚焦；</w:t>
      </w:r>
    </w:p>
    <w:p w14:paraId="48249D19">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4</w:t>
      </w:r>
      <w:r>
        <w:rPr>
          <w:rFonts w:hint="eastAsia" w:ascii="Times New Roman" w:hAnsi="Times New Roman" w:eastAsia="宋体" w:cs="Times New Roman"/>
          <w:b w:val="0"/>
          <w:bCs w:val="0"/>
          <w:color w:val="auto"/>
          <w:sz w:val="24"/>
        </w:rPr>
        <w:t>.2 针孔直径：≤55 μm</w:t>
      </w:r>
      <w:r>
        <w:rPr>
          <w:rFonts w:hint="eastAsia" w:ascii="Times New Roman" w:hAnsi="Times New Roman" w:eastAsia="宋体" w:cs="Times New Roman"/>
          <w:b w:val="0"/>
          <w:bCs w:val="0"/>
          <w:color w:val="auto"/>
          <w:sz w:val="24"/>
          <w:lang w:eastAsia="zh-CN"/>
        </w:rPr>
        <w:t>。</w:t>
      </w:r>
    </w:p>
    <w:p w14:paraId="3900F3E4">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 xml:space="preserve"> 载物台适配器适用板型</w:t>
      </w:r>
    </w:p>
    <w:p w14:paraId="3ED6CEEF">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5.5</w:t>
      </w:r>
      <w:r>
        <w:rPr>
          <w:rFonts w:hint="eastAsia" w:ascii="Times New Roman" w:hAnsi="Times New Roman" w:eastAsia="宋体" w:cs="Times New Roman"/>
          <w:b w:val="0"/>
          <w:bCs w:val="0"/>
          <w:color w:val="auto"/>
          <w:sz w:val="24"/>
        </w:rPr>
        <w:t>.1适合所有标准的6-1536微孔板；</w:t>
      </w:r>
    </w:p>
    <w:p w14:paraId="120C5E72">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5.2支持用户自定义微孔板格式；</w:t>
      </w:r>
    </w:p>
    <w:p w14:paraId="17A78A40">
      <w:pPr>
        <w:spacing w:line="360" w:lineRule="auto"/>
        <w:ind w:firstLine="240" w:firstLineChars="100"/>
        <w:rPr>
          <w:rFonts w:hint="eastAsia" w:ascii="Times New Roman" w:hAnsi="Times New Roman" w:eastAsia="宋体" w:cs="Times New Roman"/>
          <w:b w:val="0"/>
          <w:bCs w:val="0"/>
          <w:color w:val="auto"/>
          <w:sz w:val="24"/>
          <w:lan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5.3 配置载玻片适配器，进行组织切片成像和分析</w:t>
      </w:r>
      <w:r>
        <w:rPr>
          <w:rFonts w:hint="eastAsia" w:ascii="Times New Roman" w:hAnsi="Times New Roman" w:eastAsia="宋体" w:cs="Times New Roman"/>
          <w:b w:val="0"/>
          <w:bCs w:val="0"/>
          <w:color w:val="auto"/>
          <w:sz w:val="24"/>
          <w:lang w:eastAsia="zh-CN"/>
        </w:rPr>
        <w:t>。</w:t>
      </w:r>
    </w:p>
    <w:p w14:paraId="65B27453">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5.6 活细胞培养系统</w:t>
      </w:r>
    </w:p>
    <w:p w14:paraId="4ECD3240">
      <w:pPr>
        <w:spacing w:line="360" w:lineRule="auto"/>
        <w:ind w:firstLine="240" w:firstLineChars="1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5.6.1温度控制调节范围37-42℃；</w:t>
      </w:r>
    </w:p>
    <w:p w14:paraId="2B7EE454">
      <w:pPr>
        <w:spacing w:line="360" w:lineRule="auto"/>
        <w:ind w:firstLine="240" w:firstLineChars="1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5.6.2 温度控制精确性±1℃；</w:t>
      </w:r>
    </w:p>
    <w:p w14:paraId="4A5BBE4C">
      <w:pPr>
        <w:spacing w:line="360" w:lineRule="auto"/>
        <w:ind w:firstLine="240" w:firstLineChars="1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5.6.3 主机内置一体化CO2气体控制系统，控制范围1-10%；</w:t>
      </w:r>
    </w:p>
    <w:p w14:paraId="3FC0F72D">
      <w:pPr>
        <w:spacing w:line="360" w:lineRule="auto"/>
        <w:ind w:firstLine="240" w:firstLineChars="1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5.6.4 CO2 控制精确性±1%。</w:t>
      </w:r>
    </w:p>
    <w:p w14:paraId="0EDDAE25">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7</w:t>
      </w:r>
      <w:r>
        <w:rPr>
          <w:rFonts w:hint="eastAsia" w:ascii="Times New Roman" w:hAnsi="Times New Roman" w:eastAsia="宋体" w:cs="Times New Roman"/>
          <w:b w:val="0"/>
          <w:bCs w:val="0"/>
          <w:color w:val="auto"/>
          <w:sz w:val="24"/>
        </w:rPr>
        <w:t xml:space="preserve"> 检测器</w:t>
      </w:r>
    </w:p>
    <w:p w14:paraId="25CFEAE1">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7.1检测器类型：高灵敏度高分辨率sCMOS相机</w:t>
      </w:r>
    </w:p>
    <w:p w14:paraId="6F13EC30">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7.2 像素大小:≥450万；</w:t>
      </w:r>
    </w:p>
    <w:p w14:paraId="1312BA58">
      <w:pPr>
        <w:spacing w:line="360" w:lineRule="auto"/>
        <w:ind w:firstLine="240" w:firstLineChars="100"/>
        <w:rPr>
          <w:rFonts w:hint="eastAsia" w:ascii="Times New Roman" w:hAnsi="Times New Roman" w:eastAsia="宋体" w:cs="Times New Roman"/>
          <w:b w:val="0"/>
          <w:bCs w:val="0"/>
          <w:color w:val="auto"/>
          <w:sz w:val="24"/>
          <w:lang w:val="en-SG"/>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lang w:val="en-SG"/>
        </w:rPr>
        <w:t>7.3 像素尺寸≥6.5 μm X 6.5 μm；</w:t>
      </w:r>
    </w:p>
    <w:p w14:paraId="6454F083">
      <w:pPr>
        <w:spacing w:line="360" w:lineRule="auto"/>
        <w:ind w:firstLine="240" w:firstLineChars="100"/>
        <w:rPr>
          <w:rFonts w:hint="eastAsia" w:ascii="Times New Roman" w:hAnsi="Times New Roman" w:eastAsia="宋体" w:cs="Times New Roman"/>
          <w:b w:val="0"/>
          <w:bCs w:val="0"/>
          <w:color w:val="auto"/>
          <w:sz w:val="24"/>
          <w:lang w:val="en-US"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lang w:val="en-SG"/>
        </w:rPr>
        <w:t>7.4具备荧光平场校正功能：获得视野信号均一的图像，校正过程全自动完成，无需任何人工干预，不需准备任何试剂和参考图像</w:t>
      </w:r>
      <w:r>
        <w:rPr>
          <w:rFonts w:hint="eastAsia" w:ascii="Times New Roman" w:hAnsi="Times New Roman" w:eastAsia="宋体" w:cs="Times New Roman"/>
          <w:b w:val="0"/>
          <w:bCs w:val="0"/>
          <w:color w:val="auto"/>
          <w:sz w:val="24"/>
          <w:lang w:val="en-SG" w:eastAsia="zh-CN"/>
        </w:rPr>
        <w:t>。</w:t>
      </w:r>
    </w:p>
    <w:p w14:paraId="3237640C">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8</w:t>
      </w:r>
      <w:r>
        <w:rPr>
          <w:rFonts w:hint="eastAsia" w:ascii="Times New Roman" w:hAnsi="Times New Roman" w:eastAsia="宋体" w:cs="Times New Roman"/>
          <w:b w:val="0"/>
          <w:bCs w:val="0"/>
          <w:color w:val="auto"/>
          <w:sz w:val="24"/>
        </w:rPr>
        <w:t xml:space="preserve"> 载物台</w:t>
      </w:r>
    </w:p>
    <w:p w14:paraId="61284F6E">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rPr>
        <w:t>.</w:t>
      </w:r>
      <w:r>
        <w:rPr>
          <w:rFonts w:hint="eastAsia" w:ascii="Times New Roman" w:hAnsi="Times New Roman" w:eastAsia="宋体" w:cs="Times New Roman"/>
          <w:b w:val="0"/>
          <w:bCs w:val="0"/>
          <w:color w:val="auto"/>
          <w:sz w:val="24"/>
          <w:lang w:val="en-US" w:eastAsia="zh-CN"/>
        </w:rPr>
        <w:t>8</w:t>
      </w:r>
      <w:r>
        <w:rPr>
          <w:rFonts w:hint="eastAsia" w:ascii="Times New Roman" w:hAnsi="Times New Roman" w:eastAsia="宋体" w:cs="Times New Roman"/>
          <w:b w:val="0"/>
          <w:bCs w:val="0"/>
          <w:color w:val="auto"/>
          <w:sz w:val="24"/>
        </w:rPr>
        <w:t>.1 具备磁悬浮载物台，步进精度≤50nm。</w:t>
      </w:r>
    </w:p>
    <w:p w14:paraId="613B286D">
      <w:pPr>
        <w:spacing w:line="360" w:lineRule="auto"/>
        <w:ind w:firstLine="240" w:firstLineChars="100"/>
        <w:rPr>
          <w:rFonts w:hint="eastAsia" w:ascii="Times New Roman" w:hAnsi="Times New Roman" w:eastAsia="宋体" w:cs="Times New Roman"/>
          <w:b w:val="0"/>
          <w:bCs w:val="0"/>
          <w:color w:val="auto"/>
          <w:sz w:val="24"/>
          <w:lang w:val="en-SG"/>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lang w:val="en-SG"/>
        </w:rPr>
        <w:t>9分析软件</w:t>
      </w:r>
    </w:p>
    <w:p w14:paraId="02130E03">
      <w:pPr>
        <w:spacing w:line="360" w:lineRule="auto"/>
        <w:ind w:firstLine="240" w:firstLineChars="100"/>
        <w:rPr>
          <w:rFonts w:hint="eastAsia" w:ascii="Times New Roman" w:hAnsi="Times New Roman" w:eastAsia="宋体" w:cs="Times New Roman"/>
          <w:b w:val="0"/>
          <w:bCs w:val="0"/>
          <w:color w:val="auto"/>
          <w:sz w:val="24"/>
          <w:lang w:val="en-S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lang w:val="en-SG"/>
        </w:rPr>
        <w:t>9.1具备30种以上的细胞分析预设软件，具有细胞纹理分析模块，具备机器自学习功能，可以在同一样本视野内同时进行5种以上的细胞表型分类</w:t>
      </w:r>
      <w:r>
        <w:rPr>
          <w:rFonts w:hint="eastAsia" w:ascii="Times New Roman" w:hAnsi="Times New Roman" w:eastAsia="宋体" w:cs="Times New Roman"/>
          <w:b w:val="0"/>
          <w:bCs w:val="0"/>
          <w:color w:val="auto"/>
          <w:sz w:val="24"/>
          <w:lang w:val="en-SG" w:eastAsia="zh-CN"/>
        </w:rPr>
        <w:t>；</w:t>
      </w:r>
    </w:p>
    <w:p w14:paraId="59196C71">
      <w:pPr>
        <w:spacing w:line="360" w:lineRule="auto"/>
        <w:ind w:firstLine="240" w:firstLineChars="100"/>
        <w:rPr>
          <w:rFonts w:hint="eastAsia" w:ascii="Times New Roman" w:hAnsi="Times New Roman" w:eastAsia="宋体" w:cs="Times New Roman"/>
          <w:b w:val="0"/>
          <w:bCs w:val="0"/>
          <w:color w:val="auto"/>
          <w:sz w:val="24"/>
          <w:lang w:val="en-S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lang w:val="en-SG"/>
        </w:rPr>
        <w:t>9.2具备自动分析功能：由软件对图像进行自主分析，无需任何人工干预，帮助使用者找到最合适的分析方法。形态学参数≥200个</w:t>
      </w:r>
      <w:r>
        <w:rPr>
          <w:rFonts w:hint="eastAsia" w:ascii="Times New Roman" w:hAnsi="Times New Roman" w:eastAsia="宋体" w:cs="Times New Roman"/>
          <w:b w:val="0"/>
          <w:bCs w:val="0"/>
          <w:color w:val="auto"/>
          <w:sz w:val="24"/>
          <w:lang w:val="en-SG" w:eastAsia="zh-CN"/>
        </w:rPr>
        <w:t>；</w:t>
      </w:r>
    </w:p>
    <w:p w14:paraId="391D2899">
      <w:pPr>
        <w:spacing w:line="360" w:lineRule="auto"/>
        <w:ind w:firstLine="240" w:firstLineChars="100"/>
        <w:rPr>
          <w:rFonts w:hint="eastAsia" w:ascii="Times New Roman" w:hAnsi="Times New Roman" w:eastAsia="宋体" w:cs="Times New Roman"/>
          <w:b w:val="0"/>
          <w:bCs w:val="0"/>
          <w:color w:val="auto"/>
          <w:sz w:val="24"/>
          <w:lang w:val="en-S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lang w:val="en-SG"/>
        </w:rPr>
        <w:t>9.3 软件所有分析模块均开放使用，无需额外费用，分析软件终身免费维护并升级</w:t>
      </w:r>
      <w:r>
        <w:rPr>
          <w:rFonts w:hint="eastAsia" w:ascii="Times New Roman" w:hAnsi="Times New Roman" w:eastAsia="宋体" w:cs="Times New Roman"/>
          <w:b w:val="0"/>
          <w:bCs w:val="0"/>
          <w:color w:val="auto"/>
          <w:sz w:val="24"/>
          <w:lang w:val="en-SG" w:eastAsia="zh-CN"/>
        </w:rPr>
        <w:t>；</w:t>
      </w:r>
    </w:p>
    <w:p w14:paraId="710D199F">
      <w:pPr>
        <w:spacing w:line="360" w:lineRule="auto"/>
        <w:ind w:firstLine="240" w:firstLineChars="100"/>
        <w:rPr>
          <w:rFonts w:hint="eastAsia" w:ascii="Times New Roman" w:hAnsi="Times New Roman" w:eastAsia="宋体" w:cs="Times New Roman"/>
          <w:b w:val="0"/>
          <w:bCs w:val="0"/>
          <w:color w:val="auto"/>
          <w:sz w:val="24"/>
          <w:lang w:val="en-SG" w:eastAsia="zh-CN"/>
        </w:rPr>
      </w:pPr>
      <w:r>
        <w:rPr>
          <w:rFonts w:hint="eastAsia" w:ascii="Times New Roman" w:hAnsi="Times New Roman" w:eastAsia="宋体" w:cs="Times New Roman"/>
          <w:b w:val="0"/>
          <w:bCs w:val="0"/>
          <w:color w:val="auto"/>
          <w:sz w:val="24"/>
          <w:lang w:val="en-US" w:eastAsia="zh-CN"/>
        </w:rPr>
        <w:t>5.</w:t>
      </w:r>
      <w:r>
        <w:rPr>
          <w:rFonts w:hint="eastAsia" w:ascii="Times New Roman" w:hAnsi="Times New Roman" w:eastAsia="宋体" w:cs="Times New Roman"/>
          <w:b w:val="0"/>
          <w:bCs w:val="0"/>
          <w:color w:val="auto"/>
          <w:sz w:val="24"/>
          <w:lang w:val="en-SG"/>
        </w:rPr>
        <w:t>9.4 计算机工作站：处理器Intel® Core™双六核处理器及以上，内存≥128GB，硬盘≥22TB，64 bit Windows®10操作系统或以上，24寸显示器或以上</w:t>
      </w:r>
      <w:r>
        <w:rPr>
          <w:rFonts w:hint="eastAsia" w:ascii="Times New Roman" w:hAnsi="Times New Roman" w:eastAsia="宋体" w:cs="Times New Roman"/>
          <w:b w:val="0"/>
          <w:bCs w:val="0"/>
          <w:color w:val="auto"/>
          <w:sz w:val="24"/>
          <w:lang w:val="en-SG" w:eastAsia="zh-CN"/>
        </w:rPr>
        <w:t>。</w:t>
      </w:r>
    </w:p>
    <w:p w14:paraId="4EED124C">
      <w:pPr>
        <w:spacing w:line="360" w:lineRule="auto"/>
        <w:ind w:firstLine="240" w:firstLineChars="100"/>
        <w:rPr>
          <w:rFonts w:hint="eastAsia" w:ascii="Times New Roman" w:hAnsi="Times New Roman" w:eastAsia="宋体" w:cs="Times New Roman"/>
          <w:b w:val="0"/>
          <w:bCs w:val="0"/>
          <w:color w:val="auto"/>
          <w:sz w:val="24"/>
        </w:rPr>
      </w:pPr>
    </w:p>
    <w:p w14:paraId="5F36201B">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（二）质保及售后服务：</w:t>
      </w:r>
    </w:p>
    <w:p w14:paraId="64857EDD">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1.1 设备安装调试（请参考总则第2.4条）</w:t>
      </w:r>
    </w:p>
    <w:p w14:paraId="5615BE0F">
      <w:pPr>
        <w:spacing w:line="360" w:lineRule="auto"/>
        <w:ind w:firstLine="240" w:firstLineChars="1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kern w:val="0"/>
          <w:sz w:val="24"/>
        </w:rPr>
        <w:t xml:space="preserve">1.1.1 </w:t>
      </w:r>
      <w:r>
        <w:rPr>
          <w:rFonts w:ascii="Times New Roman" w:hAnsi="Times New Roman" w:eastAsia="宋体" w:cs="Times New Roman"/>
          <w:b w:val="0"/>
          <w:bCs w:val="0"/>
          <w:color w:val="auto"/>
          <w:kern w:val="0"/>
          <w:sz w:val="24"/>
        </w:rPr>
        <w:t>卖方须到买方提供的现场免费安装、调试设备，进行操作试验，直至运行正常并验收。</w:t>
      </w:r>
    </w:p>
    <w:p w14:paraId="2C7C0DA9">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1.2  技术培训 (请参考总则第2.5条)</w:t>
      </w:r>
    </w:p>
    <w:p w14:paraId="2440B5AE">
      <w:pPr>
        <w:widowControl w:val="0"/>
        <w:spacing w:line="360" w:lineRule="auto"/>
        <w:ind w:firstLine="240" w:firstLineChars="100"/>
        <w:jc w:val="both"/>
        <w:rPr>
          <w:rFonts w:hint="eastAsia" w:ascii="Times New Roman" w:hAnsi="Times New Roman" w:eastAsia="宋体" w:cs="Times New Roman"/>
          <w:b w:val="0"/>
          <w:bCs w:val="0"/>
          <w:color w:val="auto"/>
          <w:kern w:val="2"/>
          <w:sz w:val="24"/>
          <w:szCs w:val="20"/>
          <w:lang w:val="en-US" w:eastAsia="zh-CN" w:bidi="ar-SA"/>
        </w:rPr>
      </w:pPr>
      <w:r>
        <w:rPr>
          <w:rFonts w:hint="eastAsia" w:ascii="Times New Roman" w:hAnsi="Times New Roman" w:eastAsia="宋体" w:cs="Times New Roman"/>
          <w:b w:val="0"/>
          <w:bCs w:val="0"/>
          <w:color w:val="auto"/>
          <w:kern w:val="2"/>
          <w:sz w:val="24"/>
          <w:szCs w:val="20"/>
          <w:lang w:val="en-US" w:eastAsia="zh-CN" w:bidi="ar-SA"/>
        </w:rPr>
        <w:t xml:space="preserve">1.2.1  </w:t>
      </w:r>
      <w:r>
        <w:rPr>
          <w:rFonts w:ascii="Times New Roman" w:hAnsi="Times New Roman" w:eastAsia="宋体" w:cs="Times New Roman"/>
          <w:b w:val="0"/>
          <w:bCs w:val="0"/>
          <w:color w:val="auto"/>
          <w:kern w:val="0"/>
          <w:sz w:val="24"/>
          <w:szCs w:val="24"/>
          <w:lang w:val="en-US" w:eastAsia="zh-CN" w:bidi="ar-SA"/>
        </w:rPr>
        <w:t>三年内6次应用上门</w:t>
      </w:r>
      <w:r>
        <w:rPr>
          <w:rFonts w:hint="eastAsia" w:ascii="Times New Roman" w:hAnsi="Times New Roman" w:eastAsia="宋体" w:cs="Times New Roman"/>
          <w:b w:val="0"/>
          <w:bCs w:val="0"/>
          <w:color w:val="auto"/>
          <w:kern w:val="0"/>
          <w:sz w:val="24"/>
          <w:szCs w:val="24"/>
          <w:lang w:val="en-US" w:eastAsia="zh-CN" w:bidi="ar-SA"/>
        </w:rPr>
        <w:t>免费</w:t>
      </w:r>
      <w:r>
        <w:rPr>
          <w:rFonts w:ascii="Times New Roman" w:hAnsi="Times New Roman" w:eastAsia="宋体" w:cs="Times New Roman"/>
          <w:b w:val="0"/>
          <w:bCs w:val="0"/>
          <w:color w:val="auto"/>
          <w:kern w:val="0"/>
          <w:sz w:val="24"/>
          <w:szCs w:val="24"/>
          <w:lang w:val="en-US" w:eastAsia="zh-CN" w:bidi="ar-SA"/>
        </w:rPr>
        <w:t>培训，每次不少于</w:t>
      </w:r>
      <w:r>
        <w:rPr>
          <w:rFonts w:hint="eastAsia" w:ascii="Times New Roman" w:hAnsi="Times New Roman" w:eastAsia="宋体" w:cs="Times New Roman"/>
          <w:b w:val="0"/>
          <w:bCs w:val="0"/>
          <w:color w:val="auto"/>
          <w:kern w:val="0"/>
          <w:sz w:val="24"/>
          <w:szCs w:val="24"/>
          <w:lang w:val="en-US" w:eastAsia="zh-CN" w:bidi="ar-SA"/>
        </w:rPr>
        <w:t>2</w:t>
      </w:r>
      <w:r>
        <w:rPr>
          <w:rFonts w:ascii="Times New Roman" w:hAnsi="Times New Roman" w:eastAsia="宋体" w:cs="Times New Roman"/>
          <w:b w:val="0"/>
          <w:bCs w:val="0"/>
          <w:color w:val="auto"/>
          <w:kern w:val="0"/>
          <w:sz w:val="24"/>
          <w:szCs w:val="24"/>
          <w:lang w:val="en-US" w:eastAsia="zh-CN" w:bidi="ar-SA"/>
        </w:rPr>
        <w:t>天，不受质保期的限制</w:t>
      </w:r>
      <w:r>
        <w:rPr>
          <w:rFonts w:hint="eastAsia" w:ascii="Times New Roman" w:hAnsi="Times New Roman" w:eastAsia="宋体" w:cs="Times New Roman"/>
          <w:b w:val="0"/>
          <w:bCs w:val="0"/>
          <w:color w:val="auto"/>
          <w:kern w:val="0"/>
          <w:sz w:val="24"/>
          <w:szCs w:val="24"/>
          <w:lang w:val="en-US" w:eastAsia="zh-CN" w:bidi="ar-SA"/>
        </w:rPr>
        <w:t>。</w:t>
      </w:r>
    </w:p>
    <w:p w14:paraId="484C0839">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1.3 保修期</w:t>
      </w:r>
    </w:p>
    <w:p w14:paraId="15FA0107">
      <w:pPr>
        <w:keepNext/>
        <w:keepLines/>
        <w:widowControl w:val="0"/>
        <w:spacing w:before="0" w:after="0" w:line="377" w:lineRule="auto"/>
        <w:ind w:firstLine="240" w:firstLineChars="100"/>
        <w:jc w:val="both"/>
        <w:outlineLvl w:val="3"/>
        <w:rPr>
          <w:rFonts w:hint="eastAsia" w:ascii="Arial" w:hAnsi="Arial" w:eastAsia="黑体" w:cs="Times New Roman"/>
          <w:b w:val="0"/>
          <w:bCs w:val="0"/>
          <w:color w:val="auto"/>
          <w:kern w:val="2"/>
          <w:sz w:val="28"/>
          <w:szCs w:val="28"/>
          <w:lang w:val="en-US" w:eastAsia="zh-CN" w:bidi="ar-SA"/>
        </w:rPr>
      </w:pPr>
      <w:r>
        <w:rPr>
          <w:rFonts w:hint="eastAsia" w:ascii="Arial" w:hAnsi="Arial" w:eastAsia="黑体" w:cs="Times New Roman"/>
          <w:b w:val="0"/>
          <w:bCs w:val="0"/>
          <w:color w:val="auto"/>
          <w:kern w:val="2"/>
          <w:sz w:val="24"/>
          <w:szCs w:val="28"/>
          <w:lang w:val="en-US" w:eastAsia="zh-CN" w:bidi="ar-SA"/>
        </w:rPr>
        <w:t xml:space="preserve"> </w:t>
      </w:r>
      <w:r>
        <w:rPr>
          <w:rFonts w:hint="eastAsia" w:ascii="Times New Roman" w:hAnsi="Times New Roman" w:eastAsia="宋体" w:cs="Times New Roman"/>
          <w:b w:val="0"/>
          <w:bCs w:val="0"/>
          <w:color w:val="auto"/>
          <w:kern w:val="0"/>
          <w:sz w:val="24"/>
          <w:szCs w:val="24"/>
          <w:lang w:val="en-US" w:eastAsia="zh-CN" w:bidi="ar-SA"/>
        </w:rPr>
        <w:t>1.3.1 安装验收合格后12个月。</w:t>
      </w:r>
    </w:p>
    <w:p w14:paraId="22AE3092">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1.4 维修响应时间</w:t>
      </w:r>
    </w:p>
    <w:p w14:paraId="6CBA1626">
      <w:pPr>
        <w:spacing w:line="360" w:lineRule="auto"/>
        <w:ind w:firstLine="240" w:firstLineChars="100"/>
        <w:rPr>
          <w:rFonts w:hint="eastAsia" w:ascii="Times New Roman" w:hAnsi="Times New Roman" w:eastAsia="宋体" w:cs="Times New Roman"/>
          <w:b w:val="0"/>
          <w:bCs w:val="0"/>
          <w:color w:val="auto"/>
          <w:kern w:val="0"/>
          <w:sz w:val="24"/>
        </w:rPr>
      </w:pPr>
      <w:r>
        <w:rPr>
          <w:rFonts w:hint="eastAsia" w:ascii="Times New Roman" w:hAnsi="Times New Roman" w:eastAsia="宋体" w:cs="Times New Roman"/>
          <w:b w:val="0"/>
          <w:bCs w:val="0"/>
          <w:color w:val="auto"/>
          <w:kern w:val="0"/>
          <w:sz w:val="24"/>
        </w:rPr>
        <w:t>1.4.1 仪器设备出现故障时，供货方得到通知3日内派维修人员到达用户现场维修。</w:t>
      </w:r>
    </w:p>
    <w:p w14:paraId="1DECD6F8">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1.5 要求卖方提供的其它技术服务内容（如软、硬件升级要求等）</w:t>
      </w:r>
    </w:p>
    <w:p w14:paraId="594E5FF6">
      <w:pPr>
        <w:autoSpaceDE w:val="0"/>
        <w:autoSpaceDN w:val="0"/>
        <w:spacing w:line="360" w:lineRule="auto"/>
        <w:ind w:firstLine="240" w:firstLineChars="100"/>
        <w:rPr>
          <w:rFonts w:hint="eastAsia" w:ascii="Times New Roman" w:hAnsi="Times New Roman" w:eastAsia="宋体" w:cs="Times New Roman"/>
          <w:b w:val="0"/>
          <w:bCs w:val="0"/>
          <w:color w:val="auto"/>
          <w:kern w:val="0"/>
          <w:sz w:val="24"/>
        </w:rPr>
      </w:pPr>
      <w:r>
        <w:rPr>
          <w:rFonts w:hint="eastAsia" w:ascii="Times New Roman" w:hAnsi="Times New Roman" w:eastAsia="宋体" w:cs="Times New Roman"/>
          <w:b w:val="0"/>
          <w:bCs w:val="0"/>
          <w:color w:val="auto"/>
          <w:kern w:val="0"/>
          <w:sz w:val="24"/>
        </w:rPr>
        <w:t xml:space="preserve">1.5.1 </w:t>
      </w:r>
      <w:r>
        <w:rPr>
          <w:rFonts w:ascii="Times New Roman" w:hAnsi="Times New Roman" w:eastAsia="宋体" w:cs="Times New Roman"/>
          <w:b w:val="0"/>
          <w:bCs w:val="0"/>
          <w:color w:val="auto"/>
          <w:kern w:val="0"/>
          <w:sz w:val="24"/>
        </w:rPr>
        <w:t>后期免费更新数据库最新内容</w:t>
      </w:r>
      <w:r>
        <w:rPr>
          <w:rFonts w:hint="eastAsia" w:ascii="Times New Roman" w:hAnsi="Times New Roman" w:eastAsia="宋体" w:cs="Times New Roman"/>
          <w:b w:val="0"/>
          <w:bCs w:val="0"/>
          <w:color w:val="auto"/>
          <w:kern w:val="0"/>
          <w:sz w:val="24"/>
        </w:rPr>
        <w:t>。</w:t>
      </w:r>
    </w:p>
    <w:p w14:paraId="222E5405">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（三） 订货数量：</w:t>
      </w:r>
    </w:p>
    <w:p w14:paraId="3F90DECE">
      <w:pPr>
        <w:spacing w:line="360" w:lineRule="auto"/>
        <w:ind w:firstLine="240" w:firstLineChars="100"/>
        <w:rPr>
          <w:rFonts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 1套</w:t>
      </w:r>
    </w:p>
    <w:p w14:paraId="0FF89037">
      <w:pPr>
        <w:spacing w:line="360" w:lineRule="auto"/>
        <w:rPr>
          <w:rFonts w:hint="eastAsia" w:ascii="Times New Roman" w:hAnsi="Times New Roman" w:eastAsia="宋体" w:cs="Times New Roman"/>
          <w:b w:val="0"/>
          <w:bCs w:val="0"/>
          <w:color w:val="auto"/>
          <w:sz w:val="24"/>
        </w:rPr>
      </w:pPr>
    </w:p>
    <w:p w14:paraId="66F7CC9D">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（四）交货日期和交货地点（项目现场）：</w:t>
      </w:r>
    </w:p>
    <w:p w14:paraId="0BCAE3F1">
      <w:pPr>
        <w:spacing w:line="360" w:lineRule="auto"/>
        <w:jc w:val="left"/>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1.交货日期：自中标后签合同之日起三个月之内。</w:t>
      </w:r>
    </w:p>
    <w:p w14:paraId="762BE114">
      <w:pPr>
        <w:spacing w:line="360" w:lineRule="auto"/>
        <w:jc w:val="left"/>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2.交货地点：青海省西宁市中国科学院西北高原生物研究所或用户指定地点   </w:t>
      </w:r>
    </w:p>
    <w:p w14:paraId="28ADC1FA">
      <w:pPr>
        <w:tabs>
          <w:tab w:val="left" w:pos="236"/>
        </w:tabs>
        <w:spacing w:line="360" w:lineRule="auto"/>
        <w:jc w:val="left"/>
        <w:rPr>
          <w:rFonts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3.到货港：青海省西宁市</w:t>
      </w:r>
    </w:p>
    <w:p w14:paraId="7A9616B5">
      <w:pPr>
        <w:spacing w:line="360" w:lineRule="auto"/>
        <w:rPr>
          <w:rFonts w:hint="eastAsia" w:ascii="Times New Roman" w:hAnsi="Times New Roman" w:eastAsia="宋体" w:cs="Times New Roman"/>
          <w:b w:val="0"/>
          <w:bCs w:val="0"/>
          <w:color w:val="auto"/>
          <w:sz w:val="24"/>
        </w:rPr>
      </w:pPr>
    </w:p>
    <w:p w14:paraId="1FD7769C">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（五）付款方式：       </w:t>
      </w:r>
    </w:p>
    <w:p w14:paraId="20A035F2">
      <w:pPr>
        <w:spacing w:line="360" w:lineRule="auto"/>
        <w:ind w:firstLine="480" w:firstLineChars="2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对于国产产品及进口含税产品，100%凭用户代表签字并加盖单位公章后的验收报告支付；</w:t>
      </w:r>
    </w:p>
    <w:p w14:paraId="0BE41557">
      <w:pPr>
        <w:spacing w:line="360" w:lineRule="auto"/>
        <w:ind w:firstLine="480" w:firstLineChars="200"/>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对于进口免税产品：</w:t>
      </w:r>
    </w:p>
    <w:p w14:paraId="595197A3">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（1）中标供应商与采购人、外贸代理公司签署三方协议；</w:t>
      </w:r>
    </w:p>
    <w:p w14:paraId="76B768C2">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（2）协议生效后买方支付货物总价的100%给外贸代理公司；</w:t>
      </w:r>
    </w:p>
    <w:p w14:paraId="4F69E511">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（3）外贸代理公司出具货物总价的100%不可撤销信用证；</w:t>
      </w:r>
    </w:p>
    <w:p w14:paraId="6C223F4D">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（4）卖方提供发货单据后外贸代理公司支付货物总价的90%；</w:t>
      </w:r>
    </w:p>
    <w:p w14:paraId="4A5577E1">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（5）卖方提交验收合格报告后，外贸代理公司支付货物总价的10%。                           </w:t>
      </w:r>
    </w:p>
    <w:p w14:paraId="1820C25B">
      <w:pPr>
        <w:widowControl w:val="0"/>
        <w:spacing w:line="360" w:lineRule="auto"/>
        <w:jc w:val="left"/>
        <w:rPr>
          <w:rFonts w:ascii="Times New Roman" w:hAnsi="Times New Roman" w:eastAsia="宋体" w:cs="Times New Roman"/>
          <w:b w:val="0"/>
          <w:bCs w:val="0"/>
          <w:color w:val="auto"/>
          <w:kern w:val="2"/>
          <w:sz w:val="24"/>
          <w:szCs w:val="21"/>
          <w:lang w:val="en-US" w:eastAsia="zh-CN" w:bidi="ar-SA"/>
        </w:rPr>
      </w:pPr>
    </w:p>
    <w:p w14:paraId="0C60F616">
      <w:pPr>
        <w:spacing w:line="360" w:lineRule="auto"/>
        <w:rPr>
          <w:rFonts w:ascii="Times New Roman" w:hAnsi="Times New Roman" w:eastAsia="宋体" w:cs="Times New Roman"/>
          <w:b w:val="0"/>
          <w:bCs w:val="0"/>
          <w:color w:val="auto"/>
          <w:sz w:val="24"/>
        </w:rPr>
      </w:pPr>
    </w:p>
    <w:p w14:paraId="280B0EE2">
      <w:pPr>
        <w:spacing w:line="360" w:lineRule="auto"/>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（六）执行的相关标准</w:t>
      </w:r>
    </w:p>
    <w:p w14:paraId="407E0E65">
      <w:pPr>
        <w:spacing w:line="360" w:lineRule="auto"/>
        <w:rPr>
          <w:rFonts w:hint="eastAsia" w:ascii="Times New Roman" w:hAnsi="Times New Roman" w:eastAsia="宋体" w:cs="宋体"/>
          <w:b w:val="0"/>
          <w:bCs w:val="0"/>
          <w:color w:val="auto"/>
          <w:kern w:val="0"/>
          <w:sz w:val="24"/>
        </w:rPr>
      </w:pPr>
      <w:r>
        <w:rPr>
          <w:rFonts w:hint="eastAsia" w:ascii="Times New Roman" w:hAnsi="Times New Roman" w:eastAsia="宋体" w:cs="宋体"/>
          <w:b w:val="0"/>
          <w:bCs w:val="0"/>
          <w:color w:val="auto"/>
          <w:kern w:val="0"/>
          <w:sz w:val="24"/>
        </w:rPr>
        <w:t xml:space="preserve">   产品应满足相关国家标准及行业标准。</w:t>
      </w:r>
    </w:p>
    <w:p w14:paraId="45A148CD">
      <w:pPr>
        <w:adjustRightInd w:val="0"/>
        <w:snapToGrid w:val="0"/>
        <w:spacing w:after="156" w:afterLines="50" w:line="360" w:lineRule="auto"/>
        <w:jc w:val="center"/>
        <w:outlineLvl w:val="0"/>
        <w:rPr>
          <w:rFonts w:hint="eastAsia" w:ascii="Times New Roman" w:hAnsi="Times New Roman" w:eastAsia="宋体" w:cs="Times New Roman"/>
          <w:b/>
          <w:color w:val="000000"/>
          <w:kern w:val="44"/>
          <w:sz w:val="24"/>
          <w:szCs w:val="20"/>
        </w:rPr>
      </w:pPr>
    </w:p>
    <w:p w14:paraId="334A417F">
      <w:pPr>
        <w:widowControl/>
        <w:spacing w:line="360" w:lineRule="auto"/>
        <w:rPr>
          <w:rFonts w:hint="eastAsia" w:ascii="Times New Roman" w:hAnsi="Times New Roman" w:eastAsia="宋体" w:cs="Times New Roman"/>
          <w:b/>
          <w:color w:val="000000"/>
          <w:sz w:val="24"/>
          <w:szCs w:val="30"/>
        </w:rPr>
      </w:pPr>
    </w:p>
    <w:p w14:paraId="20FEDC9D"/>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FD64F2"/>
    <w:rsid w:val="3BFD64F2"/>
    <w:rsid w:val="3D801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4898</Words>
  <Characters>5760</Characters>
  <Lines>0</Lines>
  <Paragraphs>0</Paragraphs>
  <TotalTime>0</TotalTime>
  <ScaleCrop>false</ScaleCrop>
  <LinksUpToDate>false</LinksUpToDate>
  <CharactersWithSpaces>5989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2025-08-21T07:02:00Z</dcterms:created>
  <dc:creator>顾嘉宁</dc:creator>
  <cp:lastModifiedBy>清</cp:lastModifiedBy>
  <dcterms:modified xsi:type="dcterms:W3CDTF">2025-08-22T03:15:01Z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45C82694FA984CD49A14C2255E383BE9_13</vt:lpwstr>
  </property>
</Properties>
</file>