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宋体" w:hAnsi="宋体"/>
          <w:b/>
          <w:sz w:val="24"/>
        </w:rPr>
      </w:pPr>
      <w:bookmarkStart w:id="0" w:name="_GoBack"/>
      <w:bookmarkEnd w:id="0"/>
    </w:p>
    <w:p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kern w:val="44"/>
          <w:sz w:val="48"/>
          <w:szCs w:val="20"/>
        </w:rPr>
      </w:pPr>
      <w:r>
        <w:rPr>
          <w:rFonts w:hint="eastAsia" w:ascii="黑体" w:eastAsia="黑体"/>
          <w:b/>
          <w:kern w:val="44"/>
          <w:sz w:val="48"/>
          <w:szCs w:val="20"/>
        </w:rPr>
        <w:t>第八部分  采购需求</w:t>
      </w:r>
      <w:r>
        <w:rPr>
          <w:rFonts w:ascii="黑体" w:eastAsia="黑体"/>
          <w:b/>
          <w:kern w:val="44"/>
          <w:sz w:val="48"/>
          <w:szCs w:val="20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货物需求一览表</w:t>
      </w:r>
    </w:p>
    <w:p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Style w:val="6"/>
        <w:tblpPr w:leftFromText="180" w:rightFromText="180" w:vertAnchor="text" w:horzAnchor="margin" w:tblpXSpec="center" w:tblpY="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748"/>
        <w:gridCol w:w="954"/>
        <w:gridCol w:w="4302"/>
        <w:gridCol w:w="1103"/>
        <w:gridCol w:w="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73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包号</w:t>
            </w:r>
          </w:p>
        </w:tc>
        <w:tc>
          <w:tcPr>
            <w:tcW w:w="439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项目</w:t>
            </w:r>
          </w:p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560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数量</w:t>
            </w:r>
          </w:p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（套）</w:t>
            </w:r>
          </w:p>
        </w:tc>
        <w:tc>
          <w:tcPr>
            <w:tcW w:w="2524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简要用途</w:t>
            </w:r>
          </w:p>
        </w:tc>
        <w:tc>
          <w:tcPr>
            <w:tcW w:w="647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是否允许采购进口产品</w:t>
            </w:r>
          </w:p>
        </w:tc>
        <w:tc>
          <w:tcPr>
            <w:tcW w:w="558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交货期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27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43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微波网络分析仪</w:t>
            </w:r>
          </w:p>
        </w:tc>
        <w:tc>
          <w:tcPr>
            <w:tcW w:w="5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252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>表征和测试GaN射频放大器件的常规参数测量，例如增益、增益与相位压缩、隔离度、回波 损耗和群时延。主要应用于氮极性GaN功率射频器件相关参数的测量。</w:t>
            </w:r>
          </w:p>
        </w:tc>
        <w:tc>
          <w:tcPr>
            <w:tcW w:w="6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sz w:val="24"/>
              </w:rPr>
            </w:pPr>
            <w:r>
              <w:rPr>
                <w:sz w:val="24"/>
              </w:rPr>
              <w:t>合同签订后</w:t>
            </w: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个月内</w:t>
            </w:r>
          </w:p>
        </w:tc>
      </w:tr>
    </w:tbl>
    <w:p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szCs w:val="21"/>
        </w:rPr>
      </w:pPr>
    </w:p>
    <w:p>
      <w:pPr>
        <w:adjustRightInd w:val="0"/>
        <w:snapToGrid w:val="0"/>
        <w:rPr>
          <w:rFonts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>
      <w:pPr>
        <w:numPr>
          <w:ilvl w:val="2"/>
          <w:numId w:val="1"/>
        </w:numPr>
        <w:tabs>
          <w:tab w:val="left" w:pos="72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sz w:val="24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FF0000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 xml:space="preserve">6  </w:t>
      </w:r>
      <w:r>
        <w:rPr>
          <w:rFonts w:hint="eastAsia"/>
          <w:sz w:val="24"/>
        </w:rPr>
        <w:t>在评标过程中，买方有权向投标人索取任何与评标有关的资料，投标人务必在接到此类要求后，在规定时间内予以答复。对于无答复的投标人，买方有权拒绝其投标。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kern w:val="44"/>
          <w:sz w:val="24"/>
        </w:rPr>
      </w:pP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</w:p>
    <w:p>
      <w:pPr>
        <w:pStyle w:val="2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5、本技术规格书中标注“★”号的为实质性要求，不满足其投标将被拒绝。</w:t>
      </w:r>
    </w:p>
    <w:p>
      <w:pPr>
        <w:pStyle w:val="2"/>
        <w:spacing w:line="360" w:lineRule="auto"/>
        <w:rPr>
          <w:rFonts w:hAnsi="宋体"/>
          <w:b/>
          <w:sz w:val="24"/>
          <w:szCs w:val="24"/>
        </w:rPr>
      </w:pPr>
    </w:p>
    <w:p>
      <w:pPr>
        <w:pStyle w:val="2"/>
        <w:spacing w:line="360" w:lineRule="auto"/>
        <w:rPr>
          <w:rFonts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</w:rPr>
        <w:t>三、具体技术规格</w:t>
      </w:r>
    </w:p>
    <w:p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工作条件：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/>
          <w:sz w:val="24"/>
        </w:rPr>
        <w:t>1</w:t>
      </w:r>
      <w:r>
        <w:rPr>
          <w:sz w:val="24"/>
        </w:rPr>
        <w:t>.1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 w:ascii="宋体" w:hAnsi="宋体"/>
          <w:sz w:val="24"/>
        </w:rPr>
        <w:t>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>
      <w:pPr>
        <w:spacing w:line="360" w:lineRule="auto"/>
        <w:ind w:left="566" w:hanging="566" w:hangingChars="236"/>
        <w:rPr>
          <w:position w:val="-16"/>
          <w:sz w:val="24"/>
        </w:rPr>
      </w:pP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spacing w:line="360" w:lineRule="auto"/>
        <w:ind w:left="435" w:firstLine="240"/>
        <w:rPr>
          <w:sz w:val="24"/>
        </w:rPr>
      </w:pPr>
    </w:p>
    <w:p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设备用途：</w:t>
      </w:r>
    </w:p>
    <w:p>
      <w:pPr>
        <w:spacing w:line="360" w:lineRule="auto"/>
        <w:ind w:left="425" w:hanging="424" w:hangingChars="177"/>
        <w:rPr>
          <w:sz w:val="24"/>
        </w:rPr>
      </w:pPr>
      <w:r>
        <w:rPr>
          <w:rFonts w:hint="eastAsia"/>
          <w:sz w:val="24"/>
        </w:rPr>
        <w:t>2.1表征和测试GaN射频放大器件的常规S参数测量、频谱测量、绝对功率测量、IV特性测量等。主要应用于氮极性GaN功率射频器件相关参数的测量。</w:t>
      </w:r>
    </w:p>
    <w:p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技术规格：</w:t>
      </w:r>
      <w:r>
        <w:rPr>
          <w:rFonts w:hint="eastAsia"/>
          <w:bCs/>
          <w:sz w:val="24"/>
        </w:rPr>
        <w:t xml:space="preserve"> </w:t>
      </w:r>
    </w:p>
    <w:p>
      <w:pPr>
        <w:spacing w:line="360" w:lineRule="auto"/>
        <w:ind w:firstLine="240" w:firstLineChars="1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3.1. 矢量网络分析仪</w:t>
      </w:r>
    </w:p>
    <w:p>
      <w:pPr>
        <w:spacing w:line="360" w:lineRule="auto"/>
        <w:rPr>
          <w:rFonts w:ascii="宋体" w:hAnsi="宋体"/>
          <w:bCs/>
          <w:sz w:val="24"/>
        </w:rPr>
      </w:pPr>
      <w:r>
        <w:rPr>
          <w:rFonts w:hint="eastAsia"/>
          <w:bCs/>
        </w:rPr>
        <w:t>★</w:t>
      </w:r>
      <w:r>
        <w:rPr>
          <w:rFonts w:hint="eastAsia" w:ascii="宋体" w:hAnsi="宋体"/>
          <w:bCs/>
          <w:sz w:val="24"/>
        </w:rPr>
        <w:t>3.1.1测试频率达到10MHz-50 GHz，能够胜任高至Ka毫米波段器件测试；</w:t>
      </w:r>
    </w:p>
    <w:p>
      <w:pPr>
        <w:spacing w:line="360" w:lineRule="auto"/>
        <w:rPr>
          <w:rFonts w:ascii="宋体" w:hAnsi="宋体"/>
          <w:bCs/>
          <w:sz w:val="24"/>
        </w:rPr>
      </w:pPr>
      <w:r>
        <w:rPr>
          <w:rFonts w:hint="eastAsia"/>
          <w:bCs/>
        </w:rPr>
        <w:t>★</w:t>
      </w:r>
      <w:r>
        <w:rPr>
          <w:rFonts w:hint="eastAsia" w:ascii="宋体" w:hAnsi="宋体"/>
          <w:bCs/>
          <w:sz w:val="24"/>
        </w:rPr>
        <w:t>3.1.</w:t>
      </w:r>
      <w:r>
        <w:rPr>
          <w:rFonts w:ascii="宋体" w:hAnsi="宋体"/>
          <w:bCs/>
          <w:sz w:val="24"/>
        </w:rPr>
        <w:t>2.</w:t>
      </w:r>
      <w:r>
        <w:rPr>
          <w:rFonts w:hint="eastAsia"/>
        </w:rPr>
        <w:t xml:space="preserve"> </w:t>
      </w:r>
      <w:r>
        <w:rPr>
          <w:rFonts w:hint="eastAsia" w:ascii="宋体" w:hAnsi="宋体"/>
          <w:bCs/>
          <w:sz w:val="24"/>
        </w:rPr>
        <w:t>内置两个信号源，且每个信号源的谐波失真低至-60 dBc</w:t>
      </w:r>
      <w:r>
        <w:rPr>
          <w:rFonts w:ascii="宋体" w:hAnsi="宋体"/>
          <w:bCs/>
          <w:sz w:val="24"/>
        </w:rPr>
        <w:t xml:space="preserve"> </w:t>
      </w:r>
      <w:r>
        <w:rPr>
          <w:rFonts w:hint="eastAsia" w:ascii="宋体" w:hAnsi="宋体"/>
          <w:bCs/>
          <w:sz w:val="24"/>
        </w:rPr>
        <w:t>；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3.1.</w:t>
      </w:r>
      <w:r>
        <w:rPr>
          <w:rFonts w:ascii="宋体" w:hAnsi="宋体"/>
          <w:bCs/>
          <w:sz w:val="24"/>
          <w:szCs w:val="24"/>
        </w:rPr>
        <w:t>3.</w:t>
      </w:r>
      <w:r>
        <w:rPr>
          <w:rFonts w:hint="eastAsia"/>
        </w:rPr>
        <w:t xml:space="preserve"> </w:t>
      </w:r>
      <w:r>
        <w:rPr>
          <w:rFonts w:hint="eastAsia" w:ascii="宋体" w:hAnsi="宋体"/>
          <w:bCs/>
          <w:sz w:val="24"/>
          <w:szCs w:val="24"/>
        </w:rPr>
        <w:t>内置开关和合路器可以实现双音测试和多参数同时测试，其内置四路脉冲源和两路脉冲调制器能够实现双向脉冲S参数测试；内置衰减器和偏置网络。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3.1.4 支持升级脉冲测试，交调失真测试，增益压缩测试。</w:t>
      </w:r>
    </w:p>
    <w:p>
      <w:pPr>
        <w:pStyle w:val="13"/>
        <w:spacing w:line="360" w:lineRule="auto"/>
        <w:ind w:firstLine="240" w:firstLineChars="100"/>
        <w:rPr>
          <w:rFonts w:ascii="宋体" w:hAnsi="宋体" w:cs="宋体"/>
        </w:rPr>
      </w:pPr>
      <w:r>
        <w:rPr>
          <w:rFonts w:hint="eastAsia" w:ascii="宋体" w:hAnsi="宋体"/>
          <w:bCs/>
          <w:sz w:val="24"/>
          <w:szCs w:val="24"/>
        </w:rPr>
        <w:t>3.1.5高功率模式下，测试端口系统动态范围（Typical）：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 xml:space="preserve">≥ 138 dB @ 2 GHz    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≥ 136dB @ 26.5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≥ 118dB @ 50 GHz；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3.1.6高功率模式下，测试端口输出功率(Specification)：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≥ 13 dBm @ 1 GHz，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≥ 10 dBm @ 26.5 GHz，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≥ -12dBm @ 50 GHz；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3.1.7相位噪声（10 kHz频偏）（Typical）：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-130 dBc/Hz @1 GHz，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-119 dBc/Hz @5 GHz，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-113 dBc/Hz @10 GHz，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-107 dBc/Hz @ 20 GHz；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-104 dBc/Hz @26.5 GHz，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-103 dBc/Hz @43.5 GHz，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-101 dBc/Hz @50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★3.1.8迹线噪声（1 kHz IFBW Specification ）幅度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0.002 dB rms @ 450 MHz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0.004 dB rms @ 50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★3.1.9迹线噪声（1 kHz IFBW Specification ）相位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0.5 deg rms @ 450 MHz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0.03 deg rms @ 50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3.1.10直连测试端口噪底 @ 10 Hz IFBW Specification：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≤-123 dBm @ 26 GHz；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≤-117 dBm @ 50 GHz；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★3.1.11非谐波杂散：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-80dBc@10MHz to 1GHz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-85dBc@1GHz to 10GHz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-82dBc@10GHz to 20GHz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-80dBc@20GHz to 31GHz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≤ -77dBc@31GHz to 50GHz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#</w:t>
      </w:r>
      <w:r>
        <w:rPr>
          <w:rFonts w:hint="eastAsia" w:ascii="宋体" w:hAnsi="宋体"/>
          <w:bCs/>
          <w:sz w:val="24"/>
          <w:szCs w:val="24"/>
        </w:rPr>
        <w:t>3.1.12 系统方向性Specification（非校准件匹配）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≥23 </w:t>
      </w:r>
      <w:r>
        <w:rPr>
          <w:rFonts w:hint="eastAsia" w:ascii="宋体" w:hAnsi="宋体"/>
          <w:bCs/>
          <w:sz w:val="24"/>
          <w:szCs w:val="24"/>
        </w:rPr>
        <w:t>dB @ 1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≥22 dB </w:t>
      </w:r>
      <w:r>
        <w:rPr>
          <w:rFonts w:hint="eastAsia" w:ascii="宋体" w:hAnsi="宋体"/>
          <w:bCs/>
          <w:sz w:val="24"/>
          <w:szCs w:val="24"/>
        </w:rPr>
        <w:t>@ 5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≥18 dB </w:t>
      </w:r>
      <w:r>
        <w:rPr>
          <w:rFonts w:hint="eastAsia" w:ascii="宋体" w:hAnsi="宋体"/>
          <w:bCs/>
          <w:sz w:val="24"/>
          <w:szCs w:val="24"/>
        </w:rPr>
        <w:t>@ 18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≥16 dB </w:t>
      </w:r>
      <w:r>
        <w:rPr>
          <w:rFonts w:hint="eastAsia" w:ascii="宋体" w:hAnsi="宋体"/>
          <w:bCs/>
          <w:sz w:val="24"/>
          <w:szCs w:val="24"/>
        </w:rPr>
        <w:t>@ 26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≥15 dB</w:t>
      </w:r>
      <w:r>
        <w:rPr>
          <w:rFonts w:hint="eastAsia" w:ascii="宋体" w:hAnsi="宋体"/>
          <w:bCs/>
          <w:sz w:val="24"/>
          <w:szCs w:val="24"/>
        </w:rPr>
        <w:t>@ 45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#</w:t>
      </w:r>
      <w:r>
        <w:rPr>
          <w:rFonts w:hint="eastAsia" w:ascii="宋体" w:hAnsi="宋体"/>
          <w:bCs/>
          <w:sz w:val="24"/>
          <w:szCs w:val="24"/>
        </w:rPr>
        <w:t>3.1.13 系统源匹配Specification（非校准件匹配）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≥16 </w:t>
      </w:r>
      <w:r>
        <w:rPr>
          <w:rFonts w:hint="eastAsia" w:ascii="宋体" w:hAnsi="宋体"/>
          <w:bCs/>
          <w:sz w:val="24"/>
          <w:szCs w:val="24"/>
        </w:rPr>
        <w:t>dB @ 1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≥14 dB </w:t>
      </w:r>
      <w:r>
        <w:rPr>
          <w:rFonts w:hint="eastAsia" w:ascii="宋体" w:hAnsi="宋体"/>
          <w:bCs/>
          <w:sz w:val="24"/>
          <w:szCs w:val="24"/>
        </w:rPr>
        <w:t>@ 5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≥12 dB </w:t>
      </w:r>
      <w:r>
        <w:rPr>
          <w:rFonts w:hint="eastAsia" w:ascii="宋体" w:hAnsi="宋体"/>
          <w:bCs/>
          <w:sz w:val="24"/>
          <w:szCs w:val="24"/>
        </w:rPr>
        <w:t>@ 18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≥11 dB </w:t>
      </w:r>
      <w:r>
        <w:rPr>
          <w:rFonts w:hint="eastAsia" w:ascii="宋体" w:hAnsi="宋体"/>
          <w:bCs/>
          <w:sz w:val="24"/>
          <w:szCs w:val="24"/>
        </w:rPr>
        <w:t>@ 26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≥6 dB</w:t>
      </w:r>
      <w:r>
        <w:rPr>
          <w:rFonts w:hint="eastAsia" w:ascii="宋体" w:hAnsi="宋体"/>
          <w:bCs/>
          <w:sz w:val="24"/>
          <w:szCs w:val="24"/>
        </w:rPr>
        <w:t>@ 45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#</w:t>
      </w:r>
      <w:r>
        <w:rPr>
          <w:rFonts w:hint="eastAsia" w:ascii="宋体" w:hAnsi="宋体"/>
          <w:bCs/>
          <w:sz w:val="24"/>
          <w:szCs w:val="24"/>
        </w:rPr>
        <w:t>3.1.14 系统负载匹配Specification（非校准件匹配）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≥14 </w:t>
      </w:r>
      <w:r>
        <w:rPr>
          <w:rFonts w:hint="eastAsia" w:ascii="宋体" w:hAnsi="宋体"/>
          <w:bCs/>
          <w:sz w:val="24"/>
          <w:szCs w:val="24"/>
        </w:rPr>
        <w:t>dB @ 1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≥13 dB </w:t>
      </w:r>
      <w:r>
        <w:rPr>
          <w:rFonts w:hint="eastAsia" w:ascii="宋体" w:hAnsi="宋体"/>
          <w:bCs/>
          <w:sz w:val="24"/>
          <w:szCs w:val="24"/>
        </w:rPr>
        <w:t>@ 5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≥11 dB </w:t>
      </w:r>
      <w:r>
        <w:rPr>
          <w:rFonts w:hint="eastAsia" w:ascii="宋体" w:hAnsi="宋体"/>
          <w:bCs/>
          <w:sz w:val="24"/>
          <w:szCs w:val="24"/>
        </w:rPr>
        <w:t>@ 18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 xml:space="preserve">≥10 dB </w:t>
      </w:r>
      <w:r>
        <w:rPr>
          <w:rFonts w:hint="eastAsia" w:ascii="宋体" w:hAnsi="宋体"/>
          <w:bCs/>
          <w:sz w:val="24"/>
          <w:szCs w:val="24"/>
        </w:rPr>
        <w:t>@ 26 GHz</w:t>
      </w:r>
    </w:p>
    <w:p>
      <w:pPr>
        <w:pStyle w:val="13"/>
        <w:spacing w:line="360" w:lineRule="auto"/>
        <w:ind w:firstLine="240" w:firstLineChars="100"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≥7 dB</w:t>
      </w:r>
      <w:r>
        <w:rPr>
          <w:rFonts w:hint="eastAsia" w:ascii="宋体" w:hAnsi="宋体"/>
          <w:bCs/>
          <w:sz w:val="24"/>
          <w:szCs w:val="24"/>
        </w:rPr>
        <w:t>@ 45 GHz</w:t>
      </w:r>
    </w:p>
    <w:p>
      <w:pPr>
        <w:spacing w:line="360" w:lineRule="auto"/>
        <w:rPr>
          <w:rFonts w:ascii="宋体" w:hAnsi="宋体"/>
          <w:bCs/>
          <w:sz w:val="24"/>
        </w:rPr>
      </w:pPr>
      <w:r>
        <w:rPr>
          <w:bCs/>
          <w:sz w:val="24"/>
        </w:rPr>
        <w:t>3.2</w:t>
      </w:r>
      <w:r>
        <w:rPr>
          <w:rFonts w:hint="eastAsia" w:ascii="宋体" w:hAnsi="宋体"/>
          <w:bCs/>
          <w:sz w:val="24"/>
        </w:rPr>
        <w:t xml:space="preserve"> 高精度电缆源表</w:t>
      </w:r>
    </w:p>
    <w:p>
      <w:pPr>
        <w:spacing w:line="360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★</w:t>
      </w:r>
      <w:r>
        <w:rPr>
          <w:rFonts w:hint="eastAsia"/>
          <w:bCs/>
          <w:sz w:val="24"/>
        </w:rPr>
        <w:t>3.2.1</w:t>
      </w:r>
      <w:r>
        <w:rPr>
          <w:rFonts w:hint="eastAsia" w:ascii="宋体" w:hAnsi="宋体"/>
          <w:bCs/>
          <w:sz w:val="24"/>
        </w:rPr>
        <w:t xml:space="preserve"> 双端口输出</w:t>
      </w:r>
    </w:p>
    <w:p>
      <w:pPr>
        <w:spacing w:line="360" w:lineRule="auto"/>
        <w:rPr>
          <w:rFonts w:ascii="宋体" w:hAnsi="宋体"/>
          <w:bCs/>
          <w:sz w:val="24"/>
        </w:rPr>
      </w:pPr>
      <w:r>
        <w:rPr>
          <w:rFonts w:hint="eastAsia"/>
          <w:bCs/>
          <w:sz w:val="24"/>
        </w:rPr>
        <w:t>3.2.2</w:t>
      </w:r>
      <w:r>
        <w:rPr>
          <w:rFonts w:hint="eastAsia" w:ascii="宋体" w:hAnsi="宋体"/>
          <w:bCs/>
          <w:sz w:val="24"/>
        </w:rPr>
        <w:t xml:space="preserve"> 最大电压</w:t>
      </w:r>
      <w:r>
        <w:rPr>
          <w:rFonts w:hint="eastAsia" w:ascii="宋体" w:hAnsi="宋体" w:cs="宋体"/>
          <w:bCs/>
          <w:sz w:val="24"/>
        </w:rPr>
        <w:t>≥</w:t>
      </w:r>
      <w:r>
        <w:rPr>
          <w:rFonts w:hint="eastAsia" w:ascii="宋体" w:hAnsi="宋体"/>
          <w:bCs/>
          <w:sz w:val="24"/>
        </w:rPr>
        <w:t>210V，最大直流电流</w:t>
      </w:r>
      <w:r>
        <w:rPr>
          <w:rFonts w:hint="eastAsia" w:ascii="宋体" w:hAnsi="宋体" w:cs="宋体"/>
          <w:bCs/>
          <w:sz w:val="24"/>
        </w:rPr>
        <w:t>≥</w:t>
      </w:r>
      <w:r>
        <w:rPr>
          <w:rFonts w:hint="eastAsia" w:ascii="宋体" w:hAnsi="宋体"/>
          <w:bCs/>
          <w:sz w:val="24"/>
        </w:rPr>
        <w:t>3.03A，最大脉冲电流</w:t>
      </w:r>
      <w:r>
        <w:rPr>
          <w:rFonts w:hint="eastAsia" w:ascii="宋体" w:hAnsi="宋体" w:cs="宋体"/>
          <w:bCs/>
          <w:sz w:val="24"/>
        </w:rPr>
        <w:t>≥</w:t>
      </w:r>
      <w:r>
        <w:rPr>
          <w:rFonts w:hint="eastAsia" w:ascii="宋体" w:hAnsi="宋体"/>
          <w:bCs/>
          <w:sz w:val="24"/>
        </w:rPr>
        <w:t>10A</w:t>
      </w:r>
    </w:p>
    <w:p>
      <w:pPr>
        <w:widowControl/>
        <w:jc w:val="lef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★</w:t>
      </w:r>
      <w:r>
        <w:rPr>
          <w:rFonts w:hint="eastAsia"/>
          <w:bCs/>
          <w:sz w:val="24"/>
        </w:rPr>
        <w:t>3.2.3</w:t>
      </w:r>
      <w:r>
        <w:rPr>
          <w:rFonts w:hint="eastAsia" w:ascii="宋体" w:hAnsi="宋体"/>
          <w:bCs/>
          <w:sz w:val="24"/>
        </w:rPr>
        <w:t xml:space="preserve"> 测量精度：最小电压</w:t>
      </w:r>
      <w:r>
        <w:rPr>
          <w:rFonts w:hint="eastAsia" w:ascii="宋体" w:hAnsi="宋体" w:cs="宋体"/>
          <w:bCs/>
          <w:sz w:val="24"/>
        </w:rPr>
        <w:t>≤</w:t>
      </w:r>
      <w:r>
        <w:rPr>
          <w:rFonts w:hint="eastAsia" w:ascii="宋体" w:hAnsi="宋体"/>
          <w:bCs/>
          <w:sz w:val="24"/>
        </w:rPr>
        <w:t>100 nV，最小电流</w:t>
      </w:r>
      <w:r>
        <w:rPr>
          <w:rFonts w:hint="eastAsia" w:ascii="宋体" w:hAnsi="宋体" w:cs="宋体"/>
          <w:bCs/>
          <w:sz w:val="24"/>
        </w:rPr>
        <w:t>≤</w:t>
      </w:r>
      <w:r>
        <w:rPr>
          <w:rFonts w:hint="eastAsia" w:ascii="宋体" w:hAnsi="宋体"/>
          <w:bCs/>
          <w:sz w:val="24"/>
        </w:rPr>
        <w:t>100 fA</w:t>
      </w:r>
    </w:p>
    <w:p>
      <w:pPr>
        <w:spacing w:line="360" w:lineRule="auto"/>
        <w:rPr>
          <w:sz w:val="24"/>
        </w:rPr>
      </w:pPr>
      <w:r>
        <w:rPr>
          <w:rFonts w:hint="eastAsia"/>
          <w:bCs/>
          <w:sz w:val="24"/>
        </w:rPr>
        <w:t>3.3</w:t>
      </w:r>
      <w:r>
        <w:rPr>
          <w:rFonts w:hint="eastAsia"/>
          <w:sz w:val="24"/>
        </w:rPr>
        <w:t>示波器</w:t>
      </w:r>
    </w:p>
    <w:p>
      <w:pPr>
        <w:spacing w:line="360" w:lineRule="auto"/>
        <w:rPr>
          <w:sz w:val="24"/>
        </w:rPr>
      </w:pPr>
      <w:r>
        <w:rPr>
          <w:rFonts w:hint="eastAsia"/>
          <w:bCs/>
          <w:sz w:val="24"/>
        </w:rPr>
        <w:t>3.</w:t>
      </w:r>
      <w:r>
        <w:rPr>
          <w:bCs/>
          <w:sz w:val="24"/>
        </w:rPr>
        <w:t>3</w:t>
      </w:r>
      <w:r>
        <w:rPr>
          <w:rFonts w:hint="eastAsia"/>
          <w:bCs/>
          <w:sz w:val="24"/>
        </w:rPr>
        <w:t>.1</w:t>
      </w:r>
      <w:r>
        <w:rPr>
          <w:rFonts w:hint="eastAsia"/>
          <w:sz w:val="24"/>
        </w:rPr>
        <w:t xml:space="preserve"> 四通道采样示波器，带宽100MHz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  <w:r>
        <w:rPr>
          <w:sz w:val="24"/>
        </w:rPr>
        <w:t>3</w:t>
      </w:r>
      <w:r>
        <w:rPr>
          <w:rFonts w:hint="eastAsia"/>
          <w:sz w:val="24"/>
        </w:rPr>
        <w:t>.2三端口直流探头1个；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3.3</w:t>
      </w:r>
      <w:r>
        <w:rPr>
          <w:sz w:val="24"/>
        </w:rPr>
        <w:t>.3</w:t>
      </w:r>
      <w:r>
        <w:rPr>
          <w:rFonts w:hint="eastAsia"/>
          <w:sz w:val="24"/>
        </w:rPr>
        <w:t xml:space="preserve"> 交直流探头，30A，100MHz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3.4频谱仪：</w:t>
      </w:r>
    </w:p>
    <w:p>
      <w:pPr>
        <w:widowControl/>
        <w:jc w:val="left"/>
      </w:pPr>
      <w:r>
        <w:rPr>
          <w:rFonts w:hint="eastAsia"/>
          <w:sz w:val="24"/>
        </w:rPr>
        <w:t>3.4.1 频率范围;10 MHz to 26.5 GHz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3.4.2 内置步进衰减器、精密频率基准、前置放大器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3.5 USB功率计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3.5.1  频率范围50M-50GHz，热偶式USB功率计，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3.5.2  动态范围 </w:t>
      </w:r>
      <w:r>
        <w:rPr>
          <w:sz w:val="24"/>
        </w:rPr>
        <w:t>-35 dBm 到 +20 dBm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color w:val="FF0000"/>
          <w:sz w:val="24"/>
        </w:rPr>
      </w:pPr>
      <w:r>
        <w:rPr>
          <w:rFonts w:hint="eastAsia" w:ascii="宋体" w:hAnsi="宋体"/>
          <w:bCs/>
          <w:sz w:val="24"/>
        </w:rPr>
        <w:t>★</w:t>
      </w:r>
      <w:r>
        <w:rPr>
          <w:rFonts w:hint="eastAsia"/>
          <w:sz w:val="24"/>
        </w:rPr>
        <w:t>3.5.3  要求USB功率计直接接到矢量网络分析仪工作，实现网络分析仪接收机校准。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3.6 机械校准件：50GHz机械校准件一套，</w:t>
      </w:r>
    </w:p>
    <w:p>
      <w:pPr>
        <w:pStyle w:val="13"/>
        <w:tabs>
          <w:tab w:val="left" w:pos="360"/>
        </w:tabs>
        <w:spacing w:line="360" w:lineRule="auto"/>
        <w:ind w:firstLine="0" w:firstLineChars="0"/>
        <w:rPr>
          <w:sz w:val="24"/>
        </w:rPr>
      </w:pPr>
      <w:r>
        <w:rPr>
          <w:rFonts w:hint="eastAsia"/>
          <w:sz w:val="24"/>
        </w:rPr>
        <w:t xml:space="preserve">3.7 偏置网络2个；频率范围45 MHz to 50 GHz,接头2.4 mm  </w:t>
      </w:r>
    </w:p>
    <w:p>
      <w:pPr>
        <w:pStyle w:val="13"/>
        <w:tabs>
          <w:tab w:val="left" w:pos="360"/>
        </w:tabs>
        <w:spacing w:line="360" w:lineRule="auto"/>
        <w:ind w:firstLine="0" w:firstLineChars="0"/>
        <w:rPr>
          <w:sz w:val="24"/>
        </w:rPr>
      </w:pPr>
      <w:r>
        <w:rPr>
          <w:rFonts w:hint="eastAsia"/>
          <w:sz w:val="24"/>
        </w:rPr>
        <w:t>3.8 测试射频电缆组件2根，长度1.5m，接头2.4-M；三同轴电缆组件4根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3.9 转接头6个，其中4个为2.4mm转接头，2个为三同轴转接头；</w:t>
      </w:r>
    </w:p>
    <w:p>
      <w:pPr>
        <w:spacing w:line="360" w:lineRule="auto"/>
        <w:rPr>
          <w:sz w:val="24"/>
        </w:rPr>
      </w:pPr>
      <w:r>
        <w:rPr>
          <w:rFonts w:hint="eastAsia" w:ascii="宋体" w:hAnsi="宋体"/>
          <w:bCs/>
          <w:sz w:val="24"/>
        </w:rPr>
        <w:t>★</w:t>
      </w:r>
      <w:r>
        <w:rPr>
          <w:rFonts w:hint="eastAsia"/>
          <w:sz w:val="24"/>
        </w:rPr>
        <w:t>3.10 支持Focus FDCS软件驱动，实现一键化测试，实现大信号参数的动态测试。</w:t>
      </w:r>
    </w:p>
    <w:p>
      <w:pPr>
        <w:pStyle w:val="13"/>
        <w:spacing w:line="360" w:lineRule="auto"/>
        <w:ind w:firstLine="0" w:firstLineChars="0"/>
        <w:rPr>
          <w:rFonts w:ascii="宋体" w:hAnsi="宋体"/>
          <w:bCs/>
          <w:sz w:val="24"/>
          <w:szCs w:val="24"/>
        </w:rPr>
      </w:pPr>
    </w:p>
    <w:p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 w:ascii="宋体" w:hAnsi="宋体"/>
          <w:b/>
          <w:sz w:val="24"/>
        </w:rPr>
        <w:t>★</w:t>
      </w:r>
      <w:r>
        <w:rPr>
          <w:rFonts w:hint="eastAsia"/>
          <w:b/>
          <w:sz w:val="24"/>
        </w:rPr>
        <w:t>产品配置要求(本条不用提供证明资料</w:t>
      </w:r>
      <w:r>
        <w:rPr>
          <w:b/>
          <w:sz w:val="24"/>
        </w:rPr>
        <w:t>)</w:t>
      </w:r>
    </w:p>
    <w:p>
      <w:pPr>
        <w:numPr>
          <w:ilvl w:val="1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产品主体部分说明</w:t>
      </w:r>
    </w:p>
    <w:p>
      <w:pPr>
        <w:numPr>
          <w:ilvl w:val="2"/>
          <w:numId w:val="3"/>
        </w:numPr>
        <w:tabs>
          <w:tab w:val="left" w:pos="360"/>
        </w:tabs>
        <w:spacing w:line="360" w:lineRule="auto"/>
        <w:rPr>
          <w:sz w:val="24"/>
        </w:rPr>
      </w:pPr>
      <w:r>
        <w:rPr>
          <w:rFonts w:hint="eastAsia"/>
          <w:sz w:val="24"/>
        </w:rPr>
        <w:t>矢量网络分析仪1台</w:t>
      </w:r>
    </w:p>
    <w:p>
      <w:pPr>
        <w:numPr>
          <w:ilvl w:val="2"/>
          <w:numId w:val="3"/>
        </w:numPr>
        <w:tabs>
          <w:tab w:val="left" w:pos="360"/>
        </w:tabs>
        <w:spacing w:line="360" w:lineRule="auto"/>
        <w:rPr>
          <w:sz w:val="24"/>
        </w:rPr>
      </w:pPr>
      <w:r>
        <w:rPr>
          <w:rFonts w:hint="eastAsia"/>
          <w:sz w:val="24"/>
        </w:rPr>
        <w:t xml:space="preserve">高精度电流源表1台 </w:t>
      </w:r>
    </w:p>
    <w:p>
      <w:pPr>
        <w:numPr>
          <w:ilvl w:val="2"/>
          <w:numId w:val="3"/>
        </w:numPr>
        <w:tabs>
          <w:tab w:val="left" w:pos="360"/>
        </w:tabs>
        <w:spacing w:line="360" w:lineRule="auto"/>
        <w:rPr>
          <w:sz w:val="24"/>
        </w:rPr>
      </w:pPr>
      <w:r>
        <w:rPr>
          <w:rFonts w:hint="eastAsia"/>
          <w:sz w:val="24"/>
        </w:rPr>
        <w:t>示波器1台</w:t>
      </w:r>
    </w:p>
    <w:p>
      <w:pPr>
        <w:numPr>
          <w:ilvl w:val="2"/>
          <w:numId w:val="3"/>
        </w:numPr>
        <w:tabs>
          <w:tab w:val="left" w:pos="360"/>
        </w:tabs>
        <w:spacing w:line="360" w:lineRule="auto"/>
        <w:rPr>
          <w:sz w:val="24"/>
        </w:rPr>
      </w:pPr>
      <w:r>
        <w:rPr>
          <w:rFonts w:hint="eastAsia"/>
          <w:sz w:val="24"/>
        </w:rPr>
        <w:t>频谱分析仪一台</w:t>
      </w:r>
    </w:p>
    <w:p>
      <w:pPr>
        <w:numPr>
          <w:ilvl w:val="2"/>
          <w:numId w:val="3"/>
        </w:numPr>
        <w:tabs>
          <w:tab w:val="left" w:pos="360"/>
        </w:tabs>
        <w:spacing w:line="360" w:lineRule="auto"/>
        <w:rPr>
          <w:sz w:val="24"/>
        </w:rPr>
      </w:pPr>
      <w:r>
        <w:rPr>
          <w:rFonts w:hint="eastAsia"/>
          <w:sz w:val="24"/>
        </w:rPr>
        <w:t>USB功率计一台</w:t>
      </w:r>
    </w:p>
    <w:p>
      <w:pPr>
        <w:numPr>
          <w:ilvl w:val="1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要求的附件、专用工具和消耗品</w:t>
      </w:r>
    </w:p>
    <w:p>
      <w:pPr>
        <w:pStyle w:val="13"/>
        <w:numPr>
          <w:ilvl w:val="2"/>
          <w:numId w:val="3"/>
        </w:numPr>
        <w:tabs>
          <w:tab w:val="left" w:pos="360"/>
        </w:tabs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机械校准件一套</w:t>
      </w:r>
    </w:p>
    <w:p>
      <w:pPr>
        <w:pStyle w:val="13"/>
        <w:numPr>
          <w:ilvl w:val="2"/>
          <w:numId w:val="3"/>
        </w:numPr>
        <w:tabs>
          <w:tab w:val="left" w:pos="360"/>
        </w:tabs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偏置网络2个；</w:t>
      </w:r>
    </w:p>
    <w:p>
      <w:pPr>
        <w:pStyle w:val="13"/>
        <w:numPr>
          <w:ilvl w:val="2"/>
          <w:numId w:val="3"/>
        </w:numPr>
        <w:tabs>
          <w:tab w:val="left" w:pos="360"/>
        </w:tabs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测试射频电缆组件2根；高同轴电缆组件4根</w:t>
      </w:r>
    </w:p>
    <w:p>
      <w:pPr>
        <w:pStyle w:val="13"/>
        <w:numPr>
          <w:ilvl w:val="2"/>
          <w:numId w:val="3"/>
        </w:numPr>
        <w:tabs>
          <w:tab w:val="left" w:pos="360"/>
        </w:tabs>
        <w:spacing w:line="360" w:lineRule="auto"/>
        <w:ind w:firstLineChars="0"/>
        <w:rPr>
          <w:sz w:val="24"/>
        </w:rPr>
      </w:pPr>
      <w:r>
        <w:rPr>
          <w:rFonts w:hint="eastAsia"/>
          <w:sz w:val="24"/>
        </w:rPr>
        <w:t>转接头6个；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</w:t>
      </w:r>
      <w:r>
        <w:rPr>
          <w:b/>
          <w:sz w:val="24"/>
        </w:rPr>
        <w:t xml:space="preserve">. </w:t>
      </w:r>
      <w:r>
        <w:rPr>
          <w:rFonts w:hint="eastAsia"/>
          <w:b/>
          <w:sz w:val="24"/>
        </w:rPr>
        <w:t>选购附件、备件及消耗品：</w:t>
      </w:r>
      <w:r>
        <w:rPr>
          <w:b/>
          <w:sz w:val="24"/>
        </w:rPr>
        <w:t xml:space="preserve"> </w:t>
      </w:r>
    </w:p>
    <w:p>
      <w:pPr>
        <w:spacing w:line="360" w:lineRule="auto"/>
        <w:rPr>
          <w:b/>
          <w:sz w:val="24"/>
        </w:rPr>
      </w:pPr>
      <w:r>
        <w:rPr>
          <w:rFonts w:hint="eastAsia"/>
          <w:sz w:val="24"/>
        </w:rPr>
        <w:t xml:space="preserve">        无</w:t>
      </w:r>
    </w:p>
    <w:p>
      <w:pPr>
        <w:tabs>
          <w:tab w:val="left" w:pos="540"/>
        </w:tabs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6.  技术文件：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6.1 卖方应提供</w:t>
      </w:r>
      <w:r>
        <w:rPr>
          <w:rFonts w:hint="eastAsia" w:ascii="宋体" w:hAnsi="宋体"/>
          <w:sz w:val="24"/>
        </w:rPr>
        <w:t>符合招标文件的要求的技术文件，如与招标文件的技术规格有偏差，应提供技术规格偏差的量值或说明（偏离表）。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6.2 卖方</w:t>
      </w:r>
      <w:r>
        <w:rPr>
          <w:rFonts w:hint="eastAsia" w:ascii="宋体" w:hAnsi="宋体"/>
          <w:sz w:val="24"/>
        </w:rPr>
        <w:t>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7.  技术服务：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7.1 设备安装调试（请参考总则第2.4条）</w:t>
      </w:r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/>
          <w:sz w:val="24"/>
        </w:rPr>
        <w:t xml:space="preserve">7.1.1  </w:t>
      </w:r>
      <w:r>
        <w:rPr>
          <w:rFonts w:hint="eastAsia" w:ascii="宋体" w:hAnsi="宋体"/>
          <w:sz w:val="24"/>
        </w:rPr>
        <w:t>关于设备的安装调试，如果有必要的安装准备条件，卖方应在合同生效后一个月内向买方提出详细的要求或计划。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 xml:space="preserve">7.1.2  </w:t>
      </w:r>
      <w:r>
        <w:rPr>
          <w:rFonts w:hAnsi="宋体"/>
          <w:sz w:val="24"/>
        </w:rPr>
        <w:t>设备到货后两周内进行现场安装，现场调试；按照买方和卖方双方同意的标准对主机、附件，软件的性能和功能进行测试；在买方对主机、附件的性能和功能进行测试合格的基础上，由买方授权人签字验收。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7.2  技术培训 (请参考总则第2.5条)</w:t>
      </w:r>
    </w:p>
    <w:p>
      <w:pPr>
        <w:pStyle w:val="3"/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7.2.1  如要求卖方提供用户所在地培训的有关事项（如人数，时间等）在此列出</w:t>
      </w:r>
    </w:p>
    <w:p>
      <w:pPr>
        <w:pStyle w:val="3"/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设备安装调试结束后，安排对相关实验人员进行一次培训，使相关操作人员可以正常操作机器，能够分析处理实验数据。设备安装完成后，质保期内，每年至少安排一次技术培训。</w:t>
      </w:r>
    </w:p>
    <w:p>
      <w:pPr>
        <w:spacing w:line="360" w:lineRule="auto"/>
        <w:rPr>
          <w:sz w:val="24"/>
        </w:rPr>
      </w:pPr>
      <w:r>
        <w:rPr>
          <w:rFonts w:hint="eastAsia" w:ascii="宋体" w:hAnsi="宋体"/>
          <w:sz w:val="24"/>
        </w:rPr>
        <w:t>★</w:t>
      </w:r>
      <w:r>
        <w:rPr>
          <w:rFonts w:hint="eastAsia"/>
          <w:sz w:val="24"/>
        </w:rPr>
        <w:t>7.3 保修期</w:t>
      </w:r>
      <w:r>
        <w:rPr>
          <w:rFonts w:hint="eastAsia"/>
          <w:b/>
          <w:sz w:val="24"/>
        </w:rPr>
        <w:t>(本条不用提供证明资料</w:t>
      </w:r>
      <w:r>
        <w:rPr>
          <w:b/>
          <w:sz w:val="24"/>
        </w:rPr>
        <w:t>)</w:t>
      </w:r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须提供原厂1年质保，</w:t>
      </w:r>
      <w:r>
        <w:rPr>
          <w:rFonts w:hAnsi="宋体"/>
          <w:sz w:val="24"/>
        </w:rPr>
        <w:t>保修期从仪器验收合格、双方签署验收报告之日算起。保修期内，仪器的零配件费用、人工费用、差旅费用均由卖方承担。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7.4 维修响应时间</w:t>
      </w:r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24小时内电话响应，一周内到现场解决。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7.5 要求卖方提供的其它技术服务内容（如软、硬件升级要求等）</w:t>
      </w:r>
    </w:p>
    <w:p>
      <w:pPr>
        <w:spacing w:line="360" w:lineRule="auto"/>
        <w:ind w:firstLine="360" w:firstLineChars="150"/>
        <w:rPr>
          <w:rFonts w:ascii="宋体"/>
          <w:sz w:val="24"/>
        </w:rPr>
      </w:pPr>
      <w:r>
        <w:rPr>
          <w:rFonts w:hint="eastAsia" w:ascii="宋体"/>
          <w:sz w:val="24"/>
        </w:rPr>
        <w:t>（1）软件免费升级,每年至少一次；</w:t>
      </w:r>
    </w:p>
    <w:p>
      <w:pPr>
        <w:spacing w:line="360" w:lineRule="auto"/>
        <w:ind w:firstLine="360" w:firstLineChars="150"/>
        <w:rPr>
          <w:rFonts w:ascii="宋体"/>
          <w:sz w:val="24"/>
        </w:rPr>
      </w:pPr>
      <w:r>
        <w:rPr>
          <w:rFonts w:hint="eastAsia" w:ascii="宋体"/>
          <w:sz w:val="24"/>
        </w:rPr>
        <w:t xml:space="preserve">（2）硬件可以和其他成像设备联用，进行融合成像； </w:t>
      </w:r>
    </w:p>
    <w:p>
      <w:pPr>
        <w:spacing w:line="360" w:lineRule="auto"/>
        <w:ind w:firstLine="360" w:firstLineChars="150"/>
        <w:rPr>
          <w:rFonts w:ascii="宋体"/>
          <w:sz w:val="24"/>
        </w:rPr>
      </w:pPr>
      <w:r>
        <w:rPr>
          <w:rFonts w:hint="eastAsia" w:ascii="宋体"/>
          <w:sz w:val="24"/>
        </w:rPr>
        <w:t>（3）每年至少安排两次设备生产原厂家工程师上门的设备保养维护（非代理商及其他第三方工程师）；</w:t>
      </w:r>
    </w:p>
    <w:p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>8. 订货数量：</w:t>
      </w:r>
      <w:r>
        <w:rPr>
          <w:rFonts w:hint="eastAsia"/>
          <w:sz w:val="24"/>
        </w:rPr>
        <w:t xml:space="preserve"> 1套。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★</w:t>
      </w:r>
      <w:r>
        <w:rPr>
          <w:rFonts w:hint="eastAsia"/>
          <w:b/>
          <w:sz w:val="24"/>
        </w:rPr>
        <w:t>9. 目的港：</w:t>
      </w:r>
      <w:r>
        <w:rPr>
          <w:rFonts w:hint="eastAsia" w:ascii="宋体" w:hAnsi="宋体"/>
          <w:sz w:val="24"/>
        </w:rPr>
        <w:t>中国科学院苏州纳米技术与纳米仿生研究所</w:t>
      </w:r>
    </w:p>
    <w:p>
      <w:r>
        <w:rPr>
          <w:rFonts w:hint="eastAsia" w:ascii="宋体" w:hAnsi="宋体"/>
          <w:sz w:val="24"/>
        </w:rPr>
        <w:t>★</w:t>
      </w:r>
      <w:r>
        <w:rPr>
          <w:rFonts w:hint="eastAsia"/>
          <w:b/>
          <w:sz w:val="24"/>
        </w:rPr>
        <w:t>10. 交货日期：</w:t>
      </w:r>
      <w:r>
        <w:rPr>
          <w:rFonts w:hint="eastAsia" w:ascii="宋体" w:hAnsi="宋体"/>
          <w:sz w:val="24"/>
        </w:rPr>
        <w:t>合同签订后3个月内到货</w:t>
      </w:r>
      <w:r>
        <w:rPr>
          <w:rFonts w:hint="eastAsia"/>
          <w:sz w:val="24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0F57DF"/>
    <w:multiLevelType w:val="multilevel"/>
    <w:tmpl w:val="340F57DF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BE"/>
    <w:rsid w:val="003312BE"/>
    <w:rsid w:val="003C6958"/>
    <w:rsid w:val="005B279F"/>
    <w:rsid w:val="008D091E"/>
    <w:rsid w:val="0091139F"/>
    <w:rsid w:val="00CF044F"/>
    <w:rsid w:val="4540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0"/>
    <w:uiPriority w:val="0"/>
    <w:rPr>
      <w:rFonts w:ascii="宋体" w:hAnsi="Courier New"/>
      <w:szCs w:val="20"/>
    </w:rPr>
  </w:style>
  <w:style w:type="paragraph" w:styleId="3">
    <w:name w:val="Date"/>
    <w:basedOn w:val="1"/>
    <w:next w:val="1"/>
    <w:link w:val="11"/>
    <w:uiPriority w:val="0"/>
    <w:rPr>
      <w:szCs w:val="20"/>
    </w:rPr>
  </w:style>
  <w:style w:type="paragraph" w:styleId="4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uiPriority w:val="99"/>
    <w:rPr>
      <w:sz w:val="18"/>
      <w:szCs w:val="18"/>
    </w:rPr>
  </w:style>
  <w:style w:type="character" w:customStyle="1" w:styleId="10">
    <w:name w:val="纯文本 字符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11">
    <w:name w:val="日期 字符"/>
    <w:basedOn w:val="7"/>
    <w:link w:val="3"/>
    <w:uiPriority w:val="0"/>
    <w:rPr>
      <w:rFonts w:ascii="Times New Roman" w:hAnsi="Times New Roman" w:eastAsia="宋体" w:cs="Times New Roman"/>
      <w:szCs w:val="20"/>
    </w:rPr>
  </w:style>
  <w:style w:type="character" w:customStyle="1" w:styleId="12">
    <w:name w:val="列表段落 字符"/>
    <w:link w:val="13"/>
    <w:qFormat/>
    <w:uiPriority w:val="34"/>
    <w:rPr>
      <w:rFonts w:ascii="Calibri" w:hAnsi="Calibri"/>
    </w:rPr>
  </w:style>
  <w:style w:type="paragraph" w:styleId="13">
    <w:name w:val="List Paragraph"/>
    <w:basedOn w:val="1"/>
    <w:link w:val="12"/>
    <w:qFormat/>
    <w:uiPriority w:val="34"/>
    <w:pPr>
      <w:ind w:firstLine="420" w:firstLineChars="200"/>
    </w:pPr>
    <w:rPr>
      <w:rFonts w:ascii="Calibri" w:hAnsi="Calibri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738</Words>
  <Characters>4212</Characters>
  <Lines>35</Lines>
  <Paragraphs>9</Paragraphs>
  <TotalTime>0</TotalTime>
  <ScaleCrop>false</ScaleCrop>
  <LinksUpToDate>false</LinksUpToDate>
  <CharactersWithSpaces>4941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2023-11-09T09:12:00Z</dcterms:created>
  <dc:creator>宇涵 郭</dc:creator>
  <cp:lastModifiedBy>Administrator</cp:lastModifiedBy>
  <dcterms:modified xsi:type="dcterms:W3CDTF">2023-11-10T02:23:46Z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767328DECE93449E83DA3E9E5CB5D305_13</vt:lpwstr>
  </property>
</Properties>
</file>