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Times New Roman" w:hAnsi="Times New Roman" w:eastAsia="宋体" w:cs="Times New Roman"/>
          <w:b/>
          <w:sz w:val="24"/>
          <w:szCs w:val="24"/>
        </w:rPr>
      </w:pPr>
      <w:bookmarkStart w:id="1" w:name="_GoBack"/>
      <w:bookmarkEnd w:id="1"/>
    </w:p>
    <w:p>
      <w:pPr>
        <w:autoSpaceDE w:val="0"/>
        <w:autoSpaceDN w:val="0"/>
        <w:jc w:val="left"/>
        <w:rPr>
          <w:rFonts w:ascii="Times New Roman" w:hAnsi="Times New Roman" w:eastAsia="Times New Roman" w:cs="Times New Roman"/>
          <w:kern w:val="0"/>
          <w:szCs w:val="24"/>
          <w:lang w:val="zh-CN" w:bidi="zh-CN"/>
        </w:rPr>
      </w:pPr>
    </w:p>
    <w:p>
      <w:pPr>
        <w:autoSpaceDE w:val="0"/>
        <w:autoSpaceDN w:val="0"/>
        <w:jc w:val="left"/>
        <w:rPr>
          <w:rFonts w:ascii="Times New Roman" w:hAnsi="Times New Roman" w:eastAsia="Times New Roman" w:cs="Times New Roman"/>
          <w:kern w:val="0"/>
          <w:szCs w:val="24"/>
          <w:lang w:val="zh-CN" w:bidi="zh-CN"/>
        </w:rPr>
      </w:pPr>
    </w:p>
    <w:p>
      <w:pPr>
        <w:autoSpaceDE w:val="0"/>
        <w:autoSpaceDN w:val="0"/>
        <w:jc w:val="left"/>
        <w:rPr>
          <w:rFonts w:ascii="Times New Roman" w:hAnsi="Times New Roman" w:eastAsia="等线" w:cs="Times New Roman"/>
          <w:kern w:val="0"/>
          <w:szCs w:val="24"/>
          <w:lang w:val="zh-CN" w:bidi="zh-CN"/>
        </w:rPr>
      </w:pPr>
    </w:p>
    <w:p>
      <w:pPr>
        <w:autoSpaceDE w:val="0"/>
        <w:autoSpaceDN w:val="0"/>
        <w:jc w:val="left"/>
        <w:rPr>
          <w:rFonts w:ascii="Times New Roman" w:hAnsi="Times New Roman" w:eastAsia="等线" w:cs="Times New Roman"/>
          <w:kern w:val="0"/>
          <w:szCs w:val="24"/>
          <w:lang w:val="zh-CN" w:bidi="zh-CN"/>
        </w:rPr>
      </w:pPr>
    </w:p>
    <w:p>
      <w:pPr>
        <w:autoSpaceDE w:val="0"/>
        <w:autoSpaceDN w:val="0"/>
        <w:jc w:val="left"/>
        <w:rPr>
          <w:rFonts w:ascii="Times New Roman" w:hAnsi="Times New Roman" w:eastAsia="等线" w:cs="Times New Roman"/>
          <w:kern w:val="0"/>
          <w:szCs w:val="24"/>
          <w:lang w:val="zh-CN" w:bidi="zh-CN"/>
        </w:rPr>
      </w:pPr>
    </w:p>
    <w:p>
      <w:pPr>
        <w:spacing w:line="300" w:lineRule="auto"/>
        <w:jc w:val="center"/>
        <w:outlineLvl w:val="0"/>
        <w:rPr>
          <w:rFonts w:ascii="Times New Roman" w:hAnsi="Times New Roman" w:eastAsia="宋体" w:cs="Times New Roman"/>
          <w:b/>
          <w:sz w:val="48"/>
          <w:szCs w:val="24"/>
        </w:rPr>
      </w:pPr>
      <w:bookmarkStart w:id="0" w:name="_Toc124105806"/>
      <w:r>
        <w:rPr>
          <w:rFonts w:ascii="Times New Roman" w:hAnsi="Times New Roman" w:eastAsia="宋体" w:cs="Times New Roman"/>
          <w:b/>
          <w:sz w:val="48"/>
          <w:szCs w:val="24"/>
        </w:rPr>
        <w:t>第八部分</w:t>
      </w:r>
      <w:r>
        <w:rPr>
          <w:rFonts w:ascii="Times New Roman" w:hAnsi="Times New Roman" w:eastAsia="宋体" w:cs="Times New Roman"/>
          <w:b/>
          <w:sz w:val="48"/>
          <w:szCs w:val="24"/>
        </w:rPr>
        <w:tab/>
      </w:r>
      <w:r>
        <w:rPr>
          <w:rFonts w:ascii="Times New Roman" w:hAnsi="Times New Roman" w:eastAsia="宋体" w:cs="Times New Roman"/>
          <w:b/>
          <w:sz w:val="48"/>
          <w:szCs w:val="24"/>
        </w:rPr>
        <w:t>技术部分</w:t>
      </w:r>
      <w:bookmarkEnd w:id="0"/>
    </w:p>
    <w:p>
      <w:pPr>
        <w:widowControl/>
        <w:jc w:val="left"/>
        <w:rPr>
          <w:rFonts w:ascii="Times New Roman" w:hAnsi="Times New Roman" w:eastAsia="宋体" w:cs="Times New Roman"/>
          <w:b/>
          <w:sz w:val="48"/>
          <w:szCs w:val="24"/>
        </w:rPr>
      </w:pPr>
      <w:r>
        <w:rPr>
          <w:rFonts w:ascii="Times New Roman" w:hAnsi="Times New Roman" w:eastAsia="宋体" w:cs="Times New Roman"/>
          <w:b/>
          <w:sz w:val="48"/>
          <w:szCs w:val="24"/>
        </w:rPr>
        <w:br w:type="page"/>
      </w:r>
    </w:p>
    <w:p>
      <w:pPr>
        <w:pStyle w:val="3"/>
        <w:spacing w:before="0" w:after="0" w:line="360" w:lineRule="auto"/>
        <w:rPr>
          <w:rFonts w:ascii="宋体" w:hAnsi="宋体" w:eastAsia="宋体"/>
          <w:sz w:val="24"/>
          <w:szCs w:val="24"/>
        </w:rPr>
      </w:pPr>
      <w:r>
        <w:rPr>
          <w:rFonts w:ascii="宋体" w:hAnsi="宋体" w:eastAsia="宋体"/>
          <w:sz w:val="24"/>
          <w:szCs w:val="24"/>
        </w:rPr>
        <w:t>一、总则</w:t>
      </w:r>
    </w:p>
    <w:p>
      <w:pPr>
        <w:pStyle w:val="4"/>
        <w:spacing w:before="0" w:after="0" w:line="360" w:lineRule="auto"/>
        <w:ind w:left="566" w:hanging="566" w:hangingChars="235"/>
        <w:rPr>
          <w:rFonts w:ascii="宋体" w:hAnsi="宋体" w:eastAsia="宋体"/>
          <w:sz w:val="24"/>
          <w:szCs w:val="24"/>
        </w:rPr>
      </w:pPr>
      <w:r>
        <w:rPr>
          <w:rFonts w:ascii="宋体" w:hAnsi="宋体" w:eastAsia="宋体"/>
          <w:sz w:val="24"/>
          <w:szCs w:val="24"/>
        </w:rPr>
        <w:t>1.</w:t>
      </w:r>
      <w:r>
        <w:rPr>
          <w:rFonts w:ascii="宋体" w:hAnsi="宋体" w:eastAsia="宋体"/>
          <w:sz w:val="24"/>
          <w:szCs w:val="24"/>
        </w:rPr>
        <w:tab/>
      </w:r>
      <w:r>
        <w:rPr>
          <w:rFonts w:ascii="宋体" w:hAnsi="宋体" w:eastAsia="宋体"/>
          <w:sz w:val="24"/>
          <w:szCs w:val="24"/>
        </w:rPr>
        <w:t>投标要求</w:t>
      </w:r>
    </w:p>
    <w:p>
      <w:pPr>
        <w:spacing w:line="360" w:lineRule="auto"/>
        <w:ind w:left="554" w:hanging="554" w:hangingChars="231"/>
        <w:rPr>
          <w:rFonts w:ascii="宋体" w:hAnsi="宋体" w:eastAsia="宋体"/>
          <w:sz w:val="24"/>
          <w:szCs w:val="24"/>
        </w:rPr>
      </w:pPr>
      <w:r>
        <w:rPr>
          <w:rFonts w:ascii="宋体" w:hAnsi="宋体" w:eastAsia="宋体"/>
          <w:sz w:val="24"/>
          <w:szCs w:val="24"/>
        </w:rPr>
        <w:t xml:space="preserve">1.1  </w:t>
      </w:r>
      <w:r>
        <w:rPr>
          <w:rFonts w:hint="eastAsia" w:ascii="宋体" w:hAnsi="宋体" w:eastAsia="宋体"/>
          <w:sz w:val="24"/>
          <w:szCs w:val="24"/>
        </w:rPr>
        <w:t>投标方在准备投标书时，务必在所提供的商品的技术规格文件中，提供完整的技术方案，包括设备组成、分系统技术方案和技术参数、设备调试方案、主要设备清单及初步采购计划（包括厂家、产品牌号、基本技术指标等）等</w:t>
      </w:r>
      <w:r>
        <w:rPr>
          <w:rFonts w:ascii="宋体" w:hAnsi="宋体" w:eastAsia="宋体"/>
          <w:sz w:val="24"/>
          <w:szCs w:val="24"/>
        </w:rPr>
        <w:t>。</w:t>
      </w:r>
    </w:p>
    <w:p>
      <w:pPr>
        <w:spacing w:line="360" w:lineRule="auto"/>
        <w:ind w:left="554" w:hanging="554" w:hangingChars="231"/>
        <w:rPr>
          <w:rFonts w:ascii="宋体" w:hAnsi="宋体" w:eastAsia="宋体"/>
          <w:sz w:val="24"/>
          <w:szCs w:val="24"/>
        </w:rPr>
      </w:pPr>
      <w:r>
        <w:rPr>
          <w:rFonts w:ascii="宋体" w:hAnsi="宋体" w:eastAsia="宋体"/>
          <w:sz w:val="24"/>
          <w:szCs w:val="24"/>
        </w:rPr>
        <w:t>1.2  投标方提供的货物的技术规格，应符合招标文件的要求。如与招标文件的技术规格有偏差，应提供技术规格偏差的量值或说明（偏离表）。如投标方有意隐瞒对规格要求的偏差或在开标后提出新的偏差，买方有权扣留其投标保证金或/并拒绝其投标。</w:t>
      </w:r>
    </w:p>
    <w:p>
      <w:pPr>
        <w:spacing w:line="360" w:lineRule="auto"/>
        <w:ind w:left="554" w:hanging="554" w:hangingChars="231"/>
        <w:rPr>
          <w:rFonts w:ascii="宋体" w:hAnsi="宋体" w:eastAsia="宋体"/>
          <w:sz w:val="24"/>
          <w:szCs w:val="24"/>
        </w:rPr>
      </w:pPr>
      <w:r>
        <w:rPr>
          <w:rFonts w:ascii="宋体" w:hAnsi="宋体" w:eastAsia="宋体"/>
          <w:sz w:val="24"/>
          <w:szCs w:val="24"/>
        </w:rPr>
        <w:t>1.3  投标方提供的产品样本，必须是“原件”而非复印件，图表、简图、电路图以及印刷电路板图等都应清晰易读。买方有权不付任何附加费用复制这些资料以供参考。</w:t>
      </w:r>
    </w:p>
    <w:p>
      <w:pPr>
        <w:pStyle w:val="4"/>
        <w:spacing w:before="0" w:after="0" w:line="360" w:lineRule="auto"/>
        <w:ind w:left="566" w:hanging="566" w:hangingChars="235"/>
        <w:rPr>
          <w:rFonts w:ascii="宋体" w:hAnsi="宋体" w:eastAsia="宋体"/>
          <w:sz w:val="24"/>
          <w:szCs w:val="24"/>
        </w:rPr>
      </w:pPr>
      <w:r>
        <w:rPr>
          <w:rFonts w:ascii="宋体" w:hAnsi="宋体" w:eastAsia="宋体"/>
          <w:sz w:val="24"/>
          <w:szCs w:val="24"/>
        </w:rPr>
        <w:t>2.</w:t>
      </w:r>
      <w:r>
        <w:rPr>
          <w:rFonts w:ascii="宋体" w:hAnsi="宋体" w:eastAsia="宋体"/>
          <w:sz w:val="24"/>
          <w:szCs w:val="24"/>
        </w:rPr>
        <w:tab/>
      </w:r>
      <w:r>
        <w:rPr>
          <w:rFonts w:ascii="宋体" w:hAnsi="宋体" w:eastAsia="宋体"/>
          <w:sz w:val="24"/>
          <w:szCs w:val="24"/>
        </w:rPr>
        <w:t>评标标准</w:t>
      </w:r>
    </w:p>
    <w:p>
      <w:pPr>
        <w:spacing w:line="360" w:lineRule="auto"/>
        <w:ind w:left="554" w:hanging="554" w:hangingChars="231"/>
        <w:rPr>
          <w:rFonts w:ascii="宋体" w:hAnsi="宋体" w:eastAsia="宋体"/>
          <w:sz w:val="24"/>
          <w:szCs w:val="24"/>
        </w:rPr>
      </w:pPr>
      <w:r>
        <w:rPr>
          <w:rFonts w:ascii="宋体" w:hAnsi="宋体" w:eastAsia="宋体"/>
          <w:sz w:val="24"/>
          <w:szCs w:val="24"/>
        </w:rPr>
        <w:t>2.1  除招标文件中指定的附件和专用工具外，投标方应提供设备的正常运行和常规保养所需的全套标准附件、专用工具和消耗品。投标方在投标书中需列出这些附件和工具的数量和单价的清单，这些附件和工具的报价的总值需计入投标价中。</w:t>
      </w:r>
    </w:p>
    <w:p>
      <w:pPr>
        <w:spacing w:line="360" w:lineRule="auto"/>
        <w:ind w:left="554" w:hanging="554" w:hangingChars="231"/>
        <w:rPr>
          <w:rFonts w:ascii="宋体" w:hAnsi="宋体" w:eastAsia="宋体"/>
          <w:sz w:val="24"/>
          <w:szCs w:val="24"/>
        </w:rPr>
      </w:pPr>
      <w:r>
        <w:rPr>
          <w:rFonts w:ascii="宋体" w:hAnsi="宋体" w:eastAsia="宋体"/>
          <w:sz w:val="24"/>
          <w:szCs w:val="24"/>
        </w:rPr>
        <w:t>2.2  对于标书技术规范中已列出的作为查询选件的附件、零配件、专用工具和消耗品，投标书中应列明其数量、单价、总价供买方参考。投标方也可推荐买方没有要求的附件或专用工具作为选件，并列明其数量、单价、总价供买方参考。选件价格不计入评标价中。选件一旦为</w:t>
      </w:r>
      <w:r>
        <w:rPr>
          <w:rFonts w:hint="eastAsia" w:ascii="宋体" w:hAnsi="宋体" w:eastAsia="宋体"/>
          <w:sz w:val="24"/>
          <w:szCs w:val="24"/>
        </w:rPr>
        <w:t>买方</w:t>
      </w:r>
      <w:r>
        <w:rPr>
          <w:rFonts w:ascii="宋体" w:hAnsi="宋体" w:eastAsia="宋体"/>
          <w:sz w:val="24"/>
          <w:szCs w:val="24"/>
        </w:rPr>
        <w:t>接受，其费用将加入合同价中。</w:t>
      </w:r>
    </w:p>
    <w:p>
      <w:pPr>
        <w:spacing w:line="360" w:lineRule="auto"/>
        <w:ind w:left="554" w:hanging="554" w:hangingChars="231"/>
        <w:rPr>
          <w:rFonts w:ascii="宋体" w:hAnsi="宋体" w:eastAsia="宋体"/>
          <w:sz w:val="24"/>
          <w:szCs w:val="24"/>
        </w:rPr>
      </w:pPr>
      <w:r>
        <w:rPr>
          <w:rFonts w:ascii="宋体" w:hAnsi="宋体" w:eastAsia="宋体"/>
          <w:sz w:val="24"/>
          <w:szCs w:val="24"/>
        </w:rPr>
        <w:t xml:space="preserve">2.3  </w:t>
      </w:r>
      <w:r>
        <w:rPr>
          <w:rFonts w:hint="eastAsia" w:ascii="宋体" w:hAnsi="宋体" w:eastAsia="宋体"/>
          <w:sz w:val="24"/>
          <w:szCs w:val="24"/>
        </w:rPr>
        <w:t>为便于买方进行接收设备的准备工作，投标方应在设备交付前</w:t>
      </w:r>
      <w:r>
        <w:rPr>
          <w:rFonts w:hint="eastAsia" w:ascii="宋体" w:hAnsi="宋体" w:eastAsia="宋体"/>
          <w:b/>
          <w:sz w:val="24"/>
          <w:szCs w:val="24"/>
        </w:rPr>
        <w:t>3</w:t>
      </w:r>
      <w:r>
        <w:rPr>
          <w:rFonts w:ascii="宋体" w:hAnsi="宋体" w:eastAsia="宋体"/>
          <w:b/>
          <w:sz w:val="24"/>
          <w:szCs w:val="24"/>
        </w:rPr>
        <w:t>0</w:t>
      </w:r>
      <w:r>
        <w:rPr>
          <w:rFonts w:ascii="宋体" w:hAnsi="宋体" w:eastAsia="宋体"/>
          <w:sz w:val="24"/>
          <w:szCs w:val="24"/>
        </w:rPr>
        <w:t>天内向买方提供一套完整的使用说明书、操作手册、维修及安装说明等文件。另一套完整上述资料应在交货时随货包装提供给买方，这些费用应计入投标价中。</w:t>
      </w:r>
    </w:p>
    <w:p>
      <w:pPr>
        <w:spacing w:line="360" w:lineRule="auto"/>
        <w:ind w:left="554" w:hanging="554" w:hangingChars="231"/>
        <w:rPr>
          <w:rFonts w:ascii="宋体" w:hAnsi="宋体" w:eastAsia="宋体"/>
          <w:sz w:val="24"/>
          <w:szCs w:val="24"/>
        </w:rPr>
      </w:pPr>
      <w:r>
        <w:rPr>
          <w:rFonts w:ascii="宋体" w:hAnsi="宋体" w:eastAsia="宋体"/>
          <w:sz w:val="24"/>
          <w:szCs w:val="24"/>
        </w:rPr>
        <w:t>2.4  关于设备的安装调试，如果有必要的安装准备条件，投标方应在合同生效后一个月内向买方提出详细的要求或计划。安装调试的费用应计入投标价中，并应单独列出，供评标使用。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eastAsia="宋体"/>
          <w:sz w:val="24"/>
          <w:szCs w:val="24"/>
        </w:rPr>
      </w:pPr>
      <w:r>
        <w:rPr>
          <w:rFonts w:ascii="宋体" w:hAnsi="宋体" w:eastAsia="宋体"/>
          <w:sz w:val="24"/>
          <w:szCs w:val="24"/>
        </w:rPr>
        <w:t xml:space="preserve">2.5  </w:t>
      </w:r>
      <w:r>
        <w:rPr>
          <w:rFonts w:hint="eastAsia" w:ascii="宋体" w:hAnsi="宋体" w:eastAsia="宋体"/>
          <w:sz w:val="24"/>
          <w:szCs w:val="24"/>
        </w:rPr>
        <w:t>投标方提供的培训指的是涉及货物的基本原理、操作使用和保养维修等有关内容的培训。培训教员的培训费、旅费、食宿费等费用和培训场地费及培训资料费均应由投标方支付</w:t>
      </w:r>
      <w:r>
        <w:rPr>
          <w:rFonts w:ascii="宋体" w:hAnsi="宋体" w:eastAsia="宋体"/>
          <w:sz w:val="24"/>
          <w:szCs w:val="24"/>
        </w:rPr>
        <w:t>。</w:t>
      </w:r>
    </w:p>
    <w:p>
      <w:pPr>
        <w:spacing w:line="360" w:lineRule="auto"/>
        <w:ind w:left="557" w:hanging="557" w:hangingChars="231"/>
        <w:rPr>
          <w:rFonts w:ascii="宋体" w:hAnsi="宋体" w:eastAsia="宋体"/>
          <w:b/>
          <w:sz w:val="24"/>
          <w:szCs w:val="24"/>
        </w:rPr>
      </w:pPr>
      <w:r>
        <w:rPr>
          <w:rFonts w:ascii="宋体" w:hAnsi="宋体" w:eastAsia="宋体"/>
          <w:b/>
          <w:sz w:val="24"/>
          <w:szCs w:val="24"/>
        </w:rPr>
        <w:t>2.6  在评标过程中，买方有权向投标方索取任何与评标有关的资料，投标方务必在接到此类要求后，在规定时间内予以答复。对于无答复的投标方，买方有权拒绝其投标。</w:t>
      </w:r>
    </w:p>
    <w:p>
      <w:pPr>
        <w:pStyle w:val="4"/>
        <w:spacing w:before="0" w:after="0" w:line="360" w:lineRule="auto"/>
        <w:ind w:left="566" w:hanging="566" w:hangingChars="235"/>
        <w:rPr>
          <w:rFonts w:ascii="宋体" w:hAnsi="宋体" w:eastAsia="宋体"/>
          <w:sz w:val="24"/>
          <w:szCs w:val="24"/>
        </w:rPr>
      </w:pPr>
      <w:r>
        <w:rPr>
          <w:rFonts w:ascii="宋体" w:hAnsi="宋体" w:eastAsia="宋体"/>
          <w:sz w:val="24"/>
          <w:szCs w:val="24"/>
        </w:rPr>
        <w:t>3.</w:t>
      </w:r>
      <w:r>
        <w:rPr>
          <w:rFonts w:ascii="宋体" w:hAnsi="宋体" w:eastAsia="宋体"/>
          <w:sz w:val="24"/>
          <w:szCs w:val="24"/>
        </w:rPr>
        <w:tab/>
      </w:r>
      <w:r>
        <w:rPr>
          <w:rFonts w:ascii="宋体" w:hAnsi="宋体" w:eastAsia="宋体"/>
          <w:sz w:val="24"/>
          <w:szCs w:val="24"/>
        </w:rPr>
        <w:t>工作条件</w:t>
      </w:r>
    </w:p>
    <w:p>
      <w:pPr>
        <w:spacing w:line="360" w:lineRule="auto"/>
        <w:ind w:left="540" w:leftChars="270"/>
        <w:rPr>
          <w:rFonts w:ascii="宋体" w:hAnsi="宋体" w:eastAsia="宋体"/>
          <w:sz w:val="24"/>
          <w:szCs w:val="24"/>
        </w:rPr>
      </w:pPr>
      <w:r>
        <w:rPr>
          <w:rFonts w:ascii="宋体" w:hAnsi="宋体" w:eastAsia="宋体"/>
          <w:sz w:val="24"/>
          <w:szCs w:val="24"/>
        </w:rPr>
        <w:t>除非在技术规格中另有说明，所有仪器、设备和系统都应符合下列要求：</w:t>
      </w:r>
    </w:p>
    <w:p>
      <w:pPr>
        <w:spacing w:line="360" w:lineRule="auto"/>
        <w:ind w:left="554" w:hanging="554" w:hangingChars="231"/>
        <w:rPr>
          <w:rFonts w:ascii="宋体" w:hAnsi="宋体" w:eastAsia="宋体"/>
          <w:sz w:val="24"/>
          <w:szCs w:val="24"/>
        </w:rPr>
      </w:pPr>
      <w:r>
        <w:rPr>
          <w:rFonts w:ascii="宋体" w:hAnsi="宋体" w:eastAsia="宋体"/>
          <w:sz w:val="24"/>
          <w:szCs w:val="24"/>
        </w:rPr>
        <w:t xml:space="preserve">3.1  </w:t>
      </w:r>
      <w:r>
        <w:rPr>
          <w:rFonts w:hint="eastAsia" w:ascii="宋体" w:hAnsi="宋体" w:eastAsia="宋体"/>
          <w:sz w:val="24"/>
          <w:szCs w:val="24"/>
        </w:rPr>
        <w:t>适于在气温为摄氏</w:t>
      </w:r>
      <w:r>
        <w:rPr>
          <w:rFonts w:ascii="宋体" w:hAnsi="宋体" w:eastAsia="宋体"/>
          <w:sz w:val="24"/>
          <w:szCs w:val="24"/>
        </w:rPr>
        <w:t>-20℃～＋50℃和相对湿度为90％的环境条件下运输和贮存。</w:t>
      </w:r>
    </w:p>
    <w:p>
      <w:pPr>
        <w:spacing w:line="360" w:lineRule="auto"/>
        <w:ind w:left="554" w:hanging="554" w:hangingChars="231"/>
        <w:rPr>
          <w:rFonts w:ascii="宋体" w:hAnsi="宋体" w:eastAsia="宋体"/>
          <w:sz w:val="24"/>
          <w:szCs w:val="24"/>
        </w:rPr>
      </w:pPr>
      <w:r>
        <w:rPr>
          <w:rFonts w:ascii="宋体" w:hAnsi="宋体" w:eastAsia="宋体"/>
          <w:sz w:val="24"/>
          <w:szCs w:val="24"/>
        </w:rPr>
        <w:t xml:space="preserve">3.2  </w:t>
      </w:r>
      <w:r>
        <w:rPr>
          <w:rFonts w:hint="eastAsia" w:ascii="宋体" w:hAnsi="宋体" w:eastAsia="宋体"/>
          <w:sz w:val="24"/>
          <w:szCs w:val="24"/>
        </w:rPr>
        <w:t>适于在气温摄氏</w:t>
      </w:r>
      <w:r>
        <w:rPr>
          <w:rFonts w:ascii="宋体" w:hAnsi="宋体" w:eastAsia="宋体"/>
          <w:sz w:val="24"/>
          <w:szCs w:val="24"/>
        </w:rPr>
        <w:t>-20</w:t>
      </w:r>
      <w:r>
        <w:rPr>
          <w:rFonts w:hint="eastAsia" w:ascii="宋体" w:hAnsi="宋体" w:eastAsia="宋体"/>
          <w:sz w:val="24"/>
          <w:szCs w:val="24"/>
        </w:rPr>
        <w:t>℃</w:t>
      </w:r>
      <w:r>
        <w:rPr>
          <w:rFonts w:ascii="宋体" w:hAnsi="宋体" w:eastAsia="宋体"/>
          <w:sz w:val="24"/>
          <w:szCs w:val="24"/>
        </w:rPr>
        <w:t>-50℃和相对湿度小于80</w:t>
      </w:r>
      <w:r>
        <w:rPr>
          <w:rFonts w:hint="eastAsia" w:ascii="宋体" w:hAnsi="宋体" w:eastAsia="宋体"/>
          <w:sz w:val="24"/>
          <w:szCs w:val="24"/>
        </w:rPr>
        <w:t>％的环境条件下运行。能够连续正常工作。</w:t>
      </w:r>
    </w:p>
    <w:p>
      <w:pPr>
        <w:spacing w:line="360" w:lineRule="auto"/>
        <w:ind w:left="554" w:hanging="554" w:hangingChars="231"/>
        <w:rPr>
          <w:rFonts w:ascii="宋体" w:hAnsi="宋体" w:eastAsia="宋体"/>
          <w:sz w:val="24"/>
          <w:szCs w:val="24"/>
        </w:rPr>
      </w:pPr>
      <w:r>
        <w:rPr>
          <w:rFonts w:ascii="宋体" w:hAnsi="宋体" w:eastAsia="宋体"/>
          <w:sz w:val="24"/>
          <w:szCs w:val="24"/>
        </w:rPr>
        <w:t>3.3  如产品达不到上述要求，投标方应注明其偏差。如仪器设备需要特殊工作条件（如水、电源、磁场强度、温度、湿度、动强度等）投标方应在投标书中加以说明。</w:t>
      </w:r>
    </w:p>
    <w:p>
      <w:pPr>
        <w:pStyle w:val="4"/>
        <w:spacing w:before="0" w:after="0" w:line="360" w:lineRule="auto"/>
        <w:ind w:left="564" w:hanging="564" w:hangingChars="235"/>
        <w:rPr>
          <w:rFonts w:ascii="宋体" w:hAnsi="宋体" w:eastAsia="宋体"/>
          <w:b w:val="0"/>
          <w:sz w:val="24"/>
          <w:szCs w:val="24"/>
        </w:rPr>
      </w:pPr>
      <w:r>
        <w:rPr>
          <w:rFonts w:ascii="宋体" w:hAnsi="宋体" w:eastAsia="宋体"/>
          <w:b w:val="0"/>
          <w:sz w:val="24"/>
          <w:szCs w:val="24"/>
        </w:rPr>
        <w:t>4.</w:t>
      </w:r>
      <w:r>
        <w:rPr>
          <w:rFonts w:ascii="宋体" w:hAnsi="宋体" w:eastAsia="宋体"/>
          <w:b w:val="0"/>
          <w:sz w:val="24"/>
          <w:szCs w:val="24"/>
        </w:rPr>
        <w:tab/>
      </w:r>
      <w:r>
        <w:rPr>
          <w:rFonts w:ascii="宋体" w:hAnsi="宋体" w:eastAsia="宋体"/>
          <w:b w:val="0"/>
          <w:sz w:val="24"/>
          <w:szCs w:val="24"/>
        </w:rPr>
        <w:t>本技术规格书中标注“★”号的为关键技术参数，对这些关键技术参数的任何负偏离将导致废标。</w:t>
      </w:r>
    </w:p>
    <w:p>
      <w:pPr>
        <w:pStyle w:val="4"/>
        <w:spacing w:before="0" w:after="0" w:line="360" w:lineRule="auto"/>
        <w:ind w:left="564" w:hanging="564" w:hangingChars="235"/>
        <w:rPr>
          <w:rFonts w:hAnsi="宋体"/>
          <w:b w:val="0"/>
          <w:sz w:val="21"/>
          <w:szCs w:val="21"/>
        </w:rPr>
      </w:pPr>
      <w:r>
        <w:rPr>
          <w:rFonts w:hint="eastAsia" w:ascii="宋体" w:hAnsi="宋体" w:eastAsia="宋体"/>
          <w:b w:val="0"/>
          <w:sz w:val="24"/>
          <w:szCs w:val="24"/>
        </w:rPr>
        <w:t>5</w:t>
      </w:r>
      <w:r>
        <w:rPr>
          <w:rFonts w:ascii="宋体" w:hAnsi="宋体" w:eastAsia="宋体"/>
          <w:b w:val="0"/>
          <w:sz w:val="24"/>
          <w:szCs w:val="24"/>
        </w:rPr>
        <w:t>.</w:t>
      </w:r>
      <w:r>
        <w:rPr>
          <w:rFonts w:ascii="宋体" w:hAnsi="宋体" w:eastAsia="宋体"/>
          <w:b w:val="0"/>
          <w:sz w:val="24"/>
          <w:szCs w:val="24"/>
        </w:rPr>
        <w:tab/>
      </w:r>
      <w:r>
        <w:rPr>
          <w:rFonts w:ascii="宋体" w:hAnsi="宋体" w:eastAsia="宋体"/>
          <w:b w:val="0"/>
          <w:sz w:val="24"/>
          <w:szCs w:val="24"/>
        </w:rPr>
        <w:t>如在具体技术规格中有本总则不一致之处，以具体技术规格中的要求为准。</w:t>
      </w:r>
    </w:p>
    <w:p>
      <w:pPr>
        <w:pStyle w:val="3"/>
        <w:rPr>
          <w:rFonts w:ascii="Times New Roman" w:hAnsi="宋体" w:eastAsia="宋体"/>
          <w:sz w:val="21"/>
          <w:szCs w:val="21"/>
        </w:rPr>
      </w:pPr>
      <w:r>
        <w:rPr>
          <w:rFonts w:ascii="Times New Roman" w:hAnsi="Times New Roman"/>
          <w:sz w:val="21"/>
          <w:szCs w:val="21"/>
        </w:rPr>
        <w:br w:type="page"/>
      </w:r>
      <w:r>
        <w:rPr>
          <w:rFonts w:ascii="Times New Roman" w:hAnsi="宋体" w:eastAsia="宋体"/>
          <w:sz w:val="21"/>
          <w:szCs w:val="21"/>
        </w:rPr>
        <w:t>二、</w:t>
      </w:r>
      <w:r>
        <w:rPr>
          <w:rFonts w:hint="eastAsia" w:ascii="Times New Roman" w:hAnsi="宋体" w:eastAsia="宋体"/>
          <w:sz w:val="21"/>
          <w:szCs w:val="21"/>
        </w:rPr>
        <w:t>具体要求</w:t>
      </w:r>
    </w:p>
    <w:p>
      <w:pPr>
        <w:spacing w:line="360" w:lineRule="auto"/>
        <w:ind w:left="601" w:hanging="601"/>
        <w:jc w:val="center"/>
        <w:rPr>
          <w:rFonts w:ascii="宋体" w:hAnsi="宋体" w:eastAsia="宋体" w:cs="Times New Roman"/>
          <w:b/>
          <w:sz w:val="24"/>
          <w:szCs w:val="24"/>
        </w:rPr>
      </w:pPr>
      <w:r>
        <w:rPr>
          <w:rFonts w:hint="eastAsia" w:ascii="宋体" w:hAnsi="宋体" w:eastAsia="宋体"/>
          <w:b/>
          <w:sz w:val="24"/>
          <w:szCs w:val="24"/>
        </w:rPr>
        <w:t>第一包：无人机机载</w:t>
      </w:r>
      <w:r>
        <w:rPr>
          <w:rFonts w:ascii="宋体" w:hAnsi="宋体" w:eastAsia="宋体" w:cs="Times New Roman"/>
          <w:b/>
          <w:sz w:val="24"/>
          <w:szCs w:val="24"/>
        </w:rPr>
        <w:t xml:space="preserve">激光雷达扫描系统 </w:t>
      </w:r>
    </w:p>
    <w:p>
      <w:pPr>
        <w:numPr>
          <w:ilvl w:val="0"/>
          <w:numId w:val="1"/>
        </w:numPr>
        <w:spacing w:line="480" w:lineRule="auto"/>
        <w:rPr>
          <w:rFonts w:ascii="宋体" w:hAnsi="宋体" w:eastAsia="宋体" w:cs="Times New Roman"/>
          <w:b/>
          <w:sz w:val="21"/>
          <w:szCs w:val="21"/>
        </w:rPr>
      </w:pPr>
      <w:r>
        <w:rPr>
          <w:rFonts w:hint="eastAsia" w:ascii="宋体" w:hAnsi="宋体" w:eastAsia="宋体" w:cs="Times New Roman"/>
          <w:b/>
          <w:sz w:val="21"/>
          <w:szCs w:val="21"/>
        </w:rPr>
        <w:t>工作条件：</w:t>
      </w:r>
    </w:p>
    <w:p>
      <w:pPr>
        <w:spacing w:line="480" w:lineRule="auto"/>
        <w:rPr>
          <w:rFonts w:ascii="宋体" w:hAnsi="宋体" w:eastAsia="宋体" w:cs="Times New Roman"/>
          <w:sz w:val="21"/>
          <w:szCs w:val="21"/>
        </w:rPr>
      </w:pPr>
      <w:r>
        <w:rPr>
          <w:rFonts w:hint="eastAsia" w:ascii="宋体" w:hAnsi="宋体" w:eastAsia="宋体" w:cs="Times New Roman"/>
          <w:sz w:val="21"/>
          <w:szCs w:val="21"/>
        </w:rPr>
        <w:t>1.1  适于在气温为摄氏-20℃～＋50℃和相对湿度为90％的环境条件下运输和贮存。</w:t>
      </w:r>
    </w:p>
    <w:p>
      <w:pPr>
        <w:spacing w:line="480" w:lineRule="auto"/>
        <w:rPr>
          <w:rFonts w:ascii="宋体" w:hAnsi="宋体" w:eastAsia="宋体" w:cs="Times New Roman"/>
          <w:sz w:val="21"/>
          <w:szCs w:val="21"/>
        </w:rPr>
      </w:pPr>
      <w:r>
        <w:rPr>
          <w:rFonts w:ascii="宋体" w:hAnsi="宋体" w:eastAsia="宋体" w:cs="Times New Roman"/>
          <w:sz w:val="21"/>
          <w:szCs w:val="21"/>
        </w:rPr>
        <w:t xml:space="preserve">1.2  </w:t>
      </w:r>
      <w:r>
        <w:rPr>
          <w:rFonts w:hint="eastAsia" w:ascii="宋体" w:hAnsi="宋体" w:eastAsia="宋体" w:cs="Times New Roman"/>
          <w:sz w:val="21"/>
          <w:szCs w:val="21"/>
        </w:rPr>
        <w:t>适于在气温摄氏</w:t>
      </w:r>
      <w:r>
        <w:rPr>
          <w:rFonts w:ascii="宋体" w:hAnsi="宋体" w:eastAsia="宋体" w:cs="Times New Roman"/>
          <w:sz w:val="21"/>
          <w:szCs w:val="21"/>
        </w:rPr>
        <w:t>-20</w:t>
      </w:r>
      <w:r>
        <w:rPr>
          <w:rFonts w:hint="eastAsia" w:ascii="宋体" w:hAnsi="宋体" w:eastAsia="宋体" w:cs="Times New Roman"/>
          <w:sz w:val="21"/>
          <w:szCs w:val="21"/>
        </w:rPr>
        <w:t>℃</w:t>
      </w:r>
      <w:r>
        <w:rPr>
          <w:rFonts w:ascii="宋体" w:hAnsi="宋体" w:eastAsia="宋体" w:cs="Times New Roman"/>
          <w:sz w:val="21"/>
          <w:szCs w:val="21"/>
        </w:rPr>
        <w:t>-</w:t>
      </w:r>
      <w:r>
        <w:rPr>
          <w:rFonts w:hint="eastAsia" w:ascii="宋体" w:hAnsi="宋体" w:eastAsia="宋体" w:cs="Times New Roman"/>
          <w:sz w:val="21"/>
          <w:szCs w:val="21"/>
        </w:rPr>
        <w:t>50℃和相对湿度小于</w:t>
      </w:r>
      <w:r>
        <w:rPr>
          <w:rFonts w:ascii="宋体" w:hAnsi="宋体" w:eastAsia="宋体" w:cs="Times New Roman"/>
          <w:sz w:val="21"/>
          <w:szCs w:val="21"/>
        </w:rPr>
        <w:t>80</w:t>
      </w:r>
      <w:r>
        <w:rPr>
          <w:rFonts w:hint="eastAsia" w:ascii="宋体" w:hAnsi="宋体" w:eastAsia="宋体" w:cs="Times New Roman"/>
          <w:sz w:val="21"/>
          <w:szCs w:val="21"/>
        </w:rPr>
        <w:t>％的环境条件下运行。能够连续正常工作。</w:t>
      </w:r>
    </w:p>
    <w:p>
      <w:pPr>
        <w:spacing w:line="480" w:lineRule="auto"/>
        <w:rPr>
          <w:rFonts w:ascii="宋体" w:hAnsi="宋体" w:eastAsia="宋体" w:cs="Times New Roman"/>
          <w:sz w:val="21"/>
          <w:szCs w:val="21"/>
        </w:rPr>
      </w:pPr>
      <w:r>
        <w:rPr>
          <w:rFonts w:hint="eastAsia" w:ascii="宋体" w:hAnsi="宋体" w:eastAsia="宋体" w:cs="Times New Roman"/>
          <w:sz w:val="21"/>
          <w:szCs w:val="21"/>
        </w:rPr>
        <w:t>1.3  如产品达不到上述要求，投标人应注明其偏差。如仪器设备需要特殊工作条件（如水、电源、磁场强度、温度、湿度、动强度等）投标人应在投标书中加以说明。</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2.  设备用途：</w:t>
      </w:r>
    </w:p>
    <w:p>
      <w:pPr>
        <w:spacing w:line="48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主要用于搭载在无人机下采集林冠三维结构数据，用于监测林冠树高、叶面积指数和林冠结构复杂度等林冠结构，为解释和预测森林生物多样性和碳汇的变化提供重要数据。</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3.  技术规格：</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3.1 机载激光雷达系统</w:t>
      </w:r>
    </w:p>
    <w:p>
      <w:pPr>
        <w:spacing w:line="480" w:lineRule="auto"/>
        <w:rPr>
          <w:rFonts w:ascii="宋体" w:hAnsi="宋体" w:eastAsia="宋体" w:cs="Times New Roman"/>
          <w:bCs/>
          <w:sz w:val="21"/>
          <w:szCs w:val="21"/>
        </w:rPr>
      </w:pPr>
      <w:r>
        <w:rPr>
          <w:rFonts w:ascii="宋体" w:hAnsi="宋体" w:eastAsia="宋体"/>
          <w:sz w:val="24"/>
          <w:szCs w:val="24"/>
        </w:rPr>
        <w:t>★</w:t>
      </w:r>
      <w:r>
        <w:rPr>
          <w:rFonts w:hint="eastAsia" w:ascii="宋体" w:hAnsi="宋体" w:eastAsia="宋体" w:cs="Times New Roman"/>
          <w:bCs/>
          <w:sz w:val="21"/>
          <w:szCs w:val="21"/>
        </w:rPr>
        <w:t>3.1.1.</w:t>
      </w:r>
      <w:r>
        <w:rPr>
          <w:rFonts w:hint="eastAsia" w:ascii="宋体" w:hAnsi="宋体" w:eastAsia="宋体" w:cs="Times New Roman"/>
          <w:bCs/>
          <w:sz w:val="21"/>
          <w:szCs w:val="21"/>
        </w:rPr>
        <w:tab/>
      </w:r>
      <w:r>
        <w:rPr>
          <w:rFonts w:hint="eastAsia" w:ascii="宋体" w:hAnsi="宋体" w:eastAsia="宋体" w:cs="Times New Roman"/>
          <w:bCs/>
          <w:sz w:val="21"/>
          <w:szCs w:val="21"/>
        </w:rPr>
        <w:t>激光测距精度≤20 mm；</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3.1.2.</w:t>
      </w:r>
      <w:r>
        <w:rPr>
          <w:rFonts w:hint="eastAsia" w:ascii="宋体" w:hAnsi="宋体" w:eastAsia="宋体" w:cs="Times New Roman"/>
          <w:bCs/>
          <w:sz w:val="21"/>
          <w:szCs w:val="21"/>
        </w:rPr>
        <w:tab/>
      </w:r>
      <w:r>
        <w:rPr>
          <w:rFonts w:hint="eastAsia" w:ascii="宋体" w:hAnsi="宋体" w:eastAsia="宋体" w:cs="Times New Roman"/>
          <w:bCs/>
          <w:sz w:val="21"/>
          <w:szCs w:val="21"/>
        </w:rPr>
        <w:t>最大激光测距（10%反射率目标）≥200m；</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3.1.3.</w:t>
      </w:r>
      <w:r>
        <w:rPr>
          <w:rFonts w:hint="eastAsia" w:ascii="宋体" w:hAnsi="宋体" w:eastAsia="宋体" w:cs="Times New Roman"/>
          <w:bCs/>
          <w:sz w:val="21"/>
          <w:szCs w:val="21"/>
        </w:rPr>
        <w:tab/>
      </w:r>
      <w:r>
        <w:rPr>
          <w:rFonts w:hint="eastAsia" w:ascii="宋体" w:hAnsi="宋体" w:eastAsia="宋体" w:cs="Times New Roman"/>
          <w:bCs/>
          <w:sz w:val="21"/>
          <w:szCs w:val="21"/>
        </w:rPr>
        <w:t>测量频率≥720kHz，旋转频率≥20Hz，扫描线数≥40；</w:t>
      </w:r>
    </w:p>
    <w:p>
      <w:pPr>
        <w:spacing w:line="480" w:lineRule="auto"/>
        <w:ind w:left="1" w:hanging="1"/>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3.1.</w:t>
      </w:r>
      <w:r>
        <w:rPr>
          <w:rFonts w:ascii="宋体" w:hAnsi="宋体" w:eastAsia="宋体" w:cs="Times New Roman"/>
          <w:bCs/>
          <w:sz w:val="21"/>
          <w:szCs w:val="21"/>
        </w:rPr>
        <w:t>4</w:t>
      </w:r>
      <w:r>
        <w:rPr>
          <w:rFonts w:hint="eastAsia" w:ascii="宋体" w:hAnsi="宋体" w:eastAsia="宋体" w:cs="Times New Roman"/>
          <w:bCs/>
          <w:sz w:val="21"/>
          <w:szCs w:val="21"/>
        </w:rPr>
        <w:t xml:space="preserve">. </w:t>
      </w:r>
      <w:r>
        <w:rPr>
          <w:rFonts w:hint="eastAsia" w:ascii="宋体" w:hAnsi="宋体" w:eastAsia="宋体" w:cs="Times New Roman"/>
          <w:bCs/>
          <w:sz w:val="21"/>
          <w:szCs w:val="21"/>
        </w:rPr>
        <w:tab/>
      </w:r>
      <w:r>
        <w:rPr>
          <w:rFonts w:hint="eastAsia" w:ascii="宋体" w:hAnsi="宋体" w:eastAsia="宋体" w:cs="Times New Roman"/>
          <w:bCs/>
          <w:sz w:val="21"/>
          <w:szCs w:val="21"/>
        </w:rPr>
        <w:t>IMU数据采样频率≥200HZ；</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5</w:t>
      </w:r>
      <w:r>
        <w:rPr>
          <w:rFonts w:hint="eastAsia" w:ascii="宋体" w:hAnsi="宋体" w:eastAsia="宋体" w:cs="Times New Roman"/>
          <w:bCs/>
          <w:sz w:val="21"/>
          <w:szCs w:val="21"/>
        </w:rPr>
        <w:tab/>
      </w:r>
      <w:r>
        <w:rPr>
          <w:rFonts w:hint="eastAsia" w:ascii="宋体" w:hAnsi="宋体" w:eastAsia="宋体" w:cs="Times New Roman"/>
          <w:bCs/>
          <w:sz w:val="21"/>
          <w:szCs w:val="21"/>
        </w:rPr>
        <w:t>每秒激光点数量≥72万点；</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6</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水平视场角360°，垂直视场角≥20°；</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7</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水平角分辨率≤0.2°，垂直角分辨率≤1°；</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3.1.</w:t>
      </w:r>
      <w:r>
        <w:rPr>
          <w:rFonts w:ascii="宋体" w:hAnsi="宋体" w:eastAsia="宋体" w:cs="Times New Roman"/>
          <w:bCs/>
          <w:sz w:val="21"/>
          <w:szCs w:val="21"/>
        </w:rPr>
        <w:t>8.</w:t>
      </w:r>
      <w:r>
        <w:rPr>
          <w:rFonts w:hint="eastAsia" w:ascii="宋体" w:hAnsi="宋体" w:eastAsia="宋体" w:cs="Times New Roman"/>
          <w:bCs/>
          <w:sz w:val="21"/>
          <w:szCs w:val="21"/>
        </w:rPr>
        <w:tab/>
      </w:r>
      <w:r>
        <w:rPr>
          <w:rFonts w:hint="eastAsia" w:ascii="宋体" w:hAnsi="宋体" w:eastAsia="宋体" w:cs="Times New Roman"/>
          <w:bCs/>
          <w:sz w:val="21"/>
          <w:szCs w:val="21"/>
        </w:rPr>
        <w:t>航向精度≤0.04°；</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9</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激光等级I级（人眼安全激光）；</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10</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主机重量≤2kg（含相机）；</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1</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满足IP67防尘防水等级；</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2</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支持GPS、GLONASS、北斗等导航卫星；</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3.1.1</w:t>
      </w:r>
      <w:r>
        <w:rPr>
          <w:rFonts w:ascii="宋体" w:hAnsi="宋体" w:eastAsia="宋体" w:cs="Times New Roman"/>
          <w:bCs/>
          <w:sz w:val="21"/>
          <w:szCs w:val="21"/>
        </w:rPr>
        <w:t>3</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影像系统像素≥2400万，与激光雷达共用惯导系统；</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4</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无人机系统最大载重≥2.5kg；</w:t>
      </w:r>
    </w:p>
    <w:p>
      <w:pPr>
        <w:spacing w:line="480" w:lineRule="auto"/>
        <w:rPr>
          <w:rFonts w:ascii="宋体" w:hAnsi="宋体" w:eastAsia="宋体" w:cs="Times New Roman"/>
          <w:bCs/>
          <w:sz w:val="21"/>
          <w:szCs w:val="21"/>
        </w:rPr>
      </w:pPr>
      <w:r>
        <w:rPr>
          <w:rFonts w:ascii="宋体" w:hAnsi="宋体" w:eastAsia="宋体"/>
          <w:sz w:val="24"/>
          <w:szCs w:val="24"/>
        </w:rPr>
        <w:t>★</w:t>
      </w:r>
      <w:r>
        <w:rPr>
          <w:rFonts w:hint="eastAsia" w:ascii="宋体" w:hAnsi="宋体" w:eastAsia="宋体" w:cs="Times New Roman"/>
          <w:bCs/>
          <w:sz w:val="21"/>
          <w:szCs w:val="21"/>
        </w:rPr>
        <w:t>3.1.1</w:t>
      </w:r>
      <w:r>
        <w:rPr>
          <w:rFonts w:ascii="宋体" w:hAnsi="宋体" w:eastAsia="宋体" w:cs="Times New Roman"/>
          <w:bCs/>
          <w:sz w:val="21"/>
          <w:szCs w:val="21"/>
        </w:rPr>
        <w:t>5</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无人机系统悬停精度：GPS开启时垂直方向优于±0.5m，水平方向优于±1.5m；差分定位模式开启时，垂直方向和水平方向优于±0.1m；视觉定位模式开启时，垂直方向优于±0.1m，水平方向优于±0.3m；</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3.1.1</w:t>
      </w:r>
      <w:r>
        <w:rPr>
          <w:rFonts w:ascii="宋体" w:hAnsi="宋体" w:eastAsia="宋体" w:cs="Times New Roman"/>
          <w:bCs/>
          <w:sz w:val="21"/>
          <w:szCs w:val="21"/>
        </w:rPr>
        <w:t>6</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无人机系统飞行时间：理想天气状况下，无负载飞行时间≥45分钟，搭载上述传感器后，飞行时间≥30分钟；</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7</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无人机系统最大可承受风速≥12 m/s；</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8</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无人机系统防护等级不低于IP45；</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3.1.1</w:t>
      </w:r>
      <w:r>
        <w:rPr>
          <w:rFonts w:ascii="宋体" w:hAnsi="宋体" w:eastAsia="宋体" w:cs="Times New Roman"/>
          <w:bCs/>
          <w:sz w:val="21"/>
          <w:szCs w:val="21"/>
        </w:rPr>
        <w:t>9</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无人机系统工作温度范围不小于</w:t>
      </w:r>
      <w:r>
        <w:rPr>
          <w:rFonts w:ascii="宋体" w:hAnsi="宋体" w:eastAsia="宋体" w:cs="Times New Roman"/>
          <w:bCs/>
          <w:sz w:val="21"/>
          <w:szCs w:val="21"/>
        </w:rPr>
        <w:t>-20</w:t>
      </w:r>
      <w:r>
        <w:rPr>
          <w:rFonts w:hint="eastAsia" w:ascii="宋体" w:hAnsi="宋体" w:eastAsia="宋体" w:cs="Times New Roman"/>
          <w:bCs/>
          <w:sz w:val="21"/>
          <w:szCs w:val="21"/>
        </w:rPr>
        <w:t>℃至</w:t>
      </w:r>
      <w:r>
        <w:rPr>
          <w:rFonts w:ascii="宋体" w:hAnsi="宋体" w:eastAsia="宋体" w:cs="Times New Roman"/>
          <w:bCs/>
          <w:sz w:val="21"/>
          <w:szCs w:val="21"/>
        </w:rPr>
        <w:t>50</w:t>
      </w:r>
      <w:r>
        <w:rPr>
          <w:rFonts w:hint="eastAsia" w:ascii="宋体" w:hAnsi="宋体" w:eastAsia="宋体" w:cs="Times New Roman"/>
          <w:bCs/>
          <w:sz w:val="21"/>
          <w:szCs w:val="21"/>
        </w:rPr>
        <w:t>℃；</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w:t>
      </w:r>
      <w:r>
        <w:rPr>
          <w:rFonts w:ascii="宋体" w:hAnsi="宋体" w:eastAsia="宋体" w:cs="Times New Roman"/>
          <w:bCs/>
          <w:sz w:val="21"/>
          <w:szCs w:val="21"/>
        </w:rPr>
        <w:t>20</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无人机系统遥控距离≥8km（无干扰无遮挡）；</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3.1.2</w:t>
      </w:r>
      <w:r>
        <w:rPr>
          <w:rFonts w:ascii="宋体" w:hAnsi="宋体" w:eastAsia="宋体" w:cs="Times New Roman"/>
          <w:bCs/>
          <w:sz w:val="21"/>
          <w:szCs w:val="21"/>
        </w:rPr>
        <w:t>1</w:t>
      </w:r>
      <w:r>
        <w:rPr>
          <w:rFonts w:hint="eastAsia" w:ascii="宋体" w:hAnsi="宋体" w:eastAsia="宋体" w:cs="Times New Roman"/>
          <w:bCs/>
          <w:sz w:val="21"/>
          <w:szCs w:val="21"/>
        </w:rPr>
        <w:t>.</w:t>
      </w:r>
      <w:r>
        <w:rPr>
          <w:rFonts w:hint="eastAsia" w:ascii="宋体" w:hAnsi="宋体" w:eastAsia="宋体" w:cs="Times New Roman"/>
          <w:bCs/>
          <w:sz w:val="21"/>
          <w:szCs w:val="21"/>
        </w:rPr>
        <w:tab/>
      </w:r>
      <w:r>
        <w:rPr>
          <w:rFonts w:hint="eastAsia" w:ascii="宋体" w:hAnsi="宋体" w:eastAsia="宋体" w:cs="Times New Roman"/>
          <w:bCs/>
          <w:sz w:val="21"/>
          <w:szCs w:val="21"/>
        </w:rPr>
        <w:t>无人机系统单块飞行动力电池容量≥5800mAh；</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3.2 数据解算软件</w:t>
      </w:r>
    </w:p>
    <w:p>
      <w:pPr>
        <w:spacing w:line="480" w:lineRule="auto"/>
        <w:rPr>
          <w:rFonts w:ascii="宋体" w:hAnsi="宋体" w:eastAsia="宋体" w:cs="Times New Roman"/>
          <w:bCs/>
          <w:sz w:val="21"/>
          <w:szCs w:val="21"/>
        </w:rPr>
      </w:pPr>
      <w:r>
        <w:rPr>
          <w:rFonts w:ascii="宋体" w:hAnsi="宋体" w:eastAsia="宋体"/>
          <w:sz w:val="24"/>
          <w:szCs w:val="24"/>
        </w:rPr>
        <w:t>★</w:t>
      </w:r>
      <w:r>
        <w:rPr>
          <w:rFonts w:hint="eastAsia" w:ascii="宋体" w:hAnsi="宋体" w:eastAsia="宋体" w:cs="Times New Roman"/>
          <w:bCs/>
          <w:sz w:val="21"/>
          <w:szCs w:val="21"/>
        </w:rPr>
        <w:t>3.2.1 配套解算软件支持点云和全景影像的外参标定；支持点云和全景影像的漫游和显示；</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3.2.2配套解算软件支持粗配准、ICP配准、根据同名点对配准地理坐标纠正等功能；</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3.2.3配套解算软件支持长度、面积、高度、点密度和体积等测量；</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3.2.4配套解算软件支持坐标系转换和移动目标移除；</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3.2.5配套解算软件支持点云数据分类；</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3.2.6配套解算软件支持按搞成、强度、时间、RGB、回波次数、EDL等模式显示；</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3.2.7配套解算软件支持内外裁切；</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3.2.8解算软件为国内产权；</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3.2.9提供软件著作权。</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3.3 点云数据处理配套软件</w:t>
      </w:r>
    </w:p>
    <w:p>
      <w:pPr>
        <w:spacing w:line="480" w:lineRule="auto"/>
        <w:rPr>
          <w:rFonts w:ascii="宋体" w:hAnsi="宋体" w:eastAsia="宋体" w:cs="Times New Roman"/>
          <w:bCs/>
          <w:sz w:val="21"/>
          <w:szCs w:val="21"/>
        </w:rPr>
      </w:pPr>
      <w:r>
        <w:rPr>
          <w:rFonts w:ascii="宋体" w:hAnsi="宋体" w:eastAsia="宋体"/>
          <w:sz w:val="24"/>
          <w:szCs w:val="24"/>
        </w:rPr>
        <w:t>★</w:t>
      </w:r>
      <w:r>
        <w:rPr>
          <w:rFonts w:hint="eastAsia" w:ascii="宋体" w:hAnsi="宋体" w:eastAsia="宋体" w:cs="Times New Roman"/>
          <w:bCs/>
          <w:sz w:val="21"/>
          <w:szCs w:val="21"/>
        </w:rPr>
        <w:t>3.3.1配套软件为国产软件，中文界面；</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3.3.2支持点云分类，机器学习点云分类；建筑、地面点、植被等关键地物自动分类；</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3.3.3支持根据轨迹按分段进行着色点云和点云分割，支持按照高度、颜色时间等方式进行点云和轨迹显示；</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3.3.4支持点云、影像、全景影像的外参标定，支持粗配准、ICP配准、根据同名点对配准、地理坐标纠正等功能；</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3.3.5支持点云、影像全景、影像的漫游和显示；</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3.3.6 DEM、DSM、CHM等数据产品的快速获取；</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3.3.7支持点云坐标转换、点云数据的二维、三维和剖面显示；</w:t>
      </w:r>
    </w:p>
    <w:p>
      <w:pPr>
        <w:spacing w:line="480" w:lineRule="auto"/>
        <w:rPr>
          <w:rFonts w:ascii="宋体" w:hAnsi="宋体" w:eastAsia="宋体" w:cs="Times New Roman"/>
          <w:bCs/>
          <w:sz w:val="21"/>
          <w:szCs w:val="21"/>
        </w:rPr>
      </w:pPr>
      <w:r>
        <w:rPr>
          <w:rFonts w:ascii="宋体" w:hAnsi="宋体" w:eastAsia="宋体"/>
          <w:sz w:val="24"/>
          <w:szCs w:val="24"/>
        </w:rPr>
        <w:t>★</w:t>
      </w:r>
      <w:r>
        <w:rPr>
          <w:rFonts w:hint="eastAsia" w:ascii="宋体" w:hAnsi="宋体" w:eastAsia="宋体" w:cs="Times New Roman"/>
          <w:bCs/>
          <w:sz w:val="21"/>
          <w:szCs w:val="21"/>
        </w:rPr>
        <w:t>3.3.8能够快速处理植被数据，具备林业群体参数和林业单株参数提取功能，使用CHM或点云分割算法分割单木，可获取单木位置、树高、冠幅、胸径等属性；</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3.3.9测量工具支持单点、多点、长度、面积、角度、高度、体积等测量功能；</w:t>
      </w:r>
    </w:p>
    <w:p>
      <w:pPr>
        <w:spacing w:line="480" w:lineRule="auto"/>
        <w:rPr>
          <w:rFonts w:ascii="宋体" w:hAnsi="宋体" w:eastAsia="宋体" w:cs="Times New Roman"/>
          <w:bCs/>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3.3.10支持点云数据滤波与手动分类的编辑功能，支持三维点云模式和TIN模式下的点云精细分类。</w:t>
      </w:r>
    </w:p>
    <w:p>
      <w:pPr>
        <w:tabs>
          <w:tab w:val="left" w:pos="312"/>
        </w:tabs>
        <w:spacing w:line="480" w:lineRule="auto"/>
        <w:rPr>
          <w:rFonts w:ascii="宋体" w:hAnsi="宋体" w:eastAsia="宋体" w:cs="宋体"/>
          <w:sz w:val="21"/>
          <w:szCs w:val="21"/>
        </w:rPr>
      </w:pPr>
      <w:r>
        <w:rPr>
          <w:rFonts w:hint="eastAsia" w:ascii="宋体" w:hAnsi="宋体" w:eastAsia="宋体" w:cs="Times New Roman"/>
          <w:sz w:val="21"/>
          <w:szCs w:val="21"/>
        </w:rPr>
        <w:t>#</w:t>
      </w:r>
      <w:r>
        <w:rPr>
          <w:rFonts w:hint="eastAsia" w:ascii="宋体" w:hAnsi="宋体" w:eastAsia="宋体" w:cs="Times New Roman"/>
          <w:bCs/>
          <w:sz w:val="21"/>
          <w:szCs w:val="21"/>
        </w:rPr>
        <w:t>3.3.11 提供厂家软件著作权证书。</w:t>
      </w:r>
    </w:p>
    <w:p>
      <w:pPr>
        <w:spacing w:line="480" w:lineRule="auto"/>
        <w:rPr>
          <w:rFonts w:ascii="宋体" w:hAnsi="宋体" w:eastAsia="宋体" w:cs="Times New Roman"/>
          <w:b/>
          <w:sz w:val="21"/>
          <w:szCs w:val="21"/>
        </w:rPr>
      </w:pPr>
      <w:r>
        <w:rPr>
          <w:rFonts w:ascii="宋体" w:hAnsi="宋体" w:eastAsia="宋体" w:cs="Times New Roman"/>
          <w:b/>
          <w:sz w:val="21"/>
          <w:szCs w:val="21"/>
        </w:rPr>
        <w:t>4.</w:t>
      </w:r>
      <w:r>
        <w:rPr>
          <w:rFonts w:hint="eastAsia" w:ascii="宋体" w:hAnsi="宋体" w:eastAsia="宋体" w:cs="Times New Roman"/>
          <w:b/>
          <w:sz w:val="21"/>
          <w:szCs w:val="21"/>
        </w:rPr>
        <w:t>产品配置要求：</w:t>
      </w:r>
    </w:p>
    <w:p>
      <w:pPr>
        <w:widowControl/>
        <w:spacing w:line="480" w:lineRule="auto"/>
        <w:rPr>
          <w:rFonts w:ascii="宋体" w:hAnsi="宋体" w:eastAsia="宋体" w:cs="宋体"/>
          <w:sz w:val="21"/>
          <w:szCs w:val="21"/>
        </w:rPr>
      </w:pPr>
      <w:r>
        <w:rPr>
          <w:rFonts w:hint="eastAsia" w:ascii="宋体" w:hAnsi="宋体" w:eastAsia="宋体" w:cs="宋体"/>
          <w:sz w:val="21"/>
          <w:szCs w:val="21"/>
        </w:rPr>
        <w:t>机载激光雷达包括激光雷达系统、无人机系统和软件系统，各部分配置如下：</w:t>
      </w:r>
    </w:p>
    <w:p>
      <w:pPr>
        <w:spacing w:line="480" w:lineRule="auto"/>
        <w:rPr>
          <w:rFonts w:ascii="宋体" w:hAnsi="宋体" w:eastAsia="宋体" w:cs="宋体"/>
          <w:sz w:val="21"/>
          <w:szCs w:val="21"/>
        </w:rPr>
      </w:pPr>
      <w:r>
        <w:rPr>
          <w:rFonts w:hint="eastAsia" w:ascii="宋体" w:hAnsi="宋体" w:eastAsia="宋体" w:cs="Times New Roman"/>
          <w:b/>
          <w:sz w:val="32"/>
          <w:szCs w:val="21"/>
        </w:rPr>
        <w:t>★</w:t>
      </w:r>
      <w:r>
        <w:rPr>
          <w:rFonts w:hint="eastAsia" w:ascii="宋体" w:hAnsi="宋体" w:eastAsia="宋体" w:cs="宋体"/>
          <w:b/>
          <w:bCs/>
          <w:sz w:val="21"/>
          <w:szCs w:val="21"/>
        </w:rPr>
        <w:t>4.1 激光雷达系统配置</w:t>
      </w:r>
      <w:r>
        <w:rPr>
          <w:rFonts w:hint="eastAsia" w:ascii="宋体" w:hAnsi="宋体" w:eastAsia="宋体" w:cs="宋体"/>
          <w:sz w:val="21"/>
          <w:szCs w:val="21"/>
        </w:rPr>
        <w:t>：（本条投标文件中应提供应答承诺，但不用提供提供彩页等证明资料）</w:t>
      </w:r>
    </w:p>
    <w:p>
      <w:pPr>
        <w:spacing w:line="480" w:lineRule="auto"/>
        <w:rPr>
          <w:rFonts w:ascii="宋体" w:hAnsi="宋体" w:eastAsia="宋体" w:cs="宋体"/>
          <w:sz w:val="21"/>
          <w:szCs w:val="21"/>
        </w:rPr>
      </w:pPr>
      <w:r>
        <w:rPr>
          <w:rFonts w:hint="eastAsia" w:ascii="宋体" w:hAnsi="宋体" w:eastAsia="宋体" w:cs="宋体"/>
          <w:sz w:val="21"/>
          <w:szCs w:val="21"/>
        </w:rPr>
        <w:t>（1）激光雷达主机1套；</w:t>
      </w:r>
    </w:p>
    <w:p>
      <w:pPr>
        <w:spacing w:line="480" w:lineRule="auto"/>
        <w:rPr>
          <w:rFonts w:ascii="宋体" w:hAnsi="宋体" w:eastAsia="宋体" w:cs="宋体"/>
          <w:sz w:val="21"/>
          <w:szCs w:val="21"/>
        </w:rPr>
      </w:pPr>
      <w:r>
        <w:rPr>
          <w:rFonts w:hint="eastAsia" w:ascii="宋体" w:hAnsi="宋体" w:eastAsia="宋体" w:cs="宋体"/>
          <w:sz w:val="21"/>
          <w:szCs w:val="21"/>
        </w:rPr>
        <w:t>（2）GPS地面基站1套；</w:t>
      </w:r>
    </w:p>
    <w:p>
      <w:pPr>
        <w:spacing w:line="480" w:lineRule="auto"/>
        <w:rPr>
          <w:rFonts w:ascii="宋体" w:hAnsi="宋体" w:eastAsia="宋体" w:cs="宋体"/>
          <w:sz w:val="21"/>
          <w:szCs w:val="21"/>
        </w:rPr>
      </w:pPr>
      <w:r>
        <w:rPr>
          <w:rFonts w:hint="eastAsia" w:ascii="宋体" w:hAnsi="宋体" w:eastAsia="宋体" w:cs="宋体"/>
          <w:sz w:val="21"/>
          <w:szCs w:val="21"/>
        </w:rPr>
        <w:t>（3）设备安装附件及线缆</w:t>
      </w:r>
      <w:r>
        <w:rPr>
          <w:rFonts w:hint="eastAsia" w:ascii="宋体" w:hAnsi="宋体" w:eastAsia="宋体" w:cs="宋体"/>
          <w:sz w:val="21"/>
          <w:szCs w:val="21"/>
        </w:rPr>
        <w:tab/>
      </w:r>
      <w:r>
        <w:rPr>
          <w:rFonts w:hint="eastAsia" w:ascii="宋体" w:hAnsi="宋体" w:eastAsia="宋体" w:cs="宋体"/>
          <w:sz w:val="21"/>
          <w:szCs w:val="21"/>
        </w:rPr>
        <w:t>1套；</w:t>
      </w:r>
    </w:p>
    <w:p>
      <w:pPr>
        <w:spacing w:line="480" w:lineRule="auto"/>
        <w:rPr>
          <w:rFonts w:ascii="宋体" w:hAnsi="宋体" w:eastAsia="宋体" w:cs="宋体"/>
          <w:b/>
          <w:bCs/>
          <w:sz w:val="21"/>
          <w:szCs w:val="21"/>
        </w:rPr>
      </w:pPr>
      <w:r>
        <w:rPr>
          <w:rFonts w:hint="eastAsia" w:ascii="宋体" w:hAnsi="宋体" w:eastAsia="宋体" w:cs="Times New Roman"/>
          <w:b/>
          <w:sz w:val="32"/>
          <w:szCs w:val="21"/>
        </w:rPr>
        <w:t>★</w:t>
      </w:r>
      <w:r>
        <w:rPr>
          <w:rFonts w:hint="eastAsia" w:ascii="宋体" w:hAnsi="宋体" w:eastAsia="宋体" w:cs="宋体"/>
          <w:b/>
          <w:bCs/>
          <w:sz w:val="21"/>
          <w:szCs w:val="21"/>
        </w:rPr>
        <w:t>4.2 无人机系统</w:t>
      </w:r>
      <w:r>
        <w:rPr>
          <w:rFonts w:hint="eastAsia" w:ascii="宋体" w:hAnsi="宋体" w:eastAsia="宋体" w:cs="宋体"/>
          <w:sz w:val="21"/>
          <w:szCs w:val="21"/>
        </w:rPr>
        <w:t>（本条投标文件中应提供应答承诺，但不用提供提供彩页等证明资料）</w:t>
      </w:r>
    </w:p>
    <w:p>
      <w:pPr>
        <w:spacing w:line="480" w:lineRule="auto"/>
        <w:rPr>
          <w:rFonts w:ascii="宋体" w:hAnsi="宋体" w:eastAsia="宋体" w:cs="宋体"/>
          <w:sz w:val="21"/>
          <w:szCs w:val="21"/>
        </w:rPr>
      </w:pPr>
      <w:r>
        <w:rPr>
          <w:rFonts w:hint="eastAsia" w:ascii="宋体" w:hAnsi="宋体" w:eastAsia="宋体" w:cs="宋体"/>
          <w:sz w:val="21"/>
          <w:szCs w:val="21"/>
        </w:rPr>
        <w:t>（1）无人机主机1套；</w:t>
      </w:r>
    </w:p>
    <w:p>
      <w:pPr>
        <w:spacing w:line="480" w:lineRule="auto"/>
        <w:rPr>
          <w:rFonts w:ascii="宋体" w:hAnsi="宋体" w:eastAsia="宋体" w:cs="宋体"/>
          <w:sz w:val="21"/>
          <w:szCs w:val="21"/>
        </w:rPr>
      </w:pPr>
      <w:r>
        <w:rPr>
          <w:rFonts w:hint="eastAsia" w:ascii="宋体" w:hAnsi="宋体" w:eastAsia="宋体" w:cs="宋体"/>
          <w:sz w:val="21"/>
          <w:szCs w:val="21"/>
        </w:rPr>
        <w:t>（2）无人机电池1组；</w:t>
      </w:r>
    </w:p>
    <w:p>
      <w:pPr>
        <w:spacing w:line="480" w:lineRule="auto"/>
        <w:rPr>
          <w:rFonts w:ascii="宋体" w:hAnsi="宋体" w:eastAsia="宋体" w:cs="宋体"/>
          <w:sz w:val="21"/>
          <w:szCs w:val="21"/>
        </w:rPr>
      </w:pPr>
      <w:r>
        <w:rPr>
          <w:rFonts w:hint="eastAsia" w:ascii="宋体" w:hAnsi="宋体" w:eastAsia="宋体" w:cs="宋体"/>
          <w:sz w:val="21"/>
          <w:szCs w:val="21"/>
        </w:rPr>
        <w:t>（3）无人机遥控器1套；</w:t>
      </w:r>
    </w:p>
    <w:p>
      <w:pPr>
        <w:spacing w:line="480" w:lineRule="auto"/>
        <w:rPr>
          <w:rFonts w:ascii="宋体" w:hAnsi="宋体" w:eastAsia="宋体" w:cs="宋体"/>
          <w:sz w:val="21"/>
          <w:szCs w:val="21"/>
        </w:rPr>
      </w:pPr>
      <w:r>
        <w:rPr>
          <w:rFonts w:hint="eastAsia" w:ascii="宋体" w:hAnsi="宋体" w:eastAsia="宋体" w:cs="宋体"/>
          <w:sz w:val="21"/>
          <w:szCs w:val="21"/>
        </w:rPr>
        <w:t>（4）无人机安装附件1套；</w:t>
      </w:r>
    </w:p>
    <w:p>
      <w:pPr>
        <w:spacing w:line="480" w:lineRule="auto"/>
        <w:rPr>
          <w:rFonts w:ascii="宋体" w:hAnsi="宋体" w:eastAsia="宋体" w:cs="宋体"/>
          <w:b/>
          <w:bCs/>
          <w:sz w:val="21"/>
          <w:szCs w:val="21"/>
        </w:rPr>
      </w:pPr>
      <w:r>
        <w:rPr>
          <w:rFonts w:hint="eastAsia" w:ascii="宋体" w:hAnsi="宋体" w:eastAsia="宋体" w:cs="Times New Roman"/>
          <w:b/>
          <w:sz w:val="32"/>
          <w:szCs w:val="21"/>
        </w:rPr>
        <w:t>★</w:t>
      </w:r>
      <w:r>
        <w:rPr>
          <w:rFonts w:hint="eastAsia" w:ascii="宋体" w:hAnsi="宋体" w:eastAsia="宋体" w:cs="宋体"/>
          <w:b/>
          <w:bCs/>
          <w:sz w:val="21"/>
          <w:szCs w:val="21"/>
        </w:rPr>
        <w:t>4.3 软件系统</w:t>
      </w:r>
      <w:r>
        <w:rPr>
          <w:rFonts w:hint="eastAsia" w:ascii="宋体" w:hAnsi="宋体" w:eastAsia="宋体" w:cs="宋体"/>
          <w:sz w:val="21"/>
          <w:szCs w:val="21"/>
        </w:rPr>
        <w:t>（本条投标文件中应提供应答承诺，但不用提供提供彩页等证明资料）</w:t>
      </w:r>
    </w:p>
    <w:p>
      <w:pPr>
        <w:spacing w:line="480" w:lineRule="auto"/>
        <w:rPr>
          <w:rFonts w:ascii="宋体" w:hAnsi="宋体" w:eastAsia="宋体" w:cs="宋体"/>
          <w:sz w:val="21"/>
          <w:szCs w:val="21"/>
        </w:rPr>
      </w:pPr>
      <w:r>
        <w:rPr>
          <w:rFonts w:hint="eastAsia" w:ascii="宋体" w:hAnsi="宋体" w:eastAsia="宋体" w:cs="宋体"/>
          <w:sz w:val="21"/>
          <w:szCs w:val="21"/>
        </w:rPr>
        <w:t>（1）数据预处理软件1套；</w:t>
      </w:r>
    </w:p>
    <w:p>
      <w:pPr>
        <w:spacing w:line="480" w:lineRule="auto"/>
        <w:rPr>
          <w:rFonts w:ascii="宋体" w:hAnsi="宋体" w:eastAsia="宋体" w:cs="宋体"/>
          <w:sz w:val="21"/>
          <w:szCs w:val="21"/>
        </w:rPr>
      </w:pPr>
      <w:r>
        <w:rPr>
          <w:rFonts w:hint="eastAsia" w:ascii="宋体" w:hAnsi="宋体" w:eastAsia="宋体" w:cs="宋体"/>
          <w:sz w:val="21"/>
          <w:szCs w:val="21"/>
        </w:rPr>
        <w:t>（2）点云处理配套软件1套；</w:t>
      </w:r>
    </w:p>
    <w:p>
      <w:pPr>
        <w:spacing w:line="480" w:lineRule="auto"/>
        <w:rPr>
          <w:rFonts w:ascii="宋体" w:hAnsi="宋体" w:eastAsia="宋体" w:cs="宋体"/>
          <w:sz w:val="21"/>
          <w:szCs w:val="21"/>
        </w:rPr>
      </w:pPr>
      <w:r>
        <w:rPr>
          <w:rFonts w:hint="eastAsia" w:ascii="宋体" w:hAnsi="宋体" w:eastAsia="宋体" w:cs="宋体"/>
          <w:b/>
          <w:bCs/>
          <w:sz w:val="21"/>
          <w:szCs w:val="21"/>
        </w:rPr>
        <w:t>4.4产品主体部分说明：</w:t>
      </w:r>
      <w:r>
        <w:rPr>
          <w:rFonts w:hint="eastAsia" w:ascii="宋体" w:hAnsi="宋体" w:eastAsia="宋体" w:cs="宋体"/>
          <w:sz w:val="21"/>
          <w:szCs w:val="21"/>
        </w:rPr>
        <w:t>无人机系统为激光雷达系统的载体，激光雷达系统用于点云数据获取和影像数据的获取，软件系统用于数据结算、激光雷达和影像数据的显示、处理和分析。</w:t>
      </w:r>
    </w:p>
    <w:p>
      <w:pPr>
        <w:spacing w:line="480" w:lineRule="auto"/>
        <w:rPr>
          <w:rFonts w:ascii="宋体" w:hAnsi="宋体" w:eastAsia="宋体" w:cs="Times New Roman"/>
          <w:sz w:val="21"/>
          <w:szCs w:val="21"/>
        </w:rPr>
      </w:pPr>
      <w:r>
        <w:rPr>
          <w:rFonts w:ascii="宋体" w:hAnsi="宋体" w:eastAsia="宋体" w:cs="宋体"/>
          <w:b/>
          <w:bCs/>
          <w:sz w:val="21"/>
          <w:szCs w:val="21"/>
        </w:rPr>
        <w:t xml:space="preserve">4.5 </w:t>
      </w:r>
      <w:r>
        <w:rPr>
          <w:rFonts w:hint="eastAsia" w:ascii="宋体" w:hAnsi="宋体" w:eastAsia="宋体" w:cs="Times New Roman"/>
          <w:sz w:val="21"/>
          <w:szCs w:val="21"/>
        </w:rPr>
        <w:t>其它保证仪器设备的正常运行和常规保养所需的附件、专用工具和消耗品。</w:t>
      </w:r>
    </w:p>
    <w:p>
      <w:pPr>
        <w:spacing w:line="480" w:lineRule="auto"/>
        <w:rPr>
          <w:rFonts w:ascii="宋体" w:hAnsi="宋体" w:eastAsia="宋体" w:cs="Times New Roman"/>
          <w:b/>
          <w:sz w:val="21"/>
          <w:szCs w:val="21"/>
        </w:rPr>
      </w:pPr>
      <w:r>
        <w:rPr>
          <w:rFonts w:ascii="宋体" w:hAnsi="宋体" w:eastAsia="宋体" w:cs="Times New Roman"/>
          <w:b/>
          <w:sz w:val="21"/>
          <w:szCs w:val="21"/>
        </w:rPr>
        <w:t>5</w:t>
      </w:r>
      <w:r>
        <w:rPr>
          <w:rFonts w:hint="eastAsia" w:ascii="宋体" w:hAnsi="宋体" w:eastAsia="宋体" w:cs="Times New Roman"/>
          <w:b/>
          <w:sz w:val="21"/>
          <w:szCs w:val="21"/>
        </w:rPr>
        <w:t>.  技术文件：</w:t>
      </w:r>
    </w:p>
    <w:p>
      <w:pPr>
        <w:spacing w:line="480" w:lineRule="auto"/>
        <w:rPr>
          <w:rFonts w:ascii="宋体" w:hAnsi="宋体" w:eastAsia="宋体" w:cs="Times New Roman"/>
          <w:sz w:val="21"/>
          <w:szCs w:val="21"/>
        </w:rPr>
      </w:pPr>
      <w:r>
        <w:rPr>
          <w:rFonts w:ascii="宋体" w:hAnsi="宋体" w:eastAsia="宋体" w:cs="宋体"/>
          <w:b/>
          <w:bCs/>
          <w:sz w:val="21"/>
          <w:szCs w:val="21"/>
        </w:rPr>
        <w:t xml:space="preserve">5.1 </w:t>
      </w:r>
      <w:r>
        <w:rPr>
          <w:rFonts w:ascii="宋体" w:hAnsi="宋体" w:eastAsia="宋体" w:cs="Times New Roman"/>
          <w:sz w:val="21"/>
          <w:szCs w:val="21"/>
        </w:rPr>
        <w:t xml:space="preserve"> </w:t>
      </w:r>
      <w:r>
        <w:rPr>
          <w:rFonts w:hint="eastAsia" w:ascii="宋体" w:hAnsi="宋体" w:eastAsia="宋体" w:cs="Times New Roman"/>
          <w:sz w:val="21"/>
          <w:szCs w:val="21"/>
        </w:rPr>
        <w:t>一套中文或英文说明书在合同签订后</w:t>
      </w:r>
      <w:r>
        <w:rPr>
          <w:rFonts w:ascii="宋体" w:hAnsi="宋体" w:eastAsia="宋体" w:cs="Times New Roman"/>
          <w:sz w:val="21"/>
          <w:szCs w:val="21"/>
        </w:rPr>
        <w:t>10</w:t>
      </w:r>
      <w:r>
        <w:rPr>
          <w:rFonts w:hint="eastAsia" w:ascii="宋体" w:hAnsi="宋体" w:eastAsia="宋体" w:cs="Times New Roman"/>
          <w:sz w:val="21"/>
          <w:szCs w:val="21"/>
        </w:rPr>
        <w:t>天内提供给客户。</w:t>
      </w:r>
    </w:p>
    <w:p>
      <w:pPr>
        <w:spacing w:line="480" w:lineRule="auto"/>
        <w:rPr>
          <w:rFonts w:ascii="宋体" w:hAnsi="宋体" w:eastAsia="宋体" w:cs="Times New Roman"/>
          <w:b/>
          <w:sz w:val="21"/>
          <w:szCs w:val="21"/>
        </w:rPr>
      </w:pPr>
      <w:r>
        <w:rPr>
          <w:rFonts w:ascii="宋体" w:hAnsi="宋体" w:eastAsia="宋体" w:cs="Times New Roman"/>
          <w:b/>
          <w:sz w:val="21"/>
          <w:szCs w:val="21"/>
        </w:rPr>
        <w:t>6</w:t>
      </w:r>
      <w:r>
        <w:rPr>
          <w:rFonts w:hint="eastAsia" w:ascii="宋体" w:hAnsi="宋体" w:eastAsia="宋体" w:cs="Times New Roman"/>
          <w:b/>
          <w:sz w:val="21"/>
          <w:szCs w:val="21"/>
        </w:rPr>
        <w:t>.  技术服务：</w:t>
      </w:r>
    </w:p>
    <w:p>
      <w:pPr>
        <w:spacing w:line="480" w:lineRule="auto"/>
        <w:rPr>
          <w:rFonts w:ascii="宋体" w:hAnsi="宋体" w:eastAsia="宋体" w:cs="Times New Roman"/>
          <w:b/>
          <w:bCs/>
          <w:sz w:val="21"/>
          <w:szCs w:val="21"/>
        </w:rPr>
      </w:pPr>
      <w:r>
        <w:rPr>
          <w:rFonts w:hint="eastAsia" w:ascii="宋体" w:hAnsi="宋体" w:eastAsia="宋体" w:cs="Times New Roman"/>
          <w:b/>
          <w:bCs/>
          <w:sz w:val="21"/>
          <w:szCs w:val="21"/>
        </w:rPr>
        <w:t>6.1设备安装调试</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（1） 供应商向用户提供设备供货清单，由用户确认。当仪器设备到达用户指定交货地点后，售后服务专业工程师在接到用户通知后1周内到达用户指定交货地点，依据设备供货清单共同对设备进行开箱验收，并对设备的数量、品质进行逐项检查。供应商和用户双方如发现所提供设备的品质和技术规范不符合合同要求时，或有明显损坏，用户有权向厂商或供应商提出退、换和索赔。</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（2） 仪器到达用户指定交货地点并且经开箱验收后,在接到用户通知后1周内，供应商到用户指定的安装调试地点免费为买方进行仪器的安装、调试，仪器的性能指标应达到买方标书中的要求并符合仪器产品说明书中规定的技术指标。</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3）供应商或厂商应向用户提交安装测试内容、方法和计划。测试内容由供应商或厂商拟定并包括用户需要的验收指标。在测试过程中如有任何软、硬件故障发生，供应商或厂商必须更换不合格的部件，并重新进行安装测试，由此引起的全部费用由投标商承担。关于设备的安装调试，如果有必要的安装准备条件，供应商应在合同生效后一个月内向甲方提出详细的要求或计划。</w:t>
      </w:r>
    </w:p>
    <w:p>
      <w:pPr>
        <w:spacing w:line="480" w:lineRule="auto"/>
        <w:rPr>
          <w:rFonts w:ascii="宋体" w:hAnsi="宋体" w:eastAsia="宋体" w:cs="Times New Roman"/>
          <w:bCs/>
          <w:sz w:val="21"/>
          <w:szCs w:val="21"/>
        </w:rPr>
      </w:pPr>
      <w:r>
        <w:rPr>
          <w:rFonts w:ascii="宋体" w:hAnsi="宋体" w:eastAsia="宋体" w:cs="Times New Roman"/>
          <w:bCs/>
          <w:sz w:val="21"/>
          <w:szCs w:val="21"/>
        </w:rPr>
        <w:t>(4)</w:t>
      </w:r>
      <w:r>
        <w:rPr>
          <w:rFonts w:hint="eastAsia" w:ascii="宋体" w:hAnsi="宋体" w:eastAsia="宋体" w:cs="Times New Roman"/>
          <w:bCs/>
          <w:sz w:val="21"/>
          <w:szCs w:val="21"/>
        </w:rPr>
        <w:t xml:space="preserve"> 每台仪器的安装调试-验收期不应长于10个工作日，安装调试完毕并通过用户最终验收后，供应商可向用户提出验收申请，由用户组织有关人员进行验收，用户根据测试结果提交验收报告，并在验收报告上签字确认。</w:t>
      </w:r>
    </w:p>
    <w:p>
      <w:pPr>
        <w:spacing w:line="480" w:lineRule="auto"/>
        <w:rPr>
          <w:rFonts w:ascii="宋体" w:hAnsi="宋体" w:eastAsia="宋体" w:cs="Times New Roman"/>
          <w:b/>
          <w:sz w:val="21"/>
          <w:szCs w:val="21"/>
        </w:rPr>
      </w:pPr>
      <w:r>
        <w:rPr>
          <w:rFonts w:hint="eastAsia" w:ascii="宋体" w:hAnsi="宋体" w:eastAsia="宋体" w:cs="Times New Roman"/>
          <w:b/>
          <w:sz w:val="21"/>
          <w:szCs w:val="21"/>
        </w:rPr>
        <w:t>6</w:t>
      </w:r>
      <w:r>
        <w:rPr>
          <w:rFonts w:ascii="宋体" w:hAnsi="宋体" w:eastAsia="宋体" w:cs="Times New Roman"/>
          <w:b/>
          <w:sz w:val="21"/>
          <w:szCs w:val="21"/>
        </w:rPr>
        <w:t>.2</w:t>
      </w:r>
      <w:r>
        <w:rPr>
          <w:rFonts w:hint="eastAsia" w:ascii="宋体" w:hAnsi="宋体" w:eastAsia="宋体" w:cs="Times New Roman"/>
          <w:b/>
          <w:sz w:val="21"/>
          <w:szCs w:val="21"/>
        </w:rPr>
        <w:t>技术培训</w:t>
      </w:r>
    </w:p>
    <w:p>
      <w:pPr>
        <w:spacing w:line="480" w:lineRule="auto"/>
        <w:ind w:firstLine="420" w:firstLineChars="200"/>
        <w:rPr>
          <w:rFonts w:ascii="宋体" w:hAnsi="宋体" w:eastAsia="宋体" w:cs="Times New Roman"/>
          <w:bCs/>
          <w:sz w:val="21"/>
          <w:szCs w:val="21"/>
        </w:rPr>
      </w:pPr>
      <w:r>
        <w:rPr>
          <w:rFonts w:hint="eastAsia" w:ascii="宋体" w:hAnsi="宋体" w:eastAsia="宋体" w:cs="Times New Roman"/>
          <w:sz w:val="21"/>
          <w:szCs w:val="21"/>
        </w:rPr>
        <w:t>在用户指定地点对用户进行一次不限人数、为期2周的免费培训。培训内容包括但不限于仪器的技术原理、操作、数据处理、基本维护等。确保参加培训用户可独立熟练操作仪器。</w:t>
      </w:r>
    </w:p>
    <w:p>
      <w:pPr>
        <w:spacing w:line="480" w:lineRule="auto"/>
        <w:rPr>
          <w:rFonts w:ascii="宋体" w:hAnsi="宋体" w:eastAsia="宋体" w:cs="Times New Roman"/>
          <w:b/>
          <w:bCs/>
          <w:sz w:val="21"/>
          <w:szCs w:val="21"/>
        </w:rPr>
      </w:pPr>
      <w:r>
        <w:rPr>
          <w:rFonts w:hint="eastAsia" w:ascii="宋体" w:hAnsi="宋体" w:eastAsia="宋体" w:cs="Times New Roman"/>
          <w:b/>
          <w:bCs/>
          <w:sz w:val="21"/>
          <w:szCs w:val="21"/>
        </w:rPr>
        <w:t>6.3 保修期</w:t>
      </w:r>
    </w:p>
    <w:p>
      <w:pPr>
        <w:spacing w:line="48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产品自货到现场、安装调试并验收合格之日起免费保修一年。保修期自验收签字之日起计算。保修期内产品本身所发生的非人为损坏的质量问题，卖方应负责免费维修。保修期满前1个月内卖方应负责一次免费全面检查，并写出正式报告，如发现潜在问题，应负责排除。</w:t>
      </w:r>
    </w:p>
    <w:p>
      <w:pPr>
        <w:spacing w:line="480" w:lineRule="auto"/>
        <w:rPr>
          <w:rFonts w:ascii="宋体" w:hAnsi="宋体" w:eastAsia="宋体" w:cs="Times New Roman"/>
          <w:b/>
          <w:bCs/>
          <w:sz w:val="21"/>
          <w:szCs w:val="21"/>
        </w:rPr>
      </w:pPr>
      <w:r>
        <w:rPr>
          <w:rFonts w:hint="eastAsia" w:ascii="宋体" w:hAnsi="宋体" w:eastAsia="宋体" w:cs="Times New Roman"/>
          <w:b/>
          <w:bCs/>
          <w:sz w:val="21"/>
          <w:szCs w:val="21"/>
        </w:rPr>
        <w:t>6.4 维修响应时间</w:t>
      </w:r>
    </w:p>
    <w:p>
      <w:pPr>
        <w:spacing w:line="48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卖方应在24小时内对用户的服务要求作出响应，一般问题应在48小时内解决，重大问题或其它无法迅速解决的问题应在一周内解决或提出明确解决方案，否则卖方应赔偿相应损失。</w:t>
      </w:r>
    </w:p>
    <w:p>
      <w:pPr>
        <w:spacing w:line="480" w:lineRule="auto"/>
        <w:rPr>
          <w:rFonts w:ascii="宋体" w:hAnsi="宋体" w:eastAsia="宋体" w:cs="Times New Roman"/>
          <w:b/>
          <w:bCs/>
          <w:sz w:val="21"/>
          <w:szCs w:val="21"/>
        </w:rPr>
      </w:pPr>
      <w:r>
        <w:rPr>
          <w:rFonts w:hint="eastAsia" w:ascii="宋体" w:hAnsi="宋体" w:eastAsia="宋体" w:cs="Times New Roman"/>
          <w:b/>
          <w:bCs/>
          <w:sz w:val="21"/>
          <w:szCs w:val="21"/>
        </w:rPr>
        <w:t>6.5 要求卖方提供的其它技术服务内容（如软、硬件升级要求等）</w:t>
      </w:r>
    </w:p>
    <w:p>
      <w:pPr>
        <w:spacing w:line="480" w:lineRule="auto"/>
        <w:rPr>
          <w:rFonts w:ascii="宋体" w:hAnsi="宋体" w:eastAsia="宋体" w:cs="Times New Roman"/>
          <w:bCs/>
          <w:sz w:val="21"/>
          <w:szCs w:val="21"/>
        </w:rPr>
      </w:pPr>
      <w:r>
        <w:rPr>
          <w:rFonts w:hint="eastAsia" w:ascii="宋体" w:hAnsi="宋体" w:eastAsia="宋体" w:cs="Times New Roman"/>
          <w:bCs/>
          <w:sz w:val="21"/>
          <w:szCs w:val="21"/>
        </w:rPr>
        <w:t>（1）设备厂商对设备使用提供费的技术指导。</w:t>
      </w:r>
    </w:p>
    <w:p>
      <w:pPr>
        <w:spacing w:line="480" w:lineRule="auto"/>
        <w:rPr>
          <w:rFonts w:ascii="宋体" w:hAnsi="宋体" w:eastAsia="宋体" w:cs="Times New Roman"/>
          <w:sz w:val="21"/>
          <w:szCs w:val="21"/>
        </w:rPr>
      </w:pPr>
      <w:r>
        <w:rPr>
          <w:rFonts w:hint="eastAsia" w:ascii="宋体" w:hAnsi="宋体" w:eastAsia="宋体" w:cs="Times New Roman"/>
          <w:bCs/>
          <w:sz w:val="21"/>
          <w:szCs w:val="21"/>
        </w:rPr>
        <w:t>（2）设备厂商对设备相关软件提供永久使用权并免费提供最新版本及技术指导。</w:t>
      </w:r>
    </w:p>
    <w:p>
      <w:pPr>
        <w:spacing w:line="480" w:lineRule="auto"/>
        <w:ind w:firstLine="211"/>
        <w:rPr>
          <w:rFonts w:ascii="宋体" w:hAnsi="宋体" w:eastAsia="宋体" w:cs="Times New Roman"/>
          <w:sz w:val="21"/>
          <w:szCs w:val="21"/>
        </w:rPr>
      </w:pPr>
      <w:r>
        <w:rPr>
          <w:rFonts w:ascii="宋体" w:hAnsi="宋体" w:eastAsia="宋体" w:cs="Times New Roman"/>
          <w:b/>
          <w:sz w:val="21"/>
          <w:szCs w:val="21"/>
        </w:rPr>
        <w:t>7</w:t>
      </w:r>
      <w:r>
        <w:rPr>
          <w:rFonts w:hint="eastAsia" w:ascii="宋体" w:hAnsi="宋体" w:eastAsia="宋体" w:cs="Times New Roman"/>
          <w:b/>
          <w:sz w:val="21"/>
          <w:szCs w:val="21"/>
        </w:rPr>
        <w:t>. 订货数量：</w:t>
      </w:r>
      <w:r>
        <w:rPr>
          <w:rFonts w:hint="eastAsia" w:ascii="宋体" w:hAnsi="宋体" w:eastAsia="宋体" w:cs="Times New Roman"/>
          <w:sz w:val="21"/>
          <w:szCs w:val="21"/>
        </w:rPr>
        <w:t>1台</w:t>
      </w:r>
    </w:p>
    <w:p>
      <w:pPr>
        <w:spacing w:line="480" w:lineRule="auto"/>
        <w:rPr>
          <w:rFonts w:ascii="宋体" w:hAnsi="宋体" w:eastAsia="宋体" w:cs="Times New Roman"/>
          <w:sz w:val="21"/>
          <w:szCs w:val="21"/>
        </w:rPr>
      </w:pPr>
      <w:r>
        <w:rPr>
          <w:rFonts w:ascii="宋体" w:hAnsi="宋体" w:eastAsia="宋体" w:cs="Times New Roman"/>
          <w:b/>
          <w:sz w:val="21"/>
          <w:szCs w:val="21"/>
        </w:rPr>
        <w:t>8</w:t>
      </w:r>
      <w:r>
        <w:rPr>
          <w:rFonts w:hint="eastAsia" w:ascii="宋体" w:hAnsi="宋体" w:eastAsia="宋体" w:cs="Times New Roman"/>
          <w:b/>
          <w:sz w:val="21"/>
          <w:szCs w:val="21"/>
        </w:rPr>
        <w:t>. 目的港：</w:t>
      </w:r>
      <w:r>
        <w:rPr>
          <w:rFonts w:hint="eastAsia" w:ascii="宋体" w:hAnsi="宋体" w:eastAsia="宋体" w:cs="Times New Roman"/>
          <w:sz w:val="21"/>
          <w:szCs w:val="21"/>
        </w:rPr>
        <w:t xml:space="preserve"> 中国科学院沈阳应用生态研究所</w:t>
      </w:r>
    </w:p>
    <w:p>
      <w:pPr>
        <w:spacing w:line="480" w:lineRule="auto"/>
        <w:rPr>
          <w:rFonts w:ascii="宋体" w:hAnsi="宋体" w:eastAsia="宋体" w:cs="Times New Roman"/>
          <w:sz w:val="21"/>
          <w:szCs w:val="21"/>
        </w:rPr>
      </w:pPr>
      <w:r>
        <w:rPr>
          <w:rFonts w:ascii="宋体" w:hAnsi="宋体" w:eastAsia="宋体" w:cs="Times New Roman"/>
          <w:b/>
          <w:sz w:val="21"/>
          <w:szCs w:val="21"/>
        </w:rPr>
        <w:t>9</w:t>
      </w:r>
      <w:r>
        <w:rPr>
          <w:rFonts w:hint="eastAsia" w:ascii="宋体" w:hAnsi="宋体" w:eastAsia="宋体" w:cs="Times New Roman"/>
          <w:b/>
          <w:sz w:val="21"/>
          <w:szCs w:val="21"/>
        </w:rPr>
        <w:t>. 交货日期：</w:t>
      </w:r>
      <w:r>
        <w:rPr>
          <w:rFonts w:hint="eastAsia" w:ascii="宋体" w:hAnsi="宋体" w:eastAsia="宋体" w:cs="Times New Roman"/>
          <w:sz w:val="21"/>
          <w:szCs w:val="21"/>
        </w:rPr>
        <w:t xml:space="preserve"> 合同生效后2个月内</w:t>
      </w:r>
    </w:p>
    <w:p>
      <w:pPr>
        <w:spacing w:line="480" w:lineRule="auto"/>
        <w:rPr>
          <w:rFonts w:ascii="宋体" w:hAnsi="宋体" w:eastAsia="宋体" w:cs="Times New Roman"/>
          <w:sz w:val="21"/>
          <w:szCs w:val="21"/>
        </w:rPr>
      </w:pPr>
      <w:r>
        <w:rPr>
          <w:rFonts w:ascii="宋体" w:hAnsi="宋体" w:eastAsia="宋体" w:cs="Times New Roman"/>
          <w:b/>
          <w:sz w:val="21"/>
          <w:szCs w:val="21"/>
        </w:rPr>
        <w:t>10. 采购预算：</w:t>
      </w:r>
      <w:r>
        <w:rPr>
          <w:rFonts w:hint="eastAsia" w:ascii="宋体" w:hAnsi="宋体" w:eastAsia="宋体" w:cs="Times New Roman"/>
          <w:b/>
          <w:sz w:val="21"/>
          <w:szCs w:val="21"/>
        </w:rPr>
        <w:t>4</w:t>
      </w:r>
      <w:r>
        <w:rPr>
          <w:rFonts w:ascii="宋体" w:hAnsi="宋体" w:eastAsia="宋体" w:cs="Times New Roman"/>
          <w:b/>
          <w:sz w:val="21"/>
          <w:szCs w:val="21"/>
        </w:rPr>
        <w:t>0万元。</w:t>
      </w:r>
    </w:p>
    <w:p>
      <w:pPr>
        <w:spacing w:line="360" w:lineRule="auto"/>
        <w:rPr>
          <w:rFonts w:ascii="宋体" w:hAnsi="宋体" w:eastAsia="宋体"/>
          <w:sz w:val="24"/>
          <w:szCs w:val="24"/>
        </w:rPr>
      </w:pPr>
    </w:p>
    <w:p/>
    <w:sectPr>
      <w:footerReference r:id="rId4" w:type="first"/>
      <w:footerReference r:id="rId3" w:type="default"/>
      <w:pgSz w:w="11906" w:h="16838"/>
      <w:pgMar w:top="1247" w:right="849" w:bottom="1247" w:left="130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641C7D"/>
    <w:multiLevelType w:val="multilevel"/>
    <w:tmpl w:val="1A641C7D"/>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4E2"/>
    <w:rsid w:val="00454B65"/>
    <w:rsid w:val="00E854E2"/>
    <w:rsid w:val="723F5E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0"/>
      <w:szCs w:val="20"/>
      <w:lang w:val="en-US" w:eastAsia="zh-CN" w:bidi="ar-SA"/>
    </w:rPr>
  </w:style>
  <w:style w:type="paragraph" w:styleId="3">
    <w:name w:val="heading 4"/>
    <w:basedOn w:val="1"/>
    <w:next w:val="1"/>
    <w:link w:val="8"/>
    <w:semiHidden/>
    <w:unhideWhenUsed/>
    <w:qFormat/>
    <w:uiPriority w:val="9"/>
    <w:pPr>
      <w:keepNext/>
      <w:keepLines/>
      <w:spacing w:before="280" w:after="290" w:line="376" w:lineRule="auto"/>
      <w:outlineLvl w:val="3"/>
    </w:pPr>
    <w:rPr>
      <w:rFonts w:ascii="等线 Light" w:hAnsi="等线 Light" w:eastAsia="等线 Light" w:cs="Times New Roman"/>
      <w:b/>
      <w:bCs/>
      <w:sz w:val="28"/>
      <w:szCs w:val="28"/>
    </w:rPr>
  </w:style>
  <w:style w:type="paragraph" w:styleId="4">
    <w:name w:val="heading 5"/>
    <w:basedOn w:val="1"/>
    <w:next w:val="1"/>
    <w:link w:val="9"/>
    <w:semiHidden/>
    <w:unhideWhenUsed/>
    <w:qFormat/>
    <w:uiPriority w:val="9"/>
    <w:pPr>
      <w:keepNext/>
      <w:keepLines/>
      <w:spacing w:before="280" w:after="290" w:line="376" w:lineRule="auto"/>
      <w:outlineLvl w:val="4"/>
    </w:pPr>
    <w:rPr>
      <w:b/>
      <w:bCs/>
      <w:sz w:val="28"/>
      <w:szCs w:val="28"/>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Normal Indent"/>
    <w:basedOn w:val="1"/>
    <w:semiHidden/>
    <w:unhideWhenUsed/>
    <w:uiPriority w:val="99"/>
    <w:pPr>
      <w:ind w:firstLine="420" w:firstLineChars="200"/>
    </w:pPr>
  </w:style>
  <w:style w:type="paragraph" w:styleId="5">
    <w:name w:val="footer"/>
    <w:basedOn w:val="1"/>
    <w:link w:val="11"/>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character" w:customStyle="1" w:styleId="8">
    <w:name w:val="标题 4 Char"/>
    <w:basedOn w:val="7"/>
    <w:link w:val="3"/>
    <w:semiHidden/>
    <w:qFormat/>
    <w:uiPriority w:val="9"/>
    <w:rPr>
      <w:rFonts w:ascii="等线 Light" w:hAnsi="等线 Light" w:eastAsia="等线 Light" w:cs="Times New Roman"/>
      <w:b/>
      <w:bCs/>
      <w:sz w:val="28"/>
      <w:szCs w:val="28"/>
    </w:rPr>
  </w:style>
  <w:style w:type="character" w:customStyle="1" w:styleId="9">
    <w:name w:val="标题 5 Char"/>
    <w:basedOn w:val="7"/>
    <w:link w:val="4"/>
    <w:semiHidden/>
    <w:qFormat/>
    <w:uiPriority w:val="9"/>
    <w:rPr>
      <w:b/>
      <w:bCs/>
      <w:sz w:val="28"/>
      <w:szCs w:val="28"/>
    </w:rPr>
  </w:style>
  <w:style w:type="character" w:customStyle="1" w:styleId="10">
    <w:name w:val="页脚 Char"/>
    <w:basedOn w:val="7"/>
    <w:semiHidden/>
    <w:uiPriority w:val="99"/>
    <w:rPr>
      <w:sz w:val="18"/>
      <w:szCs w:val="18"/>
    </w:rPr>
  </w:style>
  <w:style w:type="character" w:customStyle="1" w:styleId="11">
    <w:name w:val="页脚 Char1"/>
    <w:basedOn w:val="7"/>
    <w:link w:val="5"/>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666</Words>
  <Characters>3801</Characters>
  <Lines>31</Lines>
  <Paragraphs>8</Paragraphs>
  <TotalTime>0</TotalTime>
  <ScaleCrop>false</ScaleCrop>
  <LinksUpToDate>false</LinksUpToDate>
  <CharactersWithSpaces>4459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2023-11-06T04:34:00Z</dcterms:created>
  <dc:creator>Lenovo</dc:creator>
  <cp:lastModifiedBy>Administrator</cp:lastModifiedBy>
  <dcterms:modified xsi:type="dcterms:W3CDTF">2023-11-08T03:07:52Z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F922571440FF4A4A92C1E6469BE154CF_13</vt:lpwstr>
  </property>
</Properties>
</file>