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
        <w:ind w:left="-178" w:leftChars="-85"/>
        <w:jc w:val="center"/>
        <w:rPr>
          <w:rFonts w:ascii="宋体" w:hAnsi="Courier New"/>
          <w:b/>
          <w:bCs/>
          <w:color w:val="000000" w:themeColor="text1"/>
          <w:sz w:val="52"/>
          <w:szCs w:val="52"/>
          <w14:textFill>
            <w14:solidFill>
              <w14:schemeClr w14:val="tx1"/>
            </w14:solidFill>
          </w14:textFill>
        </w:rPr>
      </w:pPr>
      <w:bookmarkStart w:id="105" w:name="_GoBack"/>
      <w:bookmarkEnd w:id="105"/>
    </w:p>
    <w:p>
      <w:pPr>
        <w:spacing w:line="360" w:lineRule="auto"/>
        <w:ind w:left="-424" w:leftChars="-202" w:firstLine="347" w:firstLineChars="96"/>
        <w:jc w:val="center"/>
        <w:outlineLvl w:val="0"/>
        <w:rPr>
          <w:rFonts w:ascii="宋体" w:hAnsi="宋体" w:cs="黑体"/>
          <w:b/>
          <w:color w:val="000000" w:themeColor="text1"/>
          <w:kern w:val="0"/>
          <w:sz w:val="36"/>
          <w:szCs w:val="36"/>
          <w14:textFill>
            <w14:solidFill>
              <w14:schemeClr w14:val="tx1"/>
            </w14:solidFill>
          </w14:textFill>
        </w:rPr>
      </w:pPr>
      <w:bookmarkStart w:id="0" w:name="_Toc110531082"/>
      <w:bookmarkStart w:id="1" w:name="_Toc121134660"/>
      <w:bookmarkStart w:id="2" w:name="_Toc157512393"/>
      <w:bookmarkStart w:id="3" w:name="_Toc174334798"/>
      <w:bookmarkStart w:id="4" w:name="_Toc175976653"/>
      <w:bookmarkStart w:id="5" w:name="_Toc46227517"/>
      <w:bookmarkStart w:id="6" w:name="_Toc223410582"/>
      <w:bookmarkStart w:id="7" w:name="_Toc41287961"/>
      <w:bookmarkStart w:id="8" w:name="_Toc121206548"/>
      <w:bookmarkStart w:id="9" w:name="_Toc86721059"/>
      <w:bookmarkStart w:id="10" w:name="_Toc82425027"/>
      <w:bookmarkStart w:id="11" w:name="_Toc82405997"/>
      <w:bookmarkStart w:id="12" w:name="_Toc138497028"/>
      <w:bookmarkStart w:id="13" w:name="_Toc241390948"/>
      <w:bookmarkStart w:id="14" w:name="_Toc115158481"/>
      <w:bookmarkStart w:id="15" w:name="_Toc249268654"/>
      <w:bookmarkStart w:id="16" w:name="_Toc34708627"/>
      <w:bookmarkStart w:id="17" w:name="_Toc81126537"/>
      <w:bookmarkStart w:id="18" w:name="_Toc172459750"/>
      <w:bookmarkStart w:id="19" w:name="_Toc139168202"/>
      <w:bookmarkStart w:id="20" w:name="_Toc82405674"/>
      <w:bookmarkStart w:id="21" w:name="_Toc34734871"/>
      <w:bookmarkStart w:id="22" w:name="_Toc174335157"/>
      <w:bookmarkStart w:id="23" w:name="_Toc86715344"/>
      <w:bookmarkStart w:id="24" w:name="_Toc82406156"/>
      <w:bookmarkStart w:id="25" w:name="_Toc86715791"/>
      <w:bookmarkStart w:id="26" w:name="_Toc45445380"/>
      <w:bookmarkStart w:id="27" w:name="_Toc157511546"/>
      <w:bookmarkStart w:id="28" w:name="_Toc86662173"/>
      <w:bookmarkStart w:id="29" w:name="_Toc172459899"/>
      <w:bookmarkStart w:id="30" w:name="_Toc120002637"/>
      <w:bookmarkStart w:id="31" w:name="_Toc120002833"/>
      <w:bookmarkStart w:id="32" w:name="_Toc293563763"/>
      <w:bookmarkStart w:id="33" w:name="_Toc34733708"/>
      <w:bookmarkStart w:id="34" w:name="_Toc41103286"/>
      <w:bookmarkStart w:id="35" w:name="_Toc82406697"/>
      <w:bookmarkStart w:id="36" w:name="_Toc86715195"/>
      <w:bookmarkStart w:id="37" w:name="_Toc35662963"/>
      <w:bookmarkStart w:id="38" w:name="_Toc34704112"/>
      <w:bookmarkStart w:id="39" w:name="_Toc168222802"/>
      <w:bookmarkStart w:id="40" w:name="_Toc69099634"/>
      <w:bookmarkStart w:id="41" w:name="_Toc138496898"/>
      <w:bookmarkStart w:id="42" w:name="_Toc115157243"/>
      <w:bookmarkStart w:id="43" w:name="_Toc115158353"/>
      <w:bookmarkStart w:id="44" w:name="_Toc218065736"/>
      <w:bookmarkStart w:id="45" w:name="_Toc19407"/>
      <w:bookmarkStart w:id="46" w:name="_Toc80608434"/>
      <w:bookmarkStart w:id="47" w:name="_Toc120243641"/>
      <w:bookmarkStart w:id="48" w:name="_Toc300239244"/>
      <w:bookmarkStart w:id="49" w:name="_Toc165346398"/>
      <w:bookmarkStart w:id="50" w:name="_Toc115158225"/>
      <w:bookmarkStart w:id="51" w:name="_Toc22537"/>
      <w:bookmarkStart w:id="52" w:name="_Toc69117417"/>
      <w:bookmarkStart w:id="53" w:name="_Toc280967759"/>
      <w:bookmarkStart w:id="54" w:name="_Toc225845416"/>
      <w:bookmarkStart w:id="55" w:name="_Toc115157723"/>
      <w:bookmarkStart w:id="56" w:name="_Toc170037339"/>
      <w:bookmarkStart w:id="57" w:name="_Toc220124257"/>
      <w:bookmarkStart w:id="58" w:name="_Toc239060413"/>
      <w:bookmarkStart w:id="59" w:name="_Toc115157850"/>
      <w:bookmarkStart w:id="60" w:name="_Toc138816355"/>
      <w:bookmarkStart w:id="61" w:name="_Toc280965637"/>
      <w:bookmarkStart w:id="62" w:name="_Toc156541227"/>
      <w:bookmarkStart w:id="63" w:name="_Toc81119512"/>
      <w:bookmarkStart w:id="64" w:name="_Toc86631479"/>
      <w:bookmarkStart w:id="65" w:name="_Toc81119178"/>
      <w:bookmarkStart w:id="66" w:name="_Toc82404776"/>
      <w:bookmarkStart w:id="67" w:name="_Toc86661729"/>
      <w:bookmarkStart w:id="68" w:name="_Toc138496682"/>
      <w:bookmarkStart w:id="69" w:name="_Toc121135724"/>
      <w:bookmarkStart w:id="70" w:name="_Toc220319099"/>
      <w:bookmarkStart w:id="71" w:name="_Toc5257"/>
      <w:bookmarkStart w:id="72" w:name="_Toc41103044"/>
      <w:bookmarkStart w:id="73" w:name="_Toc226516956"/>
      <w:bookmarkStart w:id="74" w:name="_Toc82405358"/>
      <w:bookmarkStart w:id="75" w:name="_Toc168213217"/>
      <w:bookmarkStart w:id="76" w:name="_Toc33679482"/>
      <w:bookmarkStart w:id="77" w:name="_Toc170271682"/>
      <w:bookmarkStart w:id="78" w:name="_Toc135561756"/>
      <w:bookmarkStart w:id="79" w:name="_Toc167500875"/>
      <w:bookmarkStart w:id="80" w:name="_Toc86662025"/>
      <w:bookmarkStart w:id="81" w:name="_Toc34732978"/>
      <w:bookmarkStart w:id="82" w:name="_Toc171676040"/>
      <w:bookmarkStart w:id="83" w:name="_Toc168213443"/>
      <w:bookmarkStart w:id="84" w:name="_Toc82405839"/>
      <w:bookmarkStart w:id="85" w:name="_Toc34654814"/>
      <w:bookmarkStart w:id="86" w:name="_Toc34735313"/>
      <w:bookmarkStart w:id="87" w:name="_Toc191200934"/>
      <w:bookmarkStart w:id="88" w:name="_Toc69099473"/>
      <w:bookmarkStart w:id="89" w:name="_Toc45445473"/>
      <w:bookmarkStart w:id="90" w:name="_Toc120354241"/>
      <w:bookmarkStart w:id="91" w:name="_Toc138561415"/>
      <w:bookmarkStart w:id="92" w:name="_Toc120590992"/>
      <w:bookmarkStart w:id="93" w:name="_Toc86715641"/>
      <w:bookmarkStart w:id="94" w:name="_Toc165346616"/>
      <w:bookmarkStart w:id="95" w:name="_Toc171675813"/>
      <w:bookmarkStart w:id="96" w:name="_Toc86660668"/>
      <w:bookmarkStart w:id="97" w:name="_Toc170035751"/>
      <w:bookmarkStart w:id="98" w:name="_Toc220319448"/>
      <w:bookmarkStart w:id="99" w:name="_Toc157233337"/>
      <w:bookmarkStart w:id="100" w:name="_Toc120858172"/>
      <w:bookmarkStart w:id="101" w:name="_Toc135556973"/>
      <w:bookmarkStart w:id="102" w:name="_Toc218076121"/>
      <w:bookmarkStart w:id="103" w:name="_Toc139715831"/>
      <w:r>
        <w:rPr>
          <w:rFonts w:hint="eastAsia" w:ascii="宋体" w:hAnsi="宋体" w:cs="黑体"/>
          <w:b/>
          <w:color w:val="000000" w:themeColor="text1"/>
          <w:kern w:val="0"/>
          <w:sz w:val="36"/>
          <w:szCs w:val="36"/>
          <w14:textFill>
            <w14:solidFill>
              <w14:schemeClr w14:val="tx1"/>
            </w14:solidFill>
          </w14:textFill>
        </w:rPr>
        <w:t>项目需求书</w:t>
      </w:r>
      <w:bookmarkEnd w:id="0"/>
    </w:p>
    <w:p>
      <w:pPr>
        <w:widowControl/>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br w:type="page"/>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一、商务</w:t>
      </w:r>
      <w:r>
        <w:rPr>
          <w:rFonts w:hint="eastAsia" w:asciiTheme="minorEastAsia" w:hAnsiTheme="minorEastAsia" w:eastAsiaTheme="minorEastAsia"/>
          <w:color w:val="000000" w:themeColor="text1"/>
          <w:sz w:val="24"/>
          <w14:textFill>
            <w14:solidFill>
              <w14:schemeClr w14:val="tx1"/>
            </w14:solidFill>
          </w14:textFill>
        </w:rPr>
        <w:t>条件</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（一）报价要求</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1. 投标报价以人民币填列。</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2. 投标人的报价应包括：</w:t>
      </w:r>
      <w:r>
        <w:rPr>
          <w:rFonts w:hint="eastAsia" w:asciiTheme="minorEastAsia" w:hAnsiTheme="minorEastAsia" w:eastAsiaTheme="minorEastAsia"/>
          <w:color w:val="000000" w:themeColor="text1"/>
          <w:sz w:val="24"/>
          <w14:textFill>
            <w14:solidFill>
              <w14:schemeClr w14:val="tx1"/>
            </w14:solidFill>
          </w14:textFill>
        </w:rPr>
        <w:t>货物</w:t>
      </w:r>
      <w:r>
        <w:rPr>
          <w:rFonts w:asciiTheme="minorEastAsia" w:hAnsiTheme="minorEastAsia" w:eastAsiaTheme="minorEastAsia"/>
          <w:color w:val="000000" w:themeColor="text1"/>
          <w:sz w:val="24"/>
          <w14:textFill>
            <w14:solidFill>
              <w14:schemeClr w14:val="tx1"/>
            </w14:solidFill>
          </w14:textFill>
        </w:rPr>
        <w:t>主</w:t>
      </w:r>
      <w:r>
        <w:rPr>
          <w:rFonts w:hint="eastAsia" w:asciiTheme="minorEastAsia" w:hAnsiTheme="minorEastAsia" w:eastAsiaTheme="minorEastAsia"/>
          <w:color w:val="000000" w:themeColor="text1"/>
          <w:sz w:val="24"/>
          <w14:textFill>
            <w14:solidFill>
              <w14:schemeClr w14:val="tx1"/>
            </w14:solidFill>
          </w14:textFill>
        </w:rPr>
        <w:t>体</w:t>
      </w:r>
      <w:r>
        <w:rPr>
          <w:rFonts w:asciiTheme="minorEastAsia" w:hAnsiTheme="minorEastAsia" w:eastAsiaTheme="minorEastAsia"/>
          <w:color w:val="000000" w:themeColor="text1"/>
          <w:sz w:val="24"/>
          <w14:textFill>
            <w14:solidFill>
              <w14:schemeClr w14:val="tx1"/>
            </w14:solidFill>
          </w14:textFill>
        </w:rPr>
        <w:t>及附件货款、运输费、运输保险费、装卸费、安装调试费及其他应有的费用。投标人所报价格为货到现场安装调试完成的最终优惠价格。</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3.验收及相关费用由中标人负责。</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w:t>
      </w:r>
      <w:r>
        <w:rPr>
          <w:rFonts w:hint="eastAsia" w:asciiTheme="minorEastAsia" w:hAnsiTheme="minorEastAsia" w:eastAsiaTheme="minorEastAsia"/>
          <w:color w:val="000000" w:themeColor="text1"/>
          <w:sz w:val="24"/>
          <w14:textFill>
            <w14:solidFill>
              <w14:schemeClr w14:val="tx1"/>
            </w14:solidFill>
          </w14:textFill>
        </w:rPr>
        <w:t>二</w:t>
      </w:r>
      <w:r>
        <w:rPr>
          <w:rFonts w:asciiTheme="minorEastAsia" w:hAnsiTheme="minorEastAsia" w:eastAsiaTheme="minorEastAsia"/>
          <w:color w:val="000000" w:themeColor="text1"/>
          <w:sz w:val="24"/>
          <w14:textFill>
            <w14:solidFill>
              <w14:schemeClr w14:val="tx1"/>
            </w14:solidFill>
          </w14:textFill>
        </w:rPr>
        <w:t>）交货要求</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w:t>
      </w:r>
      <w:r>
        <w:rPr>
          <w:rFonts w:asciiTheme="minorEastAsia" w:hAnsiTheme="minorEastAsia" w:eastAsiaTheme="minorEastAsia"/>
          <w:color w:val="000000" w:themeColor="text1"/>
          <w:sz w:val="24"/>
          <w14:textFill>
            <w14:solidFill>
              <w14:schemeClr w14:val="tx1"/>
            </w14:solidFill>
          </w14:textFill>
        </w:rPr>
        <w:t>1）交货期：</w:t>
      </w:r>
      <w:r>
        <w:rPr>
          <w:rFonts w:hint="eastAsia" w:asciiTheme="minorEastAsia" w:hAnsiTheme="minorEastAsia" w:eastAsiaTheme="minorEastAsia"/>
          <w:color w:val="000000" w:themeColor="text1"/>
          <w:sz w:val="24"/>
          <w14:textFill>
            <w14:solidFill>
              <w14:schemeClr w14:val="tx1"/>
            </w14:solidFill>
          </w14:textFill>
        </w:rPr>
        <w:t>合同签订后</w:t>
      </w:r>
      <w:r>
        <w:rPr>
          <w:rFonts w:asciiTheme="minorEastAsia" w:hAnsiTheme="minorEastAsia" w:eastAsiaTheme="minorEastAsia"/>
          <w:color w:val="000000" w:themeColor="text1"/>
          <w:sz w:val="24"/>
          <w14:textFill>
            <w14:solidFill>
              <w14:schemeClr w14:val="tx1"/>
            </w14:solidFill>
          </w14:textFill>
        </w:rPr>
        <w:t>120</w:t>
      </w:r>
      <w:r>
        <w:rPr>
          <w:rFonts w:hint="eastAsia" w:asciiTheme="minorEastAsia" w:hAnsiTheme="minorEastAsia" w:eastAsiaTheme="minorEastAsia"/>
          <w:color w:val="000000" w:themeColor="text1"/>
          <w:sz w:val="24"/>
          <w14:textFill>
            <w14:solidFill>
              <w14:schemeClr w14:val="tx1"/>
            </w14:solidFill>
          </w14:textFill>
        </w:rPr>
        <w:t>日内。供应商应保证在要求时间内完成全部货物的供货、安装、调试和培训工作</w:t>
      </w:r>
      <w:r>
        <w:rPr>
          <w:rFonts w:asciiTheme="minorEastAsia" w:hAnsiTheme="minorEastAsia" w:eastAsiaTheme="minorEastAsia"/>
          <w:color w:val="000000" w:themeColor="text1"/>
          <w:sz w:val="24"/>
          <w14:textFill>
            <w14:solidFill>
              <w14:schemeClr w14:val="tx1"/>
            </w14:solidFill>
          </w14:textFill>
        </w:rPr>
        <w:t>,符合国家标准、行业规范和合同等相关文件的要求。</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w:t>
      </w:r>
      <w:r>
        <w:rPr>
          <w:rFonts w:asciiTheme="minorEastAsia" w:hAnsiTheme="minorEastAsia" w:eastAsiaTheme="minorEastAsia"/>
          <w:color w:val="000000" w:themeColor="text1"/>
          <w:sz w:val="24"/>
          <w14:textFill>
            <w14:solidFill>
              <w14:schemeClr w14:val="tx1"/>
            </w14:solidFill>
          </w14:textFill>
        </w:rPr>
        <w:t>2</w:t>
      </w:r>
      <w:r>
        <w:rPr>
          <w:rFonts w:hint="eastAsia" w:asciiTheme="minorEastAsia" w:hAnsiTheme="minorEastAsia" w:eastAsiaTheme="minorEastAsia"/>
          <w:color w:val="000000" w:themeColor="text1"/>
          <w:sz w:val="24"/>
          <w14:textFill>
            <w14:solidFill>
              <w14:schemeClr w14:val="tx1"/>
            </w14:solidFill>
          </w14:textFill>
        </w:rPr>
        <w:t>）交货地点：中国民航大学</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w:t>
      </w:r>
      <w:r>
        <w:rPr>
          <w:rFonts w:asciiTheme="minorEastAsia" w:hAnsiTheme="minorEastAsia" w:eastAsiaTheme="minorEastAsia"/>
          <w:color w:val="000000" w:themeColor="text1"/>
          <w:sz w:val="24"/>
          <w14:textFill>
            <w14:solidFill>
              <w14:schemeClr w14:val="tx1"/>
            </w14:solidFill>
          </w14:textFill>
        </w:rPr>
        <w:t>3</w:t>
      </w:r>
      <w:r>
        <w:rPr>
          <w:rFonts w:hint="eastAsia" w:asciiTheme="minorEastAsia" w:hAnsiTheme="minorEastAsia" w:eastAsiaTheme="minorEastAsia"/>
          <w:color w:val="000000" w:themeColor="text1"/>
          <w:sz w:val="24"/>
          <w14:textFill>
            <w14:solidFill>
              <w14:schemeClr w14:val="tx1"/>
            </w14:solidFill>
          </w14:textFill>
        </w:rPr>
        <w:t>）质保期：本项目免费质量保证期要求不低于</w:t>
      </w:r>
      <w:r>
        <w:rPr>
          <w:rFonts w:asciiTheme="minorEastAsia" w:hAnsiTheme="minorEastAsia" w:eastAsiaTheme="minorEastAsia"/>
          <w:color w:val="000000" w:themeColor="text1"/>
          <w:sz w:val="24"/>
          <w14:textFill>
            <w14:solidFill>
              <w14:schemeClr w14:val="tx1"/>
            </w14:solidFill>
          </w14:textFill>
        </w:rPr>
        <w:t>1</w:t>
      </w:r>
      <w:r>
        <w:rPr>
          <w:rFonts w:hint="eastAsia" w:asciiTheme="minorEastAsia" w:hAnsiTheme="minorEastAsia" w:eastAsiaTheme="minorEastAsia"/>
          <w:color w:val="000000" w:themeColor="text1"/>
          <w:sz w:val="24"/>
          <w14:textFill>
            <w14:solidFill>
              <w14:schemeClr w14:val="tx1"/>
            </w14:solidFill>
          </w14:textFill>
        </w:rPr>
        <w:t>年。免费质量保证期从货物供货、安装、调试正常且经采购人综合运行验收合格后开始计算。免费质量保证期以整个项目为单位进行响应。</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w:t>
      </w:r>
      <w:r>
        <w:rPr>
          <w:rFonts w:hint="eastAsia" w:asciiTheme="minorEastAsia" w:hAnsiTheme="minorEastAsia" w:eastAsiaTheme="minorEastAsia"/>
          <w:color w:val="000000" w:themeColor="text1"/>
          <w:sz w:val="24"/>
          <w14:textFill>
            <w14:solidFill>
              <w14:schemeClr w14:val="tx1"/>
            </w14:solidFill>
          </w14:textFill>
        </w:rPr>
        <w:t>三</w:t>
      </w:r>
      <w:r>
        <w:rPr>
          <w:rFonts w:asciiTheme="minorEastAsia" w:hAnsiTheme="minorEastAsia" w:eastAsiaTheme="minorEastAsia"/>
          <w:color w:val="000000" w:themeColor="text1"/>
          <w:sz w:val="24"/>
          <w14:textFill>
            <w14:solidFill>
              <w14:schemeClr w14:val="tx1"/>
            </w14:solidFill>
          </w14:textFill>
        </w:rPr>
        <w:t>）付款方式</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合同签订后</w:t>
      </w:r>
      <w:r>
        <w:rPr>
          <w:rFonts w:asciiTheme="minorEastAsia" w:hAnsiTheme="minorEastAsia" w:eastAsiaTheme="minorEastAsia"/>
          <w:color w:val="000000" w:themeColor="text1"/>
          <w:sz w:val="24"/>
          <w14:textFill>
            <w14:solidFill>
              <w14:schemeClr w14:val="tx1"/>
            </w14:solidFill>
          </w14:textFill>
        </w:rPr>
        <w:t>7个工作日内，乙方向甲方提交合同总金额的5%的履约保证金，乙方开具合同金额30%的增值税专用发票，甲方在收到履约保证金后，向乙方支付合同总金额的30%的预付款；设备具备交付条件完成工厂验收或货到项目现场并组装完毕，乙方开具合同金额30%的增值税专用发票，甲方向乙方支付合同总金额的30%货款；双方组织验收后15个工作日内，乙方开具合同金额40%的增值税专用发票，甲方向乙方支付合同总金额40%的货款；履约保证金在验收合格后返还乙方。</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w:t>
      </w:r>
      <w:r>
        <w:rPr>
          <w:rFonts w:hint="eastAsia" w:asciiTheme="minorEastAsia" w:hAnsiTheme="minorEastAsia" w:eastAsiaTheme="minorEastAsia"/>
          <w:color w:val="000000" w:themeColor="text1"/>
          <w:sz w:val="24"/>
          <w14:textFill>
            <w14:solidFill>
              <w14:schemeClr w14:val="tx1"/>
            </w14:solidFill>
          </w14:textFill>
        </w:rPr>
        <w:t>四</w:t>
      </w:r>
      <w:r>
        <w:rPr>
          <w:rFonts w:asciiTheme="minorEastAsia" w:hAnsiTheme="minorEastAsia" w:eastAsiaTheme="minorEastAsia"/>
          <w:color w:val="000000" w:themeColor="text1"/>
          <w:sz w:val="24"/>
          <w14:textFill>
            <w14:solidFill>
              <w14:schemeClr w14:val="tx1"/>
            </w14:solidFill>
          </w14:textFill>
        </w:rPr>
        <w:t xml:space="preserve">）履约保证金 </w:t>
      </w:r>
    </w:p>
    <w:p>
      <w:pPr>
        <w:tabs>
          <w:tab w:val="left" w:pos="360"/>
        </w:tabs>
        <w:spacing w:line="360" w:lineRule="auto"/>
        <w:ind w:firstLine="480" w:firstLineChars="20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w:t>
      </w:r>
      <w:r>
        <w:rPr>
          <w:rFonts w:asciiTheme="minorEastAsia" w:hAnsiTheme="minorEastAsia" w:eastAsiaTheme="minorEastAsia"/>
          <w:color w:val="000000" w:themeColor="text1"/>
          <w:sz w:val="24"/>
          <w14:textFill>
            <w14:solidFill>
              <w14:schemeClr w14:val="tx1"/>
            </w14:solidFill>
          </w14:textFill>
        </w:rPr>
        <w:t>1）中标人在合同签订后7个工作日内，提交合同总</w:t>
      </w:r>
      <w:r>
        <w:rPr>
          <w:rFonts w:hint="eastAsia" w:asciiTheme="minorEastAsia" w:hAnsiTheme="minorEastAsia" w:eastAsiaTheme="minorEastAsia"/>
          <w:color w:val="000000" w:themeColor="text1"/>
          <w:sz w:val="24"/>
          <w14:textFill>
            <w14:solidFill>
              <w14:schemeClr w14:val="tx1"/>
            </w14:solidFill>
          </w14:textFill>
        </w:rPr>
        <w:t>金额的</w:t>
      </w:r>
      <w:r>
        <w:rPr>
          <w:rFonts w:asciiTheme="minorEastAsia" w:hAnsiTheme="minorEastAsia" w:eastAsiaTheme="minorEastAsia"/>
          <w:color w:val="000000" w:themeColor="text1"/>
          <w:sz w:val="24"/>
          <w14:textFill>
            <w14:solidFill>
              <w14:schemeClr w14:val="tx1"/>
            </w14:solidFill>
          </w14:textFill>
        </w:rPr>
        <w:t>5%的履约保证金至采购人指定帐户。</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w:t>
      </w:r>
      <w:r>
        <w:rPr>
          <w:rFonts w:asciiTheme="minorEastAsia" w:hAnsiTheme="minorEastAsia" w:eastAsiaTheme="minorEastAsia"/>
          <w:color w:val="000000" w:themeColor="text1"/>
          <w:sz w:val="24"/>
          <w14:textFill>
            <w14:solidFill>
              <w14:schemeClr w14:val="tx1"/>
            </w14:solidFill>
          </w14:textFill>
        </w:rPr>
        <w:t>2）履约保证金提交方式：</w:t>
      </w:r>
      <w:r>
        <w:rPr>
          <w:rFonts w:hint="eastAsia" w:asciiTheme="minorEastAsia" w:hAnsiTheme="minorEastAsia" w:eastAsiaTheme="minorEastAsia"/>
          <w:color w:val="000000" w:themeColor="text1"/>
          <w:sz w:val="24"/>
          <w14:textFill>
            <w14:solidFill>
              <w14:schemeClr w14:val="tx1"/>
            </w14:solidFill>
          </w14:textFill>
        </w:rPr>
        <w:t>支票、汇票、本票或者金融机构、担保机构出具的保函、电汇等非现金形式</w:t>
      </w:r>
      <w:r>
        <w:rPr>
          <w:rFonts w:asciiTheme="minorEastAsia" w:hAnsiTheme="minorEastAsia" w:eastAsiaTheme="minorEastAsia"/>
          <w:color w:val="000000" w:themeColor="text1"/>
          <w:sz w:val="24"/>
          <w14:textFill>
            <w14:solidFill>
              <w14:schemeClr w14:val="tx1"/>
            </w14:solidFill>
          </w14:textFill>
        </w:rPr>
        <w:t>。</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电汇信息：</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单位名称：</w:t>
      </w:r>
      <w:r>
        <w:rPr>
          <w:rFonts w:asciiTheme="minorEastAsia" w:hAnsiTheme="minorEastAsia" w:eastAsiaTheme="minorEastAsia"/>
          <w:color w:val="000000" w:themeColor="text1"/>
          <w:sz w:val="24"/>
          <w14:textFill>
            <w14:solidFill>
              <w14:schemeClr w14:val="tx1"/>
            </w14:solidFill>
          </w14:textFill>
        </w:rPr>
        <w:t xml:space="preserve"> </w:t>
      </w:r>
      <w:r>
        <w:rPr>
          <w:rFonts w:hint="eastAsia" w:asciiTheme="minorEastAsia" w:hAnsiTheme="minorEastAsia" w:eastAsiaTheme="minorEastAsia"/>
          <w:color w:val="000000" w:themeColor="text1"/>
          <w:sz w:val="24"/>
          <w14:textFill>
            <w14:solidFill>
              <w14:schemeClr w14:val="tx1"/>
            </w14:solidFill>
          </w14:textFill>
        </w:rPr>
        <w:t>中国民航大学</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单位地址：</w:t>
      </w:r>
      <w:r>
        <w:rPr>
          <w:rFonts w:asciiTheme="minorEastAsia" w:hAnsiTheme="minorEastAsia" w:eastAsiaTheme="minorEastAsia"/>
          <w:color w:val="000000" w:themeColor="text1"/>
          <w:sz w:val="24"/>
          <w14:textFill>
            <w14:solidFill>
              <w14:schemeClr w14:val="tx1"/>
            </w14:solidFill>
          </w14:textFill>
        </w:rPr>
        <w:t xml:space="preserve"> </w:t>
      </w:r>
      <w:r>
        <w:rPr>
          <w:rFonts w:hint="eastAsia" w:asciiTheme="minorEastAsia" w:hAnsiTheme="minorEastAsia" w:eastAsiaTheme="minorEastAsia"/>
          <w:color w:val="000000" w:themeColor="text1"/>
          <w:sz w:val="24"/>
          <w14:textFill>
            <w14:solidFill>
              <w14:schemeClr w14:val="tx1"/>
            </w14:solidFill>
          </w14:textFill>
        </w:rPr>
        <w:t>天津市东丽区津北公路</w:t>
      </w:r>
      <w:r>
        <w:rPr>
          <w:rFonts w:asciiTheme="minorEastAsia" w:hAnsiTheme="minorEastAsia" w:eastAsiaTheme="minorEastAsia"/>
          <w:color w:val="000000" w:themeColor="text1"/>
          <w:sz w:val="24"/>
          <w14:textFill>
            <w14:solidFill>
              <w14:schemeClr w14:val="tx1"/>
            </w14:solidFill>
          </w14:textFill>
        </w:rPr>
        <w:t>2898号</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开户行名称：工商银行天津滨海国际机场支行</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开户行地址：</w:t>
      </w:r>
      <w:r>
        <w:rPr>
          <w:rFonts w:asciiTheme="minorEastAsia" w:hAnsiTheme="minorEastAsia" w:eastAsiaTheme="minorEastAsia"/>
          <w:color w:val="000000" w:themeColor="text1"/>
          <w:sz w:val="24"/>
          <w14:textFill>
            <w14:solidFill>
              <w14:schemeClr w14:val="tx1"/>
            </w14:solidFill>
          </w14:textFill>
        </w:rPr>
        <w:t xml:space="preserve"> 天津市东丽区外环线天津机场内 </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账号：</w:t>
      </w:r>
      <w:r>
        <w:rPr>
          <w:rFonts w:asciiTheme="minorEastAsia" w:hAnsiTheme="minorEastAsia" w:eastAsiaTheme="minorEastAsia"/>
          <w:color w:val="000000" w:themeColor="text1"/>
          <w:sz w:val="24"/>
          <w14:textFill>
            <w14:solidFill>
              <w14:schemeClr w14:val="tx1"/>
            </w14:solidFill>
          </w14:textFill>
        </w:rPr>
        <w:t>0302015109100467065</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w:t>
      </w:r>
      <w:r>
        <w:rPr>
          <w:rFonts w:asciiTheme="minorEastAsia" w:hAnsiTheme="minorEastAsia" w:eastAsiaTheme="minorEastAsia"/>
          <w:color w:val="000000" w:themeColor="text1"/>
          <w:sz w:val="24"/>
          <w14:textFill>
            <w14:solidFill>
              <w14:schemeClr w14:val="tx1"/>
            </w14:solidFill>
          </w14:textFill>
        </w:rPr>
        <w:t>3）中标人自行承担与按规定提供履约保证金有关的全部费用。</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w:t>
      </w:r>
      <w:r>
        <w:rPr>
          <w:rFonts w:asciiTheme="minorEastAsia" w:hAnsiTheme="minorEastAsia" w:eastAsiaTheme="minorEastAsia"/>
          <w:color w:val="000000" w:themeColor="text1"/>
          <w:sz w:val="24"/>
          <w14:textFill>
            <w14:solidFill>
              <w14:schemeClr w14:val="tx1"/>
            </w14:solidFill>
          </w14:textFill>
        </w:rPr>
        <w:t>4）采购人应当加强对中标人的履约管理，如果中标人未能按合同规定履行其义务，采购人或采购代理机构有权没收履约保证金。对于中标人违反采购合同约定的行为，采购人应当及时处理，依法追究其违约责任。</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w:t>
      </w:r>
      <w:r>
        <w:rPr>
          <w:rFonts w:hint="eastAsia" w:asciiTheme="minorEastAsia" w:hAnsiTheme="minorEastAsia" w:eastAsiaTheme="minorEastAsia"/>
          <w:color w:val="000000" w:themeColor="text1"/>
          <w:sz w:val="24"/>
          <w14:textFill>
            <w14:solidFill>
              <w14:schemeClr w14:val="tx1"/>
            </w14:solidFill>
          </w14:textFill>
        </w:rPr>
        <w:t>五</w:t>
      </w:r>
      <w:r>
        <w:rPr>
          <w:rFonts w:asciiTheme="minorEastAsia" w:hAnsiTheme="minorEastAsia" w:eastAsiaTheme="minorEastAsia"/>
          <w:color w:val="000000" w:themeColor="text1"/>
          <w:sz w:val="24"/>
          <w14:textFill>
            <w14:solidFill>
              <w14:schemeClr w14:val="tx1"/>
            </w14:solidFill>
          </w14:textFill>
        </w:rPr>
        <w:t>）</w:t>
      </w:r>
      <w:r>
        <w:rPr>
          <w:rFonts w:hint="eastAsia" w:asciiTheme="minorEastAsia" w:hAnsiTheme="minorEastAsia" w:eastAsiaTheme="minorEastAsia"/>
          <w:color w:val="000000" w:themeColor="text1"/>
          <w:sz w:val="24"/>
          <w14:textFill>
            <w14:solidFill>
              <w14:schemeClr w14:val="tx1"/>
            </w14:solidFill>
          </w14:textFill>
        </w:rPr>
        <w:t>验收方法及标准</w:t>
      </w:r>
      <w:r>
        <w:rPr>
          <w:rFonts w:asciiTheme="minorEastAsia" w:hAnsiTheme="minorEastAsia" w:eastAsiaTheme="minorEastAsia"/>
          <w:color w:val="000000" w:themeColor="text1"/>
          <w:sz w:val="24"/>
          <w14:textFill>
            <w14:solidFill>
              <w14:schemeClr w14:val="tx1"/>
            </w14:solidFill>
          </w14:textFill>
        </w:rPr>
        <w:t xml:space="preserve"> </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*1</w:t>
      </w:r>
      <w:r>
        <w:rPr>
          <w:rFonts w:hint="eastAsia" w:asciiTheme="minorEastAsia" w:hAnsiTheme="minorEastAsia" w:eastAsiaTheme="minorEastAsia"/>
          <w:color w:val="000000" w:themeColor="text1"/>
          <w:sz w:val="24"/>
          <w14:textFill>
            <w14:solidFill>
              <w14:schemeClr w14:val="tx1"/>
            </w14:solidFill>
          </w14:textFill>
        </w:rPr>
        <w:t>、货物安装完成正常运行</w:t>
      </w:r>
      <w:r>
        <w:rPr>
          <w:rFonts w:asciiTheme="minorEastAsia" w:hAnsiTheme="minorEastAsia" w:eastAsiaTheme="minorEastAsia"/>
          <w:color w:val="000000" w:themeColor="text1"/>
          <w:sz w:val="24"/>
          <w14:textFill>
            <w14:solidFill>
              <w14:schemeClr w14:val="tx1"/>
            </w14:solidFill>
          </w14:textFill>
        </w:rPr>
        <w:t xml:space="preserve"> 15</w:t>
      </w:r>
      <w:r>
        <w:rPr>
          <w:rFonts w:hint="eastAsia" w:asciiTheme="minorEastAsia" w:hAnsiTheme="minorEastAsia" w:eastAsiaTheme="minorEastAsia"/>
          <w:color w:val="000000" w:themeColor="text1"/>
          <w:sz w:val="24"/>
          <w14:textFill>
            <w14:solidFill>
              <w14:schemeClr w14:val="tx1"/>
            </w14:solidFill>
          </w14:textFill>
        </w:rPr>
        <w:t>天后，由供货商提出验收申请，项目单位同意后，按照学校验收的权限，相关部门及人员形成验收小组，验收小组根据采购文件、投标文件、合同等项目文件约定内容对项目进行综合运行验收。</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*2</w:t>
      </w:r>
      <w:r>
        <w:rPr>
          <w:rFonts w:hint="eastAsia" w:asciiTheme="minorEastAsia" w:hAnsiTheme="minorEastAsia" w:eastAsiaTheme="minorEastAsia"/>
          <w:color w:val="000000" w:themeColor="text1"/>
          <w:sz w:val="24"/>
          <w14:textFill>
            <w14:solidFill>
              <w14:schemeClr w14:val="tx1"/>
            </w14:solidFill>
          </w14:textFill>
        </w:rPr>
        <w:t>、如验收达不到规定要求，采购人有权要求更换货物或拒绝付款，成交供应商若违约，采购人将依法追究相应法律责任。</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*3</w:t>
      </w:r>
      <w:r>
        <w:rPr>
          <w:rFonts w:hint="eastAsia" w:asciiTheme="minorEastAsia" w:hAnsiTheme="minorEastAsia" w:eastAsiaTheme="minorEastAsia"/>
          <w:color w:val="000000" w:themeColor="text1"/>
          <w:sz w:val="24"/>
          <w14:textFill>
            <w14:solidFill>
              <w14:schemeClr w14:val="tx1"/>
            </w14:solidFill>
          </w14:textFill>
        </w:rPr>
        <w:t>、按照采购合同的约定和现行国家标准、行业标准或企业标准、货物及服务环节、安全标准的履约情况进行考核与验收，验收质量需达到招标项目要求相关参数标准。必要时，招标人有权邀请参加本项目的其他投标人或者第三方机构参与验收，参与验收的投标人或者第三方机构的意见作为验收书的参考资料一并存档。验收结束后，应出具验收报告，列明货物及服务的考核验收情况及项目总体评价，由验收双方共同签署，验收的相关费用由中标人承担。</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（六）售后服务要求</w:t>
      </w:r>
    </w:p>
    <w:p>
      <w:pPr>
        <w:pStyle w:val="2"/>
        <w:ind w:firstLine="480" w:firstLineChars="200"/>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w:t>
      </w:r>
      <w:r>
        <w:rPr>
          <w:rFonts w:asciiTheme="minorEastAsia" w:hAnsiTheme="minorEastAsia" w:eastAsiaTheme="minorEastAsia"/>
          <w:color w:val="000000" w:themeColor="text1"/>
          <w:szCs w:val="24"/>
          <w14:textFill>
            <w14:solidFill>
              <w14:schemeClr w14:val="tx1"/>
            </w14:solidFill>
          </w14:textFill>
        </w:rPr>
        <w:t xml:space="preserve">1）保养检修 </w:t>
      </w:r>
    </w:p>
    <w:p>
      <w:pPr>
        <w:pStyle w:val="2"/>
        <w:ind w:firstLine="480" w:firstLineChars="200"/>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应根据实验室运行的环境状况，在质保期内（每年至少三次）对系统正在运行的仪器设备进行预防故障发生的检修。保养检修计划应根据系统仪器设备的配置情况和设备的使用手册的要求来进行。</w:t>
      </w:r>
      <w:r>
        <w:rPr>
          <w:rFonts w:asciiTheme="minorEastAsia" w:hAnsiTheme="minorEastAsia" w:eastAsiaTheme="minorEastAsia"/>
          <w:color w:val="000000" w:themeColor="text1"/>
          <w:szCs w:val="24"/>
          <w14:textFill>
            <w14:solidFill>
              <w14:schemeClr w14:val="tx1"/>
            </w14:solidFill>
          </w14:textFill>
        </w:rPr>
        <w:t xml:space="preserve"> </w:t>
      </w:r>
      <w:r>
        <w:rPr>
          <w:rFonts w:hint="eastAsia" w:asciiTheme="minorEastAsia" w:hAnsiTheme="minorEastAsia" w:eastAsiaTheme="minorEastAsia"/>
          <w:color w:val="000000" w:themeColor="text1"/>
          <w:szCs w:val="24"/>
          <w14:textFill>
            <w14:solidFill>
              <w14:schemeClr w14:val="tx1"/>
            </w14:solidFill>
          </w14:textFill>
        </w:rPr>
        <w:t>具体保养内容如下：</w:t>
      </w:r>
    </w:p>
    <w:p>
      <w:pPr>
        <w:pStyle w:val="2"/>
        <w:ind w:firstLine="480" w:firstLineChars="200"/>
        <w:rPr>
          <w:rFonts w:asciiTheme="minorEastAsia" w:hAnsiTheme="minorEastAsia" w:eastAsiaTheme="minorEastAsia"/>
          <w:color w:val="000000" w:themeColor="text1"/>
          <w:szCs w:val="24"/>
          <w14:textFill>
            <w14:solidFill>
              <w14:schemeClr w14:val="tx1"/>
            </w14:solidFill>
          </w14:textFill>
        </w:rPr>
      </w:pPr>
      <w:r>
        <w:rPr>
          <w:rFonts w:asciiTheme="minorEastAsia" w:hAnsiTheme="minorEastAsia" w:eastAsiaTheme="minorEastAsia"/>
          <w:color w:val="000000" w:themeColor="text1"/>
          <w:szCs w:val="24"/>
          <w14:textFill>
            <w14:solidFill>
              <w14:schemeClr w14:val="tx1"/>
            </w14:solidFill>
          </w14:textFill>
        </w:rPr>
        <w:t xml:space="preserve">1）按厂家的使用和维修手册规定的要求，派工程师对仪器中所涉及的灯源、电极、泵管、传感器等关键零部件进行保养。 </w:t>
      </w:r>
    </w:p>
    <w:p>
      <w:pPr>
        <w:pStyle w:val="2"/>
        <w:ind w:firstLine="480" w:firstLineChars="200"/>
        <w:rPr>
          <w:rFonts w:asciiTheme="minorEastAsia" w:hAnsiTheme="minorEastAsia" w:eastAsiaTheme="minorEastAsia"/>
          <w:color w:val="000000" w:themeColor="text1"/>
          <w:szCs w:val="24"/>
          <w14:textFill>
            <w14:solidFill>
              <w14:schemeClr w14:val="tx1"/>
            </w14:solidFill>
          </w14:textFill>
        </w:rPr>
      </w:pPr>
      <w:r>
        <w:rPr>
          <w:rFonts w:asciiTheme="minorEastAsia" w:hAnsiTheme="minorEastAsia" w:eastAsiaTheme="minorEastAsia"/>
          <w:color w:val="000000" w:themeColor="text1"/>
          <w:szCs w:val="24"/>
          <w14:textFill>
            <w14:solidFill>
              <w14:schemeClr w14:val="tx1"/>
            </w14:solidFill>
          </w14:textFill>
        </w:rPr>
        <w:t xml:space="preserve">2）对仪器进行检漏和压力检查；对所涉及的光路、液路、电路板和各种接头及插座等关键部件进行检查和清洁处理。 </w:t>
      </w:r>
    </w:p>
    <w:p>
      <w:pPr>
        <w:pStyle w:val="2"/>
        <w:ind w:firstLine="480" w:firstLineChars="200"/>
        <w:rPr>
          <w:rFonts w:asciiTheme="minorEastAsia" w:hAnsiTheme="minorEastAsia" w:eastAsiaTheme="minorEastAsia"/>
          <w:color w:val="000000" w:themeColor="text1"/>
          <w:szCs w:val="24"/>
          <w14:textFill>
            <w14:solidFill>
              <w14:schemeClr w14:val="tx1"/>
            </w14:solidFill>
          </w14:textFill>
        </w:rPr>
      </w:pPr>
      <w:r>
        <w:rPr>
          <w:rFonts w:asciiTheme="minorEastAsia" w:hAnsiTheme="minorEastAsia" w:eastAsiaTheme="minorEastAsia"/>
          <w:color w:val="000000" w:themeColor="text1"/>
          <w:szCs w:val="24"/>
          <w14:textFill>
            <w14:solidFill>
              <w14:schemeClr w14:val="tx1"/>
            </w14:solidFill>
          </w14:textFill>
        </w:rPr>
        <w:t xml:space="preserve">3）对仪器进行检查和校准，并检查仪器的输出线性。 </w:t>
      </w:r>
    </w:p>
    <w:p>
      <w:pPr>
        <w:pStyle w:val="2"/>
        <w:ind w:firstLine="480" w:firstLineChars="200"/>
        <w:rPr>
          <w:rFonts w:asciiTheme="minorEastAsia" w:hAnsiTheme="minorEastAsia" w:eastAsiaTheme="minorEastAsia"/>
          <w:color w:val="000000" w:themeColor="text1"/>
          <w:szCs w:val="24"/>
          <w14:textFill>
            <w14:solidFill>
              <w14:schemeClr w14:val="tx1"/>
            </w14:solidFill>
          </w14:textFill>
        </w:rPr>
      </w:pPr>
      <w:r>
        <w:rPr>
          <w:rFonts w:asciiTheme="minorEastAsia" w:hAnsiTheme="minorEastAsia" w:eastAsiaTheme="minorEastAsia"/>
          <w:color w:val="000000" w:themeColor="text1"/>
          <w:szCs w:val="24"/>
          <w14:textFill>
            <w14:solidFill>
              <w14:schemeClr w14:val="tx1"/>
            </w14:solidFill>
          </w14:textFill>
        </w:rPr>
        <w:t xml:space="preserve">4）在每次全面保养检修完成后，或更换了仪器中的光源、电极、蠕动泵、传感器等关键零部件后，必须对仪器重新进行校准和检查，并记录检修校准情况。  </w:t>
      </w:r>
    </w:p>
    <w:p>
      <w:pPr>
        <w:pStyle w:val="2"/>
        <w:ind w:firstLine="480" w:firstLineChars="200"/>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w:t>
      </w:r>
      <w:r>
        <w:rPr>
          <w:rFonts w:asciiTheme="minorEastAsia" w:hAnsiTheme="minorEastAsia" w:eastAsiaTheme="minorEastAsia"/>
          <w:color w:val="000000" w:themeColor="text1"/>
          <w:szCs w:val="24"/>
          <w14:textFill>
            <w14:solidFill>
              <w14:schemeClr w14:val="tx1"/>
            </w14:solidFill>
          </w14:textFill>
        </w:rPr>
        <w:t xml:space="preserve">2）故障检修 </w:t>
      </w:r>
    </w:p>
    <w:p>
      <w:pPr>
        <w:pStyle w:val="2"/>
        <w:ind w:firstLine="480" w:firstLineChars="200"/>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针对出现故障的仪器设备进行针对性检查和维修。当系统仪器出现故障，须在</w:t>
      </w:r>
      <w:r>
        <w:rPr>
          <w:rFonts w:asciiTheme="minorEastAsia" w:hAnsiTheme="minorEastAsia" w:eastAsiaTheme="minorEastAsia"/>
          <w:color w:val="000000" w:themeColor="text1"/>
          <w:szCs w:val="24"/>
          <w14:textFill>
            <w14:solidFill>
              <w14:schemeClr w14:val="tx1"/>
            </w14:solidFill>
          </w14:textFill>
        </w:rPr>
        <w:t xml:space="preserve">4小时内响应，24小时内赶赴现场，对于不易诊断和维护的设备故障，如 48 小时内无法排除，应及时上报甲方备案。 </w:t>
      </w:r>
    </w:p>
    <w:p>
      <w:pPr>
        <w:pStyle w:val="2"/>
        <w:ind w:firstLine="480" w:firstLineChars="200"/>
        <w:rPr>
          <w:rFonts w:asciiTheme="minorEastAsia" w:hAnsiTheme="minorEastAsia" w:eastAsiaTheme="minorEastAsia"/>
          <w:color w:val="000000" w:themeColor="text1"/>
          <w:szCs w:val="24"/>
          <w14:textFill>
            <w14:solidFill>
              <w14:schemeClr w14:val="tx1"/>
            </w14:solidFill>
          </w14:textFill>
        </w:rPr>
      </w:pPr>
      <w:r>
        <w:rPr>
          <w:rFonts w:asciiTheme="minorEastAsia" w:hAnsiTheme="minorEastAsia" w:eastAsiaTheme="minorEastAsia"/>
          <w:color w:val="000000" w:themeColor="text1"/>
          <w:szCs w:val="24"/>
          <w14:textFill>
            <w14:solidFill>
              <w14:schemeClr w14:val="tx1"/>
            </w14:solidFill>
          </w14:textFill>
        </w:rPr>
        <w:t>1）在现场能够诊断明确，且可通过更换备件解决的问题在现场进行检修。</w:t>
      </w:r>
    </w:p>
    <w:p>
      <w:pPr>
        <w:pStyle w:val="2"/>
        <w:ind w:firstLine="480" w:firstLineChars="200"/>
        <w:rPr>
          <w:rFonts w:asciiTheme="minorEastAsia" w:hAnsiTheme="minorEastAsia" w:eastAsiaTheme="minorEastAsia"/>
          <w:color w:val="000000" w:themeColor="text1"/>
          <w:szCs w:val="24"/>
          <w14:textFill>
            <w14:solidFill>
              <w14:schemeClr w14:val="tx1"/>
            </w14:solidFill>
          </w14:textFill>
        </w:rPr>
      </w:pPr>
      <w:r>
        <w:rPr>
          <w:rFonts w:asciiTheme="minorEastAsia" w:hAnsiTheme="minorEastAsia" w:eastAsiaTheme="minorEastAsia"/>
          <w:color w:val="000000" w:themeColor="text1"/>
          <w:szCs w:val="24"/>
          <w14:textFill>
            <w14:solidFill>
              <w14:schemeClr w14:val="tx1"/>
            </w14:solidFill>
          </w14:textFill>
        </w:rPr>
        <w:t xml:space="preserve">2）在每次故障检修完成后，根据检修内容和更换部件情况，对仪器进行校准，并按要求做好记录备查。 </w:t>
      </w:r>
    </w:p>
    <w:p>
      <w:pPr>
        <w:pStyle w:val="2"/>
        <w:ind w:firstLine="480" w:firstLineChars="200"/>
        <w:rPr>
          <w:rFonts w:asciiTheme="minorEastAsia" w:hAnsiTheme="minorEastAsia" w:eastAsiaTheme="minorEastAsia"/>
          <w:color w:val="000000" w:themeColor="text1"/>
          <w:szCs w:val="24"/>
          <w14:textFill>
            <w14:solidFill>
              <w14:schemeClr w14:val="tx1"/>
            </w14:solidFill>
          </w14:textFill>
        </w:rPr>
      </w:pPr>
      <w:r>
        <w:rPr>
          <w:rFonts w:asciiTheme="minorEastAsia" w:hAnsiTheme="minorEastAsia" w:eastAsiaTheme="minorEastAsia"/>
          <w:color w:val="000000" w:themeColor="text1"/>
          <w:szCs w:val="24"/>
          <w14:textFill>
            <w14:solidFill>
              <w14:schemeClr w14:val="tx1"/>
            </w14:solidFill>
          </w14:textFill>
        </w:rPr>
        <w:t xml:space="preserve">3）若遇到重大、系统性故障无法修复，须及时报告，提出解决方案并形成书面材料呈报甲方。 </w:t>
      </w:r>
    </w:p>
    <w:p>
      <w:pPr>
        <w:pStyle w:val="2"/>
        <w:ind w:firstLine="480" w:firstLineChars="200"/>
        <w:rPr>
          <w:rFonts w:asciiTheme="minorEastAsia" w:hAnsiTheme="minorEastAsia" w:eastAsiaTheme="minorEastAsia"/>
          <w:color w:val="000000" w:themeColor="text1"/>
          <w:szCs w:val="24"/>
          <w14:textFill>
            <w14:solidFill>
              <w14:schemeClr w14:val="tx1"/>
            </w14:solidFill>
          </w14:textFill>
        </w:rPr>
      </w:pPr>
      <w:r>
        <w:rPr>
          <w:rFonts w:hint="eastAsia" w:asciiTheme="minorEastAsia" w:hAnsiTheme="minorEastAsia" w:eastAsiaTheme="minorEastAsia"/>
          <w:color w:val="000000" w:themeColor="text1"/>
          <w:szCs w:val="24"/>
          <w14:textFill>
            <w14:solidFill>
              <w14:schemeClr w14:val="tx1"/>
            </w14:solidFill>
          </w14:textFill>
        </w:rPr>
        <w:t>（</w:t>
      </w:r>
      <w:r>
        <w:rPr>
          <w:rFonts w:asciiTheme="minorEastAsia" w:hAnsiTheme="minorEastAsia" w:eastAsiaTheme="minorEastAsia"/>
          <w:color w:val="000000" w:themeColor="text1"/>
          <w:szCs w:val="24"/>
          <w14:textFill>
            <w14:solidFill>
              <w14:schemeClr w14:val="tx1"/>
            </w14:solidFill>
          </w14:textFill>
        </w:rPr>
        <w:t>3）培训</w:t>
      </w:r>
    </w:p>
    <w:p>
      <w:pPr>
        <w:pStyle w:val="2"/>
        <w:ind w:firstLine="480" w:firstLineChars="200"/>
        <w:rPr>
          <w:rFonts w:asciiTheme="minorEastAsia" w:hAnsiTheme="minorEastAsia" w:eastAsiaTheme="minorEastAsia"/>
          <w:color w:val="000000" w:themeColor="text1"/>
          <w:szCs w:val="24"/>
          <w14:textFill>
            <w14:solidFill>
              <w14:schemeClr w14:val="tx1"/>
            </w14:solidFill>
          </w14:textFill>
        </w:rPr>
      </w:pPr>
      <w:r>
        <w:rPr>
          <w:rFonts w:asciiTheme="minorEastAsia" w:hAnsiTheme="minorEastAsia" w:eastAsiaTheme="minorEastAsia"/>
          <w:color w:val="000000" w:themeColor="text1"/>
          <w:szCs w:val="24"/>
          <w14:textFill>
            <w14:solidFill>
              <w14:schemeClr w14:val="tx1"/>
            </w14:solidFill>
          </w14:textFill>
        </w:rPr>
        <w:t>1）在服务周期内，乙方须协助甲方完成培训等相关业务需求，每次培训人员在3-5人，质保期内，免费培训次数不少于3次，培训内容包含设备安调、设备操作、设备检修、设备应用等方面；</w:t>
      </w:r>
    </w:p>
    <w:p>
      <w:pPr>
        <w:pStyle w:val="2"/>
        <w:ind w:firstLine="480" w:firstLineChars="200"/>
        <w:rPr>
          <w:rFonts w:asciiTheme="minorEastAsia" w:hAnsiTheme="minorEastAsia" w:eastAsiaTheme="minorEastAsia"/>
          <w:color w:val="000000" w:themeColor="text1"/>
          <w:szCs w:val="24"/>
          <w14:textFill>
            <w14:solidFill>
              <w14:schemeClr w14:val="tx1"/>
            </w14:solidFill>
          </w14:textFill>
        </w:rPr>
      </w:pPr>
      <w:r>
        <w:rPr>
          <w:rFonts w:asciiTheme="minorEastAsia" w:hAnsiTheme="minorEastAsia" w:eastAsiaTheme="minorEastAsia"/>
          <w:color w:val="000000" w:themeColor="text1"/>
          <w:szCs w:val="24"/>
          <w14:textFill>
            <w14:solidFill>
              <w14:schemeClr w14:val="tx1"/>
            </w14:solidFill>
          </w14:textFill>
        </w:rPr>
        <w:t>2）培训目标：使被培训人员熟练操作每台设备，协助甲方开发新的应用方法。</w:t>
      </w:r>
    </w:p>
    <w:p>
      <w:pPr>
        <w:pStyle w:val="2"/>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（七）售后服务效率要求</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售后响应处理速度承诺等，</w:t>
      </w:r>
      <w:r>
        <w:rPr>
          <w:rFonts w:asciiTheme="minorEastAsia" w:hAnsiTheme="minorEastAsia" w:eastAsiaTheme="minorEastAsia"/>
          <w:color w:val="000000" w:themeColor="text1"/>
          <w:sz w:val="24"/>
          <w14:textFill>
            <w14:solidFill>
              <w14:schemeClr w14:val="tx1"/>
            </w14:solidFill>
          </w14:textFill>
        </w:rPr>
        <w:t>5年内，每台设备提供一次免费搬运服务。</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（八）安装调试要求</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仪器设备安装完成后开始设备调试，检验设备是否符合稳定运转的要求，并对各项技术指标、功能按行业标准和合同书上的规定要求进行测试，设备完成初步调试后，设备运行一段时间后进行检测，测试人员填写运行记录，符合相关技术要求。</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w:t>
      </w:r>
      <w:r>
        <w:rPr>
          <w:rFonts w:asciiTheme="minorEastAsia" w:hAnsiTheme="minorEastAsia" w:eastAsiaTheme="minorEastAsia"/>
          <w:color w:val="000000" w:themeColor="text1"/>
          <w:sz w:val="24"/>
          <w14:textFill>
            <w14:solidFill>
              <w14:schemeClr w14:val="tx1"/>
            </w14:solidFill>
          </w14:textFill>
        </w:rPr>
        <w:t>1）设备调试：协助甲方检查实验室安装环境，确保设备顺利安调；</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w:t>
      </w:r>
      <w:r>
        <w:rPr>
          <w:rFonts w:asciiTheme="minorEastAsia" w:hAnsiTheme="minorEastAsia" w:eastAsiaTheme="minorEastAsia"/>
          <w:color w:val="000000" w:themeColor="text1"/>
          <w:sz w:val="24"/>
          <w14:textFill>
            <w14:solidFill>
              <w14:schemeClr w14:val="tx1"/>
            </w14:solidFill>
          </w14:textFill>
        </w:rPr>
        <w:t>2）设备调试检测：通过一定时间的试运行后，检验设备是否符合稳定运转的要求，并对各项技术指标、功能按行业标准和合同书上的规定要注进行检测；</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w:t>
      </w:r>
      <w:r>
        <w:rPr>
          <w:rFonts w:asciiTheme="minorEastAsia" w:hAnsiTheme="minorEastAsia" w:eastAsiaTheme="minorEastAsia"/>
          <w:color w:val="000000" w:themeColor="text1"/>
          <w:sz w:val="24"/>
          <w14:textFill>
            <w14:solidFill>
              <w14:schemeClr w14:val="tx1"/>
            </w14:solidFill>
          </w14:textFill>
        </w:rPr>
        <w:t>3）针对本项目中核心产品。协助做好数据中心与设备联网及联网测试，包含前期准备、数据采集软件、通讯接口调试等测试。</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（九）包装和运输要求</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1</w:t>
      </w:r>
      <w:r>
        <w:rPr>
          <w:rFonts w:hint="eastAsia" w:asciiTheme="minorEastAsia" w:hAnsiTheme="minorEastAsia" w:eastAsiaTheme="minorEastAsia"/>
          <w:color w:val="000000" w:themeColor="text1"/>
          <w:sz w:val="24"/>
          <w14:textFill>
            <w14:solidFill>
              <w14:schemeClr w14:val="tx1"/>
            </w14:solidFill>
          </w14:textFill>
        </w:rPr>
        <w:t>、包装要求</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w:t>
      </w:r>
      <w:r>
        <w:rPr>
          <w:rFonts w:asciiTheme="minorEastAsia" w:hAnsiTheme="minorEastAsia" w:eastAsiaTheme="minorEastAsia"/>
          <w:color w:val="000000" w:themeColor="text1"/>
          <w:sz w:val="24"/>
          <w14:textFill>
            <w14:solidFill>
              <w14:schemeClr w14:val="tx1"/>
            </w14:solidFill>
          </w14:textFill>
        </w:rPr>
        <w:t xml:space="preserve">1） </w:t>
      </w:r>
      <w:r>
        <w:rPr>
          <w:rFonts w:hint="eastAsia" w:asciiTheme="minorEastAsia" w:hAnsiTheme="minorEastAsia" w:eastAsiaTheme="minorEastAsia"/>
          <w:color w:val="000000" w:themeColor="text1"/>
          <w:sz w:val="24"/>
          <w14:textFill>
            <w14:solidFill>
              <w14:schemeClr w14:val="tx1"/>
            </w14:solidFill>
          </w14:textFill>
        </w:rPr>
        <w:t>供应商所提供的合同设备必须为制造商的原厂包装且未开封，以满足合同设备运至采购人指定地点及保管的需要。包装应符合国家相关标准及要求，不能使用有毒、有害物质，包装应足以保护标的物且有利于节约资源、保护生态环境。在交货过程中，供应商应根据合同设备的不同特性和要求采取防潮、防晒、防锈、防雨、防腐蚀、防震动及防止其他损坏的必要措施，从而保护合同设备能够经受多次搬运、装卸、长途运输并适宜保管及使用要求。</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w:t>
      </w:r>
      <w:r>
        <w:rPr>
          <w:rFonts w:asciiTheme="minorEastAsia" w:hAnsiTheme="minorEastAsia" w:eastAsiaTheme="minorEastAsia"/>
          <w:color w:val="000000" w:themeColor="text1"/>
          <w:sz w:val="24"/>
          <w14:textFill>
            <w14:solidFill>
              <w14:schemeClr w14:val="tx1"/>
            </w14:solidFill>
          </w14:textFill>
        </w:rPr>
        <w:t xml:space="preserve">2） </w:t>
      </w:r>
      <w:r>
        <w:rPr>
          <w:rFonts w:hint="eastAsia" w:asciiTheme="minorEastAsia" w:hAnsiTheme="minorEastAsia" w:eastAsiaTheme="minorEastAsia"/>
          <w:color w:val="000000" w:themeColor="text1"/>
          <w:sz w:val="24"/>
          <w14:textFill>
            <w14:solidFill>
              <w14:schemeClr w14:val="tx1"/>
            </w14:solidFill>
          </w14:textFill>
        </w:rPr>
        <w:t>每个独立包装箱内应附装箱清单、质量合格证、说明书、操作指南等资料。</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w:t>
      </w:r>
      <w:r>
        <w:rPr>
          <w:rFonts w:asciiTheme="minorEastAsia" w:hAnsiTheme="minorEastAsia" w:eastAsiaTheme="minorEastAsia"/>
          <w:color w:val="000000" w:themeColor="text1"/>
          <w:sz w:val="24"/>
          <w14:textFill>
            <w14:solidFill>
              <w14:schemeClr w14:val="tx1"/>
            </w14:solidFill>
          </w14:textFill>
        </w:rPr>
        <w:t xml:space="preserve">3） </w:t>
      </w:r>
      <w:r>
        <w:rPr>
          <w:rFonts w:hint="eastAsia" w:asciiTheme="minorEastAsia" w:hAnsiTheme="minorEastAsia" w:eastAsiaTheme="minorEastAsia"/>
          <w:color w:val="000000" w:themeColor="text1"/>
          <w:sz w:val="24"/>
          <w14:textFill>
            <w14:solidFill>
              <w14:schemeClr w14:val="tx1"/>
            </w14:solidFill>
          </w14:textFill>
        </w:rPr>
        <w:t>供应商应承担由于包装或其防护措施不妥而造成的合同设备锈蚀、损坏的任何损失的责任或费用，并赔偿甲方所有损失。</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2</w:t>
      </w:r>
      <w:r>
        <w:rPr>
          <w:rFonts w:hint="eastAsia" w:asciiTheme="minorEastAsia" w:hAnsiTheme="minorEastAsia" w:eastAsiaTheme="minorEastAsia"/>
          <w:color w:val="000000" w:themeColor="text1"/>
          <w:sz w:val="24"/>
          <w14:textFill>
            <w14:solidFill>
              <w14:schemeClr w14:val="tx1"/>
            </w14:solidFill>
          </w14:textFill>
        </w:rPr>
        <w:t>、运输要求</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w:t>
      </w:r>
      <w:r>
        <w:rPr>
          <w:rFonts w:asciiTheme="minorEastAsia" w:hAnsiTheme="minorEastAsia" w:eastAsiaTheme="minorEastAsia"/>
          <w:color w:val="000000" w:themeColor="text1"/>
          <w:sz w:val="24"/>
          <w14:textFill>
            <w14:solidFill>
              <w14:schemeClr w14:val="tx1"/>
            </w14:solidFill>
          </w14:textFill>
        </w:rPr>
        <w:t xml:space="preserve">1） </w:t>
      </w:r>
      <w:r>
        <w:rPr>
          <w:rFonts w:hint="eastAsia" w:asciiTheme="minorEastAsia" w:hAnsiTheme="minorEastAsia" w:eastAsiaTheme="minorEastAsia"/>
          <w:color w:val="000000" w:themeColor="text1"/>
          <w:sz w:val="24"/>
          <w14:textFill>
            <w14:solidFill>
              <w14:schemeClr w14:val="tx1"/>
            </w14:solidFill>
          </w14:textFill>
        </w:rPr>
        <w:t>供应商应自行选择适宜的运输工具及线路安排合同设备运输。每件能够独立运行的设备应整套装运。该设备安装、调试、运行和验收所使用的备品、备件、易损易耗件等应随相关的主机一齐装运。</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w:t>
      </w:r>
      <w:r>
        <w:rPr>
          <w:rFonts w:asciiTheme="minorEastAsia" w:hAnsiTheme="minorEastAsia" w:eastAsiaTheme="minorEastAsia"/>
          <w:color w:val="000000" w:themeColor="text1"/>
          <w:sz w:val="24"/>
          <w14:textFill>
            <w14:solidFill>
              <w14:schemeClr w14:val="tx1"/>
            </w14:solidFill>
          </w14:textFill>
        </w:rPr>
        <w:t xml:space="preserve">2） </w:t>
      </w:r>
      <w:r>
        <w:rPr>
          <w:rFonts w:hint="eastAsia" w:asciiTheme="minorEastAsia" w:hAnsiTheme="minorEastAsia" w:eastAsiaTheme="minorEastAsia"/>
          <w:color w:val="000000" w:themeColor="text1"/>
          <w:sz w:val="24"/>
          <w14:textFill>
            <w14:solidFill>
              <w14:schemeClr w14:val="tx1"/>
            </w14:solidFill>
          </w14:textFill>
        </w:rPr>
        <w:t>供应商应在合同设备预计启运</w:t>
      </w:r>
      <w:r>
        <w:rPr>
          <w:rFonts w:asciiTheme="minorEastAsia" w:hAnsiTheme="minorEastAsia" w:eastAsiaTheme="minorEastAsia"/>
          <w:color w:val="000000" w:themeColor="text1"/>
          <w:sz w:val="24"/>
          <w14:textFill>
            <w14:solidFill>
              <w14:schemeClr w14:val="tx1"/>
            </w14:solidFill>
          </w14:textFill>
        </w:rPr>
        <w:t xml:space="preserve"> 7 </w:t>
      </w:r>
      <w:r>
        <w:rPr>
          <w:rFonts w:hint="eastAsia" w:asciiTheme="minorEastAsia" w:hAnsiTheme="minorEastAsia" w:eastAsiaTheme="minorEastAsia"/>
          <w:color w:val="000000" w:themeColor="text1"/>
          <w:sz w:val="24"/>
          <w14:textFill>
            <w14:solidFill>
              <w14:schemeClr w14:val="tx1"/>
            </w14:solidFill>
          </w14:textFill>
        </w:rPr>
        <w:t>日前，将设备名称、数量、箱数、总毛重、总体积（用</w:t>
      </w:r>
      <w:r>
        <w:rPr>
          <w:rFonts w:asciiTheme="minorEastAsia" w:hAnsiTheme="minorEastAsia" w:eastAsiaTheme="minorEastAsia"/>
          <w:color w:val="000000" w:themeColor="text1"/>
          <w:sz w:val="24"/>
          <w14:textFill>
            <w14:solidFill>
              <w14:schemeClr w14:val="tx1"/>
            </w14:solidFill>
          </w14:textFill>
        </w:rPr>
        <w:t xml:space="preserve"> m3 </w:t>
      </w:r>
      <w:r>
        <w:rPr>
          <w:rFonts w:hint="eastAsia" w:asciiTheme="minorEastAsia" w:hAnsiTheme="minorEastAsia" w:eastAsiaTheme="minorEastAsia"/>
          <w:color w:val="000000" w:themeColor="text1"/>
          <w:sz w:val="24"/>
          <w14:textFill>
            <w14:solidFill>
              <w14:schemeClr w14:val="tx1"/>
            </w14:solidFill>
          </w14:textFill>
        </w:rPr>
        <w:t>表示）、每箱尺寸（长×宽×高）、装运合同设备总金额、运输方式、预计交货日期和合同设备在运输、装卸、保管中的注意事项等预通知采购方，并在合同设备启运后</w:t>
      </w:r>
      <w:r>
        <w:rPr>
          <w:rFonts w:asciiTheme="minorEastAsia" w:hAnsiTheme="minorEastAsia" w:eastAsiaTheme="minorEastAsia"/>
          <w:color w:val="000000" w:themeColor="text1"/>
          <w:sz w:val="24"/>
          <w14:textFill>
            <w14:solidFill>
              <w14:schemeClr w14:val="tx1"/>
            </w14:solidFill>
          </w14:textFill>
        </w:rPr>
        <w:t xml:space="preserve"> 24 </w:t>
      </w:r>
      <w:r>
        <w:rPr>
          <w:rFonts w:hint="eastAsia" w:asciiTheme="minorEastAsia" w:hAnsiTheme="minorEastAsia" w:eastAsiaTheme="minorEastAsia"/>
          <w:color w:val="000000" w:themeColor="text1"/>
          <w:sz w:val="24"/>
          <w14:textFill>
            <w14:solidFill>
              <w14:schemeClr w14:val="tx1"/>
            </w14:solidFill>
          </w14:textFill>
        </w:rPr>
        <w:t>小时之内正式通知采购方。</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w:t>
      </w:r>
      <w:r>
        <w:rPr>
          <w:rFonts w:asciiTheme="minorEastAsia" w:hAnsiTheme="minorEastAsia" w:eastAsiaTheme="minorEastAsia"/>
          <w:color w:val="000000" w:themeColor="text1"/>
          <w:sz w:val="24"/>
          <w14:textFill>
            <w14:solidFill>
              <w14:schemeClr w14:val="tx1"/>
            </w14:solidFill>
          </w14:textFill>
        </w:rPr>
        <w:t xml:space="preserve">3） </w:t>
      </w:r>
      <w:r>
        <w:rPr>
          <w:rFonts w:hint="eastAsia" w:asciiTheme="minorEastAsia" w:hAnsiTheme="minorEastAsia" w:eastAsiaTheme="minorEastAsia"/>
          <w:color w:val="000000" w:themeColor="text1"/>
          <w:sz w:val="24"/>
          <w14:textFill>
            <w14:solidFill>
              <w14:schemeClr w14:val="tx1"/>
            </w14:solidFill>
          </w14:textFill>
        </w:rPr>
        <w:t>供应商应将超大和（或）超重的每个包装箱的重量和尺寸通知采购方；如果发运合同设备中包括易燃易爆物品、腐蚀物品、放射性物质等危险品，则危险品的品名、性质、在运输、装卸、保管方面的特殊要求、注意事项和处理意外情况的方法等，也应一并通知采购方。</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w:t>
      </w:r>
      <w:r>
        <w:rPr>
          <w:rFonts w:asciiTheme="minorEastAsia" w:hAnsiTheme="minorEastAsia" w:eastAsiaTheme="minorEastAsia"/>
          <w:color w:val="000000" w:themeColor="text1"/>
          <w:sz w:val="24"/>
          <w14:textFill>
            <w14:solidFill>
              <w14:schemeClr w14:val="tx1"/>
            </w14:solidFill>
          </w14:textFill>
        </w:rPr>
        <w:t xml:space="preserve">4） </w:t>
      </w:r>
      <w:r>
        <w:rPr>
          <w:rFonts w:hint="eastAsia" w:asciiTheme="minorEastAsia" w:hAnsiTheme="minorEastAsia" w:eastAsiaTheme="minorEastAsia"/>
          <w:color w:val="000000" w:themeColor="text1"/>
          <w:sz w:val="24"/>
          <w14:textFill>
            <w14:solidFill>
              <w14:schemeClr w14:val="tx1"/>
            </w14:solidFill>
          </w14:textFill>
        </w:rPr>
        <w:t>供应商应承担由于运输及装卸过程中造成的合同设备锈蚀、损坏、丢失的任何损失的责任或费用，并赔偿采购方所有损失。</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（十）保险要求</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如果合同货物在运输途中因任何意外事件丢失和</w:t>
      </w:r>
      <w:r>
        <w:rPr>
          <w:rFonts w:asciiTheme="minorEastAsia" w:hAnsiTheme="minorEastAsia" w:eastAsiaTheme="minorEastAsia"/>
          <w:color w:val="000000" w:themeColor="text1"/>
          <w:sz w:val="24"/>
          <w14:textFill>
            <w14:solidFill>
              <w14:schemeClr w14:val="tx1"/>
            </w14:solidFill>
          </w14:textFill>
        </w:rPr>
        <w:t>/或损坏，卖方负责全权处理，买方不承担责任。</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二、技术要求</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（一）投标人须承诺所投产品和服务符合相关强制性规定。交货时采购人有权要求投标人出具所投产品、服务符合上述规定的证明文件。</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（二）投标文件中对所投产品的名称、品牌、制造商、产地、主要技术性能指标及其在技术、安全、性能、管理、厂家标准、使用年限及售后服务等方面情况提供详细的具有法律效力的技术资料。</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（三）投标文件中提供能够证明所投产品性能质量的证明材料，如检测/检验/试验/测试报告、与所投产品相关的知识产权证书、第三方认证机构出具的认证证书等。</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（四）投标文件中提供能够证明所投产品制造商能力的证明材料</w:t>
      </w:r>
      <w:r>
        <w:rPr>
          <w:rFonts w:hint="eastAsia" w:asciiTheme="minorEastAsia" w:hAnsiTheme="minorEastAsia" w:eastAsiaTheme="minorEastAsia"/>
          <w:color w:val="000000" w:themeColor="text1"/>
          <w:sz w:val="24"/>
          <w14:textFill>
            <w14:solidFill>
              <w14:schemeClr w14:val="tx1"/>
            </w14:solidFill>
          </w14:textFill>
        </w:rPr>
        <w:t>。</w:t>
      </w:r>
    </w:p>
    <w:p>
      <w:pPr>
        <w:tabs>
          <w:tab w:val="left" w:pos="360"/>
        </w:tabs>
        <w:spacing w:line="360" w:lineRule="auto"/>
        <w:ind w:firstLine="410" w:firstLineChars="171"/>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（五）投标文件中提供从所投产品原材料采购、设计、加工制作、存储、流通、回收等产品全生命周期各环节，详细阐述该产品节能、环保情况，提供相关证明文件，形式包括证书、图示、文字说明等。</w:t>
      </w:r>
    </w:p>
    <w:p>
      <w:pPr>
        <w:tabs>
          <w:tab w:val="left" w:pos="360"/>
        </w:tabs>
        <w:spacing w:line="360" w:lineRule="auto"/>
        <w:ind w:firstLine="480" w:firstLineChars="200"/>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三、项目需求</w:t>
      </w:r>
    </w:p>
    <w:p>
      <w:pPr>
        <w:tabs>
          <w:tab w:val="left" w:pos="360"/>
        </w:tabs>
        <w:spacing w:line="360" w:lineRule="auto"/>
        <w:ind w:firstLine="480" w:firstLineChars="200"/>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（一）项目概况</w:t>
      </w:r>
    </w:p>
    <w:p>
      <w:pPr>
        <w:tabs>
          <w:tab w:val="left" w:pos="360"/>
        </w:tabs>
        <w:spacing w:line="360" w:lineRule="auto"/>
        <w:ind w:firstLine="480" w:firstLineChars="200"/>
        <w:rPr>
          <w:rFonts w:asciiTheme="minorEastAsia" w:hAnsiTheme="minorEastAsia" w:eastAsiaTheme="minorEastAsia"/>
          <w:bCs/>
          <w:color w:val="000000" w:themeColor="text1"/>
          <w:sz w:val="24"/>
          <w14:textFill>
            <w14:solidFill>
              <w14:schemeClr w14:val="tx1"/>
            </w14:solidFill>
          </w14:textFill>
        </w:rPr>
      </w:pPr>
      <w:bookmarkStart w:id="104" w:name="_Hlk142483127"/>
      <w:r>
        <w:rPr>
          <w:rFonts w:asciiTheme="minorEastAsia" w:hAnsiTheme="minorEastAsia" w:eastAsiaTheme="minorEastAsia"/>
          <w:bCs/>
          <w:color w:val="000000" w:themeColor="text1"/>
          <w:sz w:val="24"/>
          <w14:textFill>
            <w14:solidFill>
              <w14:schemeClr w14:val="tx1"/>
            </w14:solidFill>
          </w14:textFill>
        </w:rPr>
        <w:t>1、需实现的功能</w:t>
      </w:r>
    </w:p>
    <w:p>
      <w:pPr>
        <w:tabs>
          <w:tab w:val="left" w:pos="360"/>
        </w:tabs>
        <w:spacing w:line="360" w:lineRule="auto"/>
        <w:ind w:firstLine="480" w:firstLineChars="200"/>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重点面向机场运行过程中大气</w:t>
      </w:r>
      <w:r>
        <w:rPr>
          <w:rFonts w:asciiTheme="minorEastAsia" w:hAnsiTheme="minorEastAsia" w:eastAsiaTheme="minorEastAsia"/>
          <w:bCs/>
          <w:color w:val="000000" w:themeColor="text1"/>
          <w:sz w:val="24"/>
          <w14:textFill>
            <w14:solidFill>
              <w14:schemeClr w14:val="tx1"/>
            </w14:solidFill>
          </w14:textFill>
        </w:rPr>
        <w:t>-水体等环境污染物，以飞机尾气颗粒物和水体污染检测为核心，购置相应分析仪器装备。将连续监测飞机尾气颗粒物-水体污染物在机场周围区域的时空分布、成分结构和动态演化，明确典型航空业务对机场周围区域大气颗粒物和水体环境的影响及其扩散规律，准确分析航空发动机尾气颗粒物的元素组分和机场环境水体的主要污染成分。主要包括电感耦合等离子体质谱仪、冷却分离装置、通风柜、液相色谱-质谱联用仪等4台套设备，深入探讨航空活动对大气和水体环境的影响及其特征污染物，解析大气颗粒物、水体、土壤等环境载体的特征元素组成和物理形貌。</w:t>
      </w:r>
    </w:p>
    <w:p>
      <w:pPr>
        <w:tabs>
          <w:tab w:val="left" w:pos="360"/>
        </w:tabs>
        <w:spacing w:line="360" w:lineRule="auto"/>
        <w:ind w:firstLine="480" w:firstLineChars="200"/>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本项目所包括的仪器，具备大气颗粒物</w:t>
      </w:r>
      <w:r>
        <w:rPr>
          <w:rFonts w:asciiTheme="minorEastAsia" w:hAnsiTheme="minorEastAsia" w:eastAsiaTheme="minorEastAsia"/>
          <w:bCs/>
          <w:color w:val="000000" w:themeColor="text1"/>
          <w:sz w:val="24"/>
          <w14:textFill>
            <w14:solidFill>
              <w14:schemeClr w14:val="tx1"/>
            </w14:solidFill>
          </w14:textFill>
        </w:rPr>
        <w:t>-水体多源数据采集能力，有效配合实验平台前期采购的仪器，从多源数据融合的角度，为绿色机场综合环境监测与评估提供关键信息支撑。将有效覆盖机场飞行区、航站楼以及配套工程区域的环境监测，明确关键环节和关键污染物，为机场全生命周期的绿色运行提供监测数据支撑。</w:t>
      </w:r>
    </w:p>
    <w:p>
      <w:pPr>
        <w:tabs>
          <w:tab w:val="left" w:pos="360"/>
        </w:tabs>
        <w:spacing w:line="360" w:lineRule="auto"/>
        <w:ind w:firstLine="480" w:firstLineChars="200"/>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2、需实现的目标</w:t>
      </w:r>
    </w:p>
    <w:p>
      <w:pPr>
        <w:tabs>
          <w:tab w:val="left" w:pos="360"/>
        </w:tabs>
        <w:spacing w:line="360" w:lineRule="auto"/>
        <w:ind w:firstLine="480" w:firstLineChars="200"/>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主要围绕机场运行过程中大气</w:t>
      </w:r>
      <w:r>
        <w:rPr>
          <w:rFonts w:asciiTheme="minorEastAsia" w:hAnsiTheme="minorEastAsia" w:eastAsiaTheme="minorEastAsia"/>
          <w:bCs/>
          <w:color w:val="000000" w:themeColor="text1"/>
          <w:sz w:val="24"/>
          <w14:textFill>
            <w14:solidFill>
              <w14:schemeClr w14:val="tx1"/>
            </w14:solidFill>
          </w14:textFill>
        </w:rPr>
        <w:t>-水体等环境典型污染物的理化性质检测问题，以飞机尾气颗粒物和水体污染检测为目标，采购电感耦合等离子体质谱仪、冷却分离装置、通风柜、液相色谱-质谱联用仪等4台套设备以及其它配件，主要完成以下的检测目标：（1）解析飞机尾气颗粒物的元素组分；（2）准确评估机场运行对水体环境的影响，检测相应的水体特征污染物，并可拓展至航油、土壤等多形态样品的检测；（3）完成尾气颗粒物、环境水体、机场土壤等环境监测的仪器购置，满足民航环境综合评估需求。</w:t>
      </w:r>
    </w:p>
    <w:p>
      <w:pPr>
        <w:tabs>
          <w:tab w:val="left" w:pos="360"/>
        </w:tabs>
        <w:spacing w:line="360" w:lineRule="auto"/>
        <w:ind w:firstLine="480" w:firstLineChars="200"/>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在购置相关仪器装备的同时，充分利用所购置的大气</w:t>
      </w:r>
      <w:r>
        <w:rPr>
          <w:rFonts w:asciiTheme="minorEastAsia" w:hAnsiTheme="minorEastAsia" w:eastAsiaTheme="minorEastAsia"/>
          <w:bCs/>
          <w:color w:val="000000" w:themeColor="text1"/>
          <w:sz w:val="24"/>
          <w14:textFill>
            <w14:solidFill>
              <w14:schemeClr w14:val="tx1"/>
            </w14:solidFill>
          </w14:textFill>
        </w:rPr>
        <w:t>-水体等环境监测装备，评估飞机活动与机场场面活动对机场大气环境中颗粒物浓度和水体污染的贡献，并监测相关航空活动对航站楼等室内大气环境的影响，为后续精准治理提供信息支撑。与此同时，相关装备还应准确评估生物燃油等可持续航空燃油对机场周边大气环境颗粒物浓度的影响；量化分析机场不同运行模式下航空污染的排放程度。具备双重属性：（1）科研属性：为飞机尾气污染物精准监测、污染物扩散模式验证及污染源解析提供基础条件，实现机场综合环境相关的气液固多形态污染物的精准监测，为机场污染物污染效应评估、复合污染评估、健康效应评估和评价提供研究基础。（2）服务属性：紧密围绕本平台对民航业的服务属性，重点与前期所购置的仪器装备共同组成航空环境的立体监测系统，理清行业绿色发展面临的主要环境问题，并可拓展至机场综合环境的实际监测，具备行业示范功能。</w:t>
      </w:r>
    </w:p>
    <w:p>
      <w:pPr>
        <w:tabs>
          <w:tab w:val="left" w:pos="360"/>
        </w:tabs>
        <w:spacing w:line="360" w:lineRule="auto"/>
        <w:ind w:firstLine="480" w:firstLineChars="200"/>
        <w:rPr>
          <w:rFonts w:asciiTheme="minorEastAsia" w:hAnsiTheme="minorEastAsia"/>
          <w:color w:val="000000" w:themeColor="text1"/>
          <w:sz w:val="24"/>
          <w14:textFill>
            <w14:solidFill>
              <w14:schemeClr w14:val="tx1"/>
            </w14:solidFill>
          </w14:textFill>
        </w:rPr>
      </w:pPr>
      <w:r>
        <w:rPr>
          <w:rFonts w:hint="eastAsia" w:asciiTheme="minorEastAsia" w:hAnsiTheme="minorEastAsia"/>
          <w:color w:val="000000" w:themeColor="text1"/>
          <w:sz w:val="24"/>
          <w14:textFill>
            <w14:solidFill>
              <w14:schemeClr w14:val="tx1"/>
            </w14:solidFill>
          </w14:textFill>
        </w:rPr>
        <w:t>（二）采购标的名称及数量（“</w:t>
      </w:r>
      <w:r>
        <w:rPr>
          <w:rFonts w:hint="eastAsia" w:ascii="宋体" w:hAnsi="宋体" w:cs="宋体"/>
          <w:color w:val="000000" w:themeColor="text1"/>
          <w:sz w:val="24"/>
          <w14:textFill>
            <w14:solidFill>
              <w14:schemeClr w14:val="tx1"/>
            </w14:solidFill>
          </w14:textFill>
        </w:rPr>
        <w:t>★</w:t>
      </w:r>
      <w:r>
        <w:rPr>
          <w:rFonts w:hint="eastAsia" w:asciiTheme="minorEastAsia" w:hAnsiTheme="minorEastAsia"/>
          <w:color w:val="000000" w:themeColor="text1"/>
          <w:sz w:val="24"/>
          <w14:textFill>
            <w14:solidFill>
              <w14:schemeClr w14:val="tx1"/>
            </w14:solidFill>
          </w14:textFill>
        </w:rPr>
        <w:t>”为核心产品）</w:t>
      </w:r>
    </w:p>
    <w:tbl>
      <w:tblPr>
        <w:tblStyle w:val="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7"/>
        <w:gridCol w:w="6319"/>
        <w:gridCol w:w="11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037" w:type="dxa"/>
          </w:tcPr>
          <w:p>
            <w:pPr>
              <w:spacing w:line="500" w:lineRule="exact"/>
              <w:jc w:val="center"/>
              <w:rPr>
                <w:rFonts w:ascii="宋体" w:hAnsi="宋体" w:cs="仿宋_GB2312"/>
                <w:color w:val="000000" w:themeColor="text1"/>
                <w:kern w:val="0"/>
                <w:sz w:val="24"/>
                <w14:textFill>
                  <w14:solidFill>
                    <w14:schemeClr w14:val="tx1"/>
                  </w14:solidFill>
                </w14:textFill>
              </w:rPr>
            </w:pPr>
            <w:r>
              <w:rPr>
                <w:rFonts w:hint="eastAsia" w:ascii="宋体" w:hAnsi="宋体" w:cs="仿宋_GB2312"/>
                <w:color w:val="000000" w:themeColor="text1"/>
                <w:kern w:val="0"/>
                <w:sz w:val="24"/>
                <w14:textFill>
                  <w14:solidFill>
                    <w14:schemeClr w14:val="tx1"/>
                  </w14:solidFill>
                </w14:textFill>
              </w:rPr>
              <w:t>序号</w:t>
            </w:r>
          </w:p>
        </w:tc>
        <w:tc>
          <w:tcPr>
            <w:tcW w:w="6319" w:type="dxa"/>
            <w:vAlign w:val="center"/>
          </w:tcPr>
          <w:p>
            <w:pPr>
              <w:spacing w:line="500" w:lineRule="exact"/>
              <w:jc w:val="center"/>
              <w:rPr>
                <w:rFonts w:asciiTheme="minorEastAsia" w:hAnsiTheme="minorEastAsia"/>
                <w:color w:val="000000" w:themeColor="text1"/>
                <w:sz w:val="24"/>
                <w14:textFill>
                  <w14:solidFill>
                    <w14:schemeClr w14:val="tx1"/>
                  </w14:solidFill>
                </w14:textFill>
              </w:rPr>
            </w:pPr>
            <w:r>
              <w:rPr>
                <w:rFonts w:hint="eastAsia" w:ascii="宋体" w:hAnsi="宋体" w:cs="仿宋_GB2312"/>
                <w:color w:val="000000" w:themeColor="text1"/>
                <w:kern w:val="0"/>
                <w:sz w:val="24"/>
                <w14:textFill>
                  <w14:solidFill>
                    <w14:schemeClr w14:val="tx1"/>
                  </w14:solidFill>
                </w14:textFill>
              </w:rPr>
              <w:t>货物</w:t>
            </w:r>
            <w:r>
              <w:rPr>
                <w:rFonts w:ascii="宋体" w:hAnsi="宋体" w:cs="仿宋_GB2312"/>
                <w:color w:val="000000" w:themeColor="text1"/>
                <w:kern w:val="0"/>
                <w:sz w:val="24"/>
                <w14:textFill>
                  <w14:solidFill>
                    <w14:schemeClr w14:val="tx1"/>
                  </w14:solidFill>
                </w14:textFill>
              </w:rPr>
              <w:t>名称</w:t>
            </w:r>
          </w:p>
        </w:tc>
        <w:tc>
          <w:tcPr>
            <w:tcW w:w="1119" w:type="dxa"/>
            <w:vAlign w:val="center"/>
          </w:tcPr>
          <w:p>
            <w:pPr>
              <w:spacing w:line="500" w:lineRule="exact"/>
              <w:jc w:val="center"/>
              <w:rPr>
                <w:rFonts w:asciiTheme="minorEastAsia" w:hAnsiTheme="minorEastAsia"/>
                <w:color w:val="000000" w:themeColor="text1"/>
                <w:sz w:val="24"/>
                <w14:textFill>
                  <w14:solidFill>
                    <w14:schemeClr w14:val="tx1"/>
                  </w14:solidFill>
                </w14:textFill>
              </w:rPr>
            </w:pPr>
            <w:r>
              <w:rPr>
                <w:rFonts w:ascii="宋体" w:hAnsi="宋体" w:cs="仿宋_GB2312"/>
                <w:color w:val="000000" w:themeColor="text1"/>
                <w:kern w:val="0"/>
                <w:sz w:val="24"/>
                <w14:textFill>
                  <w14:solidFill>
                    <w14:schemeClr w14:val="tx1"/>
                  </w14:solidFill>
                </w14:textFill>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037" w:type="dxa"/>
          </w:tcPr>
          <w:p>
            <w:pPr>
              <w:spacing w:line="500" w:lineRule="exact"/>
              <w:jc w:val="center"/>
              <w:rPr>
                <w:rFonts w:ascii="宋体" w:hAnsi="宋体" w:cs="仿宋_GB2312"/>
                <w:color w:val="000000" w:themeColor="text1"/>
                <w:kern w:val="0"/>
                <w:sz w:val="24"/>
                <w14:textFill>
                  <w14:solidFill>
                    <w14:schemeClr w14:val="tx1"/>
                  </w14:solidFill>
                </w14:textFill>
              </w:rPr>
            </w:pPr>
            <w:r>
              <w:rPr>
                <w:rFonts w:ascii="宋体" w:hAnsi="宋体" w:cs="仿宋_GB2312"/>
                <w:color w:val="000000" w:themeColor="text1"/>
                <w:kern w:val="0"/>
                <w:sz w:val="24"/>
                <w14:textFill>
                  <w14:solidFill>
                    <w14:schemeClr w14:val="tx1"/>
                  </w14:solidFill>
                </w14:textFill>
              </w:rPr>
              <w:t>1</w:t>
            </w:r>
          </w:p>
        </w:tc>
        <w:tc>
          <w:tcPr>
            <w:tcW w:w="6319" w:type="dxa"/>
          </w:tcPr>
          <w:p>
            <w:pPr>
              <w:spacing w:line="500" w:lineRule="exact"/>
              <w:jc w:val="center"/>
              <w:rPr>
                <w:rFonts w:ascii="宋体" w:hAnsi="宋体" w:cs="仿宋_GB2312"/>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仿宋_GB2312"/>
                <w:color w:val="000000" w:themeColor="text1"/>
                <w:kern w:val="0"/>
                <w:sz w:val="24"/>
                <w14:textFill>
                  <w14:solidFill>
                    <w14:schemeClr w14:val="tx1"/>
                  </w14:solidFill>
                </w14:textFill>
              </w:rPr>
              <w:t>电感耦合等离子体质谱仪</w:t>
            </w:r>
          </w:p>
        </w:tc>
        <w:tc>
          <w:tcPr>
            <w:tcW w:w="1119" w:type="dxa"/>
          </w:tcPr>
          <w:p>
            <w:pPr>
              <w:spacing w:line="500" w:lineRule="exact"/>
              <w:jc w:val="center"/>
              <w:rPr>
                <w:rFonts w:ascii="宋体" w:hAnsi="宋体" w:cs="仿宋_GB2312"/>
                <w:color w:val="000000" w:themeColor="text1"/>
                <w:kern w:val="0"/>
                <w:sz w:val="24"/>
                <w14:textFill>
                  <w14:solidFill>
                    <w14:schemeClr w14:val="tx1"/>
                  </w14:solidFill>
                </w14:textFill>
              </w:rPr>
            </w:pPr>
            <w:r>
              <w:rPr>
                <w:rFonts w:ascii="宋体" w:hAnsi="宋体" w:cs="仿宋_GB2312"/>
                <w:color w:val="000000" w:themeColor="text1"/>
                <w:kern w:val="0"/>
                <w:sz w:val="24"/>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037" w:type="dxa"/>
          </w:tcPr>
          <w:p>
            <w:pPr>
              <w:spacing w:line="500" w:lineRule="exact"/>
              <w:jc w:val="center"/>
              <w:rPr>
                <w:rFonts w:ascii="宋体" w:hAnsi="宋体" w:cs="仿宋_GB2312"/>
                <w:color w:val="000000" w:themeColor="text1"/>
                <w:kern w:val="0"/>
                <w:sz w:val="24"/>
                <w14:textFill>
                  <w14:solidFill>
                    <w14:schemeClr w14:val="tx1"/>
                  </w14:solidFill>
                </w14:textFill>
              </w:rPr>
            </w:pPr>
            <w:r>
              <w:rPr>
                <w:rFonts w:ascii="宋体" w:hAnsi="宋体" w:cs="仿宋_GB2312"/>
                <w:color w:val="000000" w:themeColor="text1"/>
                <w:kern w:val="0"/>
                <w:sz w:val="24"/>
                <w14:textFill>
                  <w14:solidFill>
                    <w14:schemeClr w14:val="tx1"/>
                  </w14:solidFill>
                </w14:textFill>
              </w:rPr>
              <w:t>2</w:t>
            </w:r>
          </w:p>
        </w:tc>
        <w:tc>
          <w:tcPr>
            <w:tcW w:w="6319" w:type="dxa"/>
          </w:tcPr>
          <w:p>
            <w:pPr>
              <w:spacing w:line="500" w:lineRule="exact"/>
              <w:jc w:val="center"/>
              <w:rPr>
                <w:rFonts w:ascii="宋体" w:hAnsi="宋体" w:cs="仿宋_GB2312"/>
                <w:color w:val="000000" w:themeColor="text1"/>
                <w:kern w:val="0"/>
                <w:sz w:val="24"/>
                <w14:textFill>
                  <w14:solidFill>
                    <w14:schemeClr w14:val="tx1"/>
                  </w14:solidFill>
                </w14:textFill>
              </w:rPr>
            </w:pPr>
            <w:r>
              <w:rPr>
                <w:rFonts w:hint="eastAsia" w:ascii="宋体" w:hAnsi="宋体" w:cs="仿宋_GB2312"/>
                <w:color w:val="000000" w:themeColor="text1"/>
                <w:kern w:val="0"/>
                <w:sz w:val="24"/>
                <w14:textFill>
                  <w14:solidFill>
                    <w14:schemeClr w14:val="tx1"/>
                  </w14:solidFill>
                </w14:textFill>
              </w:rPr>
              <w:t>冷却分离装置</w:t>
            </w:r>
          </w:p>
        </w:tc>
        <w:tc>
          <w:tcPr>
            <w:tcW w:w="1119" w:type="dxa"/>
          </w:tcPr>
          <w:p>
            <w:pPr>
              <w:spacing w:line="500" w:lineRule="exact"/>
              <w:jc w:val="center"/>
              <w:rPr>
                <w:rFonts w:ascii="宋体" w:hAnsi="宋体" w:cs="仿宋_GB2312"/>
                <w:color w:val="000000" w:themeColor="text1"/>
                <w:kern w:val="0"/>
                <w:sz w:val="24"/>
                <w14:textFill>
                  <w14:solidFill>
                    <w14:schemeClr w14:val="tx1"/>
                  </w14:solidFill>
                </w14:textFill>
              </w:rPr>
            </w:pPr>
            <w:r>
              <w:rPr>
                <w:rFonts w:ascii="宋体" w:hAnsi="宋体" w:cs="仿宋_GB2312"/>
                <w:color w:val="000000" w:themeColor="text1"/>
                <w:kern w:val="0"/>
                <w:sz w:val="24"/>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037" w:type="dxa"/>
          </w:tcPr>
          <w:p>
            <w:pPr>
              <w:spacing w:line="500" w:lineRule="exact"/>
              <w:jc w:val="center"/>
              <w:rPr>
                <w:rFonts w:ascii="宋体" w:hAnsi="宋体" w:cs="仿宋_GB2312"/>
                <w:color w:val="000000" w:themeColor="text1"/>
                <w:kern w:val="0"/>
                <w:sz w:val="24"/>
                <w14:textFill>
                  <w14:solidFill>
                    <w14:schemeClr w14:val="tx1"/>
                  </w14:solidFill>
                </w14:textFill>
              </w:rPr>
            </w:pPr>
            <w:r>
              <w:rPr>
                <w:rFonts w:ascii="宋体" w:hAnsi="宋体" w:cs="仿宋_GB2312"/>
                <w:color w:val="000000" w:themeColor="text1"/>
                <w:kern w:val="0"/>
                <w:sz w:val="24"/>
                <w14:textFill>
                  <w14:solidFill>
                    <w14:schemeClr w14:val="tx1"/>
                  </w14:solidFill>
                </w14:textFill>
              </w:rPr>
              <w:t>3</w:t>
            </w:r>
          </w:p>
        </w:tc>
        <w:tc>
          <w:tcPr>
            <w:tcW w:w="6319" w:type="dxa"/>
          </w:tcPr>
          <w:p>
            <w:pPr>
              <w:spacing w:line="500" w:lineRule="exact"/>
              <w:jc w:val="center"/>
              <w:rPr>
                <w:rFonts w:ascii="宋体" w:hAnsi="宋体" w:cs="仿宋_GB2312"/>
                <w:color w:val="000000" w:themeColor="text1"/>
                <w:kern w:val="0"/>
                <w:sz w:val="24"/>
                <w14:textFill>
                  <w14:solidFill>
                    <w14:schemeClr w14:val="tx1"/>
                  </w14:solidFill>
                </w14:textFill>
              </w:rPr>
            </w:pPr>
            <w:r>
              <w:rPr>
                <w:rFonts w:hint="eastAsia" w:ascii="宋体" w:hAnsi="宋体" w:cs="仿宋_GB2312"/>
                <w:color w:val="000000" w:themeColor="text1"/>
                <w:kern w:val="0"/>
                <w:sz w:val="24"/>
                <w14:textFill>
                  <w14:solidFill>
                    <w14:schemeClr w14:val="tx1"/>
                  </w14:solidFill>
                </w14:textFill>
              </w:rPr>
              <w:t>通风柜</w:t>
            </w:r>
          </w:p>
        </w:tc>
        <w:tc>
          <w:tcPr>
            <w:tcW w:w="1119" w:type="dxa"/>
          </w:tcPr>
          <w:p>
            <w:pPr>
              <w:spacing w:line="500" w:lineRule="exact"/>
              <w:jc w:val="center"/>
              <w:rPr>
                <w:rFonts w:ascii="宋体" w:hAnsi="宋体" w:cs="仿宋_GB2312"/>
                <w:color w:val="000000" w:themeColor="text1"/>
                <w:kern w:val="0"/>
                <w:sz w:val="24"/>
                <w14:textFill>
                  <w14:solidFill>
                    <w14:schemeClr w14:val="tx1"/>
                  </w14:solidFill>
                </w14:textFill>
              </w:rPr>
            </w:pPr>
            <w:r>
              <w:rPr>
                <w:rFonts w:ascii="宋体" w:hAnsi="宋体" w:cs="仿宋_GB2312"/>
                <w:color w:val="000000" w:themeColor="text1"/>
                <w:kern w:val="0"/>
                <w:sz w:val="24"/>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037" w:type="dxa"/>
          </w:tcPr>
          <w:p>
            <w:pPr>
              <w:spacing w:line="500" w:lineRule="exact"/>
              <w:jc w:val="center"/>
              <w:rPr>
                <w:rFonts w:ascii="宋体" w:hAnsi="宋体" w:cs="仿宋_GB2312"/>
                <w:color w:val="000000" w:themeColor="text1"/>
                <w:kern w:val="0"/>
                <w:sz w:val="24"/>
                <w14:textFill>
                  <w14:solidFill>
                    <w14:schemeClr w14:val="tx1"/>
                  </w14:solidFill>
                </w14:textFill>
              </w:rPr>
            </w:pPr>
            <w:r>
              <w:rPr>
                <w:rFonts w:ascii="宋体" w:hAnsi="宋体" w:cs="仿宋_GB2312"/>
                <w:color w:val="000000" w:themeColor="text1"/>
                <w:kern w:val="0"/>
                <w:sz w:val="24"/>
                <w14:textFill>
                  <w14:solidFill>
                    <w14:schemeClr w14:val="tx1"/>
                  </w14:solidFill>
                </w14:textFill>
              </w:rPr>
              <w:t>4</w:t>
            </w:r>
          </w:p>
        </w:tc>
        <w:tc>
          <w:tcPr>
            <w:tcW w:w="6319" w:type="dxa"/>
          </w:tcPr>
          <w:p>
            <w:pPr>
              <w:spacing w:line="500" w:lineRule="exact"/>
              <w:jc w:val="center"/>
              <w:rPr>
                <w:rFonts w:ascii="宋体" w:hAnsi="宋体" w:cs="仿宋_GB2312"/>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仿宋_GB2312"/>
                <w:color w:val="000000" w:themeColor="text1"/>
                <w:kern w:val="0"/>
                <w:sz w:val="24"/>
                <w14:textFill>
                  <w14:solidFill>
                    <w14:schemeClr w14:val="tx1"/>
                  </w14:solidFill>
                </w14:textFill>
              </w:rPr>
              <w:t>液相色谱</w:t>
            </w:r>
            <w:r>
              <w:rPr>
                <w:rFonts w:ascii="宋体" w:hAnsi="宋体" w:cs="仿宋_GB2312"/>
                <w:color w:val="000000" w:themeColor="text1"/>
                <w:kern w:val="0"/>
                <w:sz w:val="24"/>
                <w14:textFill>
                  <w14:solidFill>
                    <w14:schemeClr w14:val="tx1"/>
                  </w14:solidFill>
                </w14:textFill>
              </w:rPr>
              <w:t>-质谱联用仪</w:t>
            </w:r>
          </w:p>
        </w:tc>
        <w:tc>
          <w:tcPr>
            <w:tcW w:w="1119" w:type="dxa"/>
          </w:tcPr>
          <w:p>
            <w:pPr>
              <w:spacing w:line="500" w:lineRule="exact"/>
              <w:jc w:val="center"/>
              <w:rPr>
                <w:rFonts w:ascii="宋体" w:hAnsi="宋体" w:cs="仿宋_GB2312"/>
                <w:color w:val="000000" w:themeColor="text1"/>
                <w:kern w:val="0"/>
                <w:sz w:val="24"/>
                <w14:textFill>
                  <w14:solidFill>
                    <w14:schemeClr w14:val="tx1"/>
                  </w14:solidFill>
                </w14:textFill>
              </w:rPr>
            </w:pPr>
            <w:r>
              <w:rPr>
                <w:rFonts w:ascii="宋体" w:hAnsi="宋体" w:cs="仿宋_GB2312"/>
                <w:color w:val="000000" w:themeColor="text1"/>
                <w:kern w:val="0"/>
                <w:sz w:val="24"/>
                <w14:textFill>
                  <w14:solidFill>
                    <w14:schemeClr w14:val="tx1"/>
                  </w14:solidFill>
                </w14:textFill>
              </w:rPr>
              <w:t>1</w:t>
            </w:r>
          </w:p>
        </w:tc>
      </w:tr>
    </w:tbl>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r>
        <w:rPr>
          <w:color w:val="000000" w:themeColor="text1"/>
          <w14:textFill>
            <w14:solidFill>
              <w14:schemeClr w14:val="tx1"/>
            </w14:solidFill>
          </w14:textFill>
        </w:rPr>
        <w:br w:type="page"/>
      </w:r>
    </w:p>
    <w:p>
      <w:pPr>
        <w:pStyle w:val="2"/>
        <w:rPr>
          <w:color w:val="000000" w:themeColor="text1"/>
          <w14:textFill>
            <w14:solidFill>
              <w14:schemeClr w14:val="tx1"/>
            </w14:solidFill>
          </w14:textFill>
        </w:rPr>
      </w:pPr>
    </w:p>
    <w:p>
      <w:pPr>
        <w:spacing w:line="360" w:lineRule="auto"/>
        <w:ind w:firstLine="480" w:firstLineChars="20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（三）技术参数要求</w:t>
      </w:r>
    </w:p>
    <w:tbl>
      <w:tblPr>
        <w:tblStyle w:val="65"/>
        <w:tblW w:w="9067" w:type="dxa"/>
        <w:tblInd w:w="0" w:type="dxa"/>
        <w:tblLayout w:type="fixed"/>
        <w:tblCellMar>
          <w:top w:w="15" w:type="dxa"/>
          <w:left w:w="15" w:type="dxa"/>
          <w:bottom w:w="15" w:type="dxa"/>
          <w:right w:w="15" w:type="dxa"/>
        </w:tblCellMar>
      </w:tblPr>
      <w:tblGrid>
        <w:gridCol w:w="532"/>
        <w:gridCol w:w="1023"/>
        <w:gridCol w:w="567"/>
        <w:gridCol w:w="567"/>
        <w:gridCol w:w="6378"/>
      </w:tblGrid>
      <w:tr>
        <w:tblPrEx>
          <w:tblCellMar>
            <w:top w:w="15" w:type="dxa"/>
            <w:left w:w="15" w:type="dxa"/>
            <w:bottom w:w="15" w:type="dxa"/>
            <w:right w:w="15" w:type="dxa"/>
          </w:tblCellMar>
        </w:tblPrEx>
        <w:trPr>
          <w:trHeight w:val="510" w:hRule="atLeast"/>
        </w:trPr>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kern w:val="0"/>
                <w:sz w:val="24"/>
                <w14:textFill>
                  <w14:solidFill>
                    <w14:schemeClr w14:val="tx1"/>
                  </w14:solidFill>
                </w14:textFill>
              </w:rPr>
            </w:pPr>
            <w:r>
              <w:rPr>
                <w:rFonts w:hint="eastAsia"/>
                <w:color w:val="000000" w:themeColor="text1"/>
                <w14:textFill>
                  <w14:solidFill>
                    <w14:schemeClr w14:val="tx1"/>
                  </w14:solidFill>
                </w14:textFill>
              </w:rPr>
              <w:t>序号</w:t>
            </w:r>
          </w:p>
        </w:tc>
        <w:tc>
          <w:tcPr>
            <w:tcW w:w="1023" w:type="dxa"/>
            <w:tcBorders>
              <w:top w:val="single" w:color="000000" w:sz="4" w:space="0"/>
              <w:left w:val="nil"/>
              <w:bottom w:val="single" w:color="000000" w:sz="4" w:space="0"/>
              <w:right w:val="single" w:color="000000" w:sz="4" w:space="0"/>
            </w:tcBorders>
            <w:shd w:val="clear" w:color="auto" w:fill="auto"/>
            <w:vAlign w:val="center"/>
          </w:tcPr>
          <w:p>
            <w:pPr>
              <w:widowControl/>
              <w:jc w:val="center"/>
              <w:textAlignment w:val="center"/>
              <w:rPr>
                <w:color w:val="000000" w:themeColor="text1"/>
                <w:kern w:val="0"/>
                <w:sz w:val="24"/>
                <w14:textFill>
                  <w14:solidFill>
                    <w14:schemeClr w14:val="tx1"/>
                  </w14:solidFill>
                </w14:textFill>
              </w:rPr>
            </w:pPr>
            <w:r>
              <w:rPr>
                <w:rFonts w:hint="eastAsia"/>
                <w:color w:val="000000" w:themeColor="text1"/>
                <w14:textFill>
                  <w14:solidFill>
                    <w14:schemeClr w14:val="tx1"/>
                  </w14:solidFill>
                </w14:textFill>
              </w:rPr>
              <w:t>货物名称</w:t>
            </w:r>
          </w:p>
        </w:tc>
        <w:tc>
          <w:tcPr>
            <w:tcW w:w="567" w:type="dxa"/>
            <w:tcBorders>
              <w:top w:val="single" w:color="000000" w:sz="4" w:space="0"/>
              <w:left w:val="nil"/>
              <w:bottom w:val="single" w:color="000000" w:sz="4" w:space="0"/>
              <w:right w:val="single" w:color="000000" w:sz="4" w:space="0"/>
            </w:tcBorders>
            <w:shd w:val="clear" w:color="auto" w:fill="auto"/>
            <w:vAlign w:val="center"/>
          </w:tcPr>
          <w:p>
            <w:pPr>
              <w:widowControl/>
              <w:jc w:val="center"/>
              <w:textAlignment w:val="center"/>
              <w:rPr>
                <w:color w:val="000000" w:themeColor="text1"/>
                <w:kern w:val="0"/>
                <w:sz w:val="24"/>
                <w14:textFill>
                  <w14:solidFill>
                    <w14:schemeClr w14:val="tx1"/>
                  </w14:solidFill>
                </w14:textFill>
              </w:rPr>
            </w:pPr>
            <w:r>
              <w:rPr>
                <w:rFonts w:hint="eastAsia"/>
                <w:color w:val="000000" w:themeColor="text1"/>
                <w14:textFill>
                  <w14:solidFill>
                    <w14:schemeClr w14:val="tx1"/>
                  </w14:solidFill>
                </w14:textFill>
              </w:rPr>
              <w:t>单位</w:t>
            </w:r>
          </w:p>
        </w:tc>
        <w:tc>
          <w:tcPr>
            <w:tcW w:w="567" w:type="dxa"/>
            <w:tcBorders>
              <w:top w:val="single" w:color="000000" w:sz="4" w:space="0"/>
              <w:left w:val="nil"/>
              <w:bottom w:val="single" w:color="000000" w:sz="4" w:space="0"/>
              <w:right w:val="single" w:color="000000" w:sz="4" w:space="0"/>
            </w:tcBorders>
            <w:shd w:val="clear" w:color="auto" w:fill="auto"/>
            <w:vAlign w:val="center"/>
          </w:tcPr>
          <w:p>
            <w:pPr>
              <w:widowControl/>
              <w:jc w:val="center"/>
              <w:textAlignment w:val="center"/>
              <w:rPr>
                <w:color w:val="000000" w:themeColor="text1"/>
                <w:kern w:val="0"/>
                <w:sz w:val="24"/>
                <w14:textFill>
                  <w14:solidFill>
                    <w14:schemeClr w14:val="tx1"/>
                  </w14:solidFill>
                </w14:textFill>
              </w:rPr>
            </w:pPr>
            <w:r>
              <w:rPr>
                <w:rFonts w:hint="eastAsia"/>
                <w:color w:val="000000" w:themeColor="text1"/>
                <w14:textFill>
                  <w14:solidFill>
                    <w14:schemeClr w14:val="tx1"/>
                  </w14:solidFill>
                </w14:textFill>
              </w:rPr>
              <w:t>数量</w:t>
            </w:r>
          </w:p>
        </w:tc>
        <w:tc>
          <w:tcPr>
            <w:tcW w:w="6378" w:type="dxa"/>
            <w:tcBorders>
              <w:top w:val="single" w:color="000000" w:sz="4" w:space="0"/>
              <w:left w:val="nil"/>
              <w:bottom w:val="single" w:color="000000" w:sz="4" w:space="0"/>
              <w:right w:val="single" w:color="000000" w:sz="4" w:space="0"/>
            </w:tcBorders>
            <w:shd w:val="clear" w:color="auto" w:fill="auto"/>
            <w:vAlign w:val="center"/>
          </w:tcPr>
          <w:p>
            <w:pPr>
              <w:widowControl/>
              <w:adjustRightInd w:val="0"/>
              <w:snapToGrid w:val="0"/>
              <w:textAlignment w:val="bottom"/>
              <w:rPr>
                <w:color w:val="000000" w:themeColor="text1"/>
                <w:kern w:val="0"/>
                <w:szCs w:val="21"/>
                <w:lang w:bidi="ar"/>
                <w14:textFill>
                  <w14:solidFill>
                    <w14:schemeClr w14:val="tx1"/>
                  </w14:solidFill>
                </w14:textFill>
              </w:rPr>
            </w:pPr>
            <w:r>
              <w:rPr>
                <w:rFonts w:hint="eastAsia"/>
                <w:color w:val="000000" w:themeColor="text1"/>
                <w14:textFill>
                  <w14:solidFill>
                    <w14:schemeClr w14:val="tx1"/>
                  </w14:solidFill>
                </w14:textFill>
              </w:rPr>
              <w:t>技术参数</w:t>
            </w:r>
          </w:p>
        </w:tc>
      </w:tr>
      <w:tr>
        <w:tblPrEx>
          <w:tblCellMar>
            <w:top w:w="15" w:type="dxa"/>
            <w:left w:w="15" w:type="dxa"/>
            <w:bottom w:w="15" w:type="dxa"/>
            <w:right w:w="15" w:type="dxa"/>
          </w:tblCellMar>
        </w:tblPrEx>
        <w:trPr>
          <w:trHeight w:val="309" w:hRule="atLeast"/>
        </w:trPr>
        <w:tc>
          <w:tcPr>
            <w:tcW w:w="532" w:type="dxa"/>
            <w:tcBorders>
              <w:top w:val="nil"/>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kern w:val="0"/>
                <w:sz w:val="24"/>
                <w14:textFill>
                  <w14:solidFill>
                    <w14:schemeClr w14:val="tx1"/>
                  </w14:solidFill>
                </w14:textFill>
              </w:rPr>
            </w:pPr>
            <w:r>
              <w:rPr>
                <w:b/>
                <w:bCs/>
                <w:color w:val="000000" w:themeColor="text1"/>
                <w14:textFill>
                  <w14:solidFill>
                    <w14:schemeClr w14:val="tx1"/>
                  </w14:solidFill>
                </w14:textFill>
              </w:rPr>
              <w:t>1 </w:t>
            </w:r>
          </w:p>
        </w:tc>
        <w:tc>
          <w:tcPr>
            <w:tcW w:w="1023" w:type="dxa"/>
            <w:tcBorders>
              <w:top w:val="nil"/>
              <w:left w:val="nil"/>
              <w:bottom w:val="single" w:color="000000" w:sz="4" w:space="0"/>
              <w:right w:val="single" w:color="000000" w:sz="4" w:space="0"/>
            </w:tcBorders>
            <w:shd w:val="clear" w:color="auto" w:fill="auto"/>
            <w:vAlign w:val="center"/>
          </w:tcPr>
          <w:p>
            <w:pPr>
              <w:widowControl/>
              <w:jc w:val="center"/>
              <w:textAlignment w:val="center"/>
              <w:rPr>
                <w:color w:val="000000" w:themeColor="text1"/>
                <w:kern w:val="0"/>
                <w:sz w:val="24"/>
                <w14:textFill>
                  <w14:solidFill>
                    <w14:schemeClr w14:val="tx1"/>
                  </w14:solidFill>
                </w14:textFill>
              </w:rPr>
            </w:pPr>
            <w:r>
              <w:rPr>
                <w:rFonts w:hint="eastAsia"/>
                <w:color w:val="000000" w:themeColor="text1"/>
                <w14:textFill>
                  <w14:solidFill>
                    <w14:schemeClr w14:val="tx1"/>
                  </w14:solidFill>
                </w14:textFill>
              </w:rPr>
              <w:t>电感耦合等离子体质谱仪</w:t>
            </w:r>
          </w:p>
        </w:tc>
        <w:tc>
          <w:tcPr>
            <w:tcW w:w="567" w:type="dxa"/>
            <w:tcBorders>
              <w:top w:val="nil"/>
              <w:left w:val="nil"/>
              <w:bottom w:val="single" w:color="000000" w:sz="4" w:space="0"/>
              <w:right w:val="single" w:color="000000" w:sz="4" w:space="0"/>
            </w:tcBorders>
            <w:shd w:val="clear" w:color="auto" w:fill="auto"/>
            <w:vAlign w:val="center"/>
          </w:tcPr>
          <w:p>
            <w:pPr>
              <w:widowControl/>
              <w:jc w:val="center"/>
              <w:textAlignment w:val="center"/>
              <w:rPr>
                <w:color w:val="000000" w:themeColor="text1"/>
                <w:kern w:val="0"/>
                <w:sz w:val="24"/>
                <w14:textFill>
                  <w14:solidFill>
                    <w14:schemeClr w14:val="tx1"/>
                  </w14:solidFill>
                </w14:textFill>
              </w:rPr>
            </w:pPr>
            <w:r>
              <w:rPr>
                <w:rFonts w:hint="eastAsia"/>
                <w:b/>
                <w:bCs/>
                <w:color w:val="000000" w:themeColor="text1"/>
                <w14:textFill>
                  <w14:solidFill>
                    <w14:schemeClr w14:val="tx1"/>
                  </w14:solidFill>
                </w14:textFill>
              </w:rPr>
              <w:t>套</w:t>
            </w:r>
          </w:p>
        </w:tc>
        <w:tc>
          <w:tcPr>
            <w:tcW w:w="567" w:type="dxa"/>
            <w:tcBorders>
              <w:top w:val="nil"/>
              <w:left w:val="nil"/>
              <w:bottom w:val="single" w:color="000000" w:sz="4" w:space="0"/>
              <w:right w:val="single" w:color="000000" w:sz="4" w:space="0"/>
            </w:tcBorders>
            <w:shd w:val="clear" w:color="auto" w:fill="auto"/>
            <w:vAlign w:val="center"/>
          </w:tcPr>
          <w:p>
            <w:pPr>
              <w:widowControl/>
              <w:jc w:val="center"/>
              <w:textAlignment w:val="center"/>
              <w:rPr>
                <w:color w:val="000000" w:themeColor="text1"/>
                <w:kern w:val="0"/>
                <w:sz w:val="24"/>
                <w14:textFill>
                  <w14:solidFill>
                    <w14:schemeClr w14:val="tx1"/>
                  </w14:solidFill>
                </w14:textFill>
              </w:rPr>
            </w:pPr>
            <w:r>
              <w:rPr>
                <w:b/>
                <w:bCs/>
                <w:color w:val="000000" w:themeColor="text1"/>
                <w14:textFill>
                  <w14:solidFill>
                    <w14:schemeClr w14:val="tx1"/>
                  </w14:solidFill>
                </w14:textFill>
              </w:rPr>
              <w:t>1</w:t>
            </w:r>
          </w:p>
        </w:tc>
        <w:tc>
          <w:tcPr>
            <w:tcW w:w="6378" w:type="dxa"/>
            <w:tcBorders>
              <w:top w:val="nil"/>
              <w:left w:val="nil"/>
              <w:bottom w:val="single" w:color="000000" w:sz="4" w:space="0"/>
              <w:right w:val="single" w:color="000000" w:sz="4" w:space="0"/>
            </w:tcBorders>
            <w:shd w:val="clear" w:color="auto" w:fill="auto"/>
            <w:vAlign w:val="bottom"/>
          </w:tcPr>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、雾化器：高效率同心雾化器，雾化室制冷控温范围</w:t>
            </w:r>
            <w:r>
              <w:rPr>
                <w:color w:val="000000" w:themeColor="text1"/>
                <w14:textFill>
                  <w14:solidFill>
                    <w14:schemeClr w14:val="tx1"/>
                  </w14:solidFill>
                </w14:textFill>
              </w:rPr>
              <w:t>-15</w:t>
            </w:r>
            <w:r>
              <w:rPr>
                <w:rFonts w:hint="eastAsia"/>
                <w:color w:val="000000" w:themeColor="text1"/>
                <w14:textFill>
                  <w14:solidFill>
                    <w14:schemeClr w14:val="tx1"/>
                  </w14:solidFill>
                </w14:textFill>
              </w:rPr>
              <w:t>～20℃；</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、分体设计的可拆卸式石英炬管，预准直的炬管座内置式气路连接，易操作的卡式推入炬管设计，日常维护无需拆卸气体管路；</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3</w:t>
            </w:r>
            <w:r>
              <w:rPr>
                <w:rFonts w:hint="eastAsia"/>
                <w:color w:val="000000" w:themeColor="text1"/>
                <w14:textFill>
                  <w14:solidFill>
                    <w14:schemeClr w14:val="tx1"/>
                  </w14:solidFill>
                </w14:textFill>
              </w:rPr>
              <w:t>、全彩等离子体实时观测系统，可以通过软件监控等离子体火焰状态；</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4</w:t>
            </w:r>
            <w:r>
              <w:rPr>
                <w:rFonts w:hint="eastAsia"/>
                <w:color w:val="000000" w:themeColor="text1"/>
                <w14:textFill>
                  <w14:solidFill>
                    <w14:schemeClr w14:val="tx1"/>
                  </w14:solidFill>
                </w14:textFill>
              </w:rPr>
              <w:t>、接口：拥有两种工作模式的接口技术，高灵敏度模式和耐高盐模式；</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5</w:t>
            </w:r>
            <w:r>
              <w:rPr>
                <w:rFonts w:hint="eastAsia"/>
                <w:color w:val="000000" w:themeColor="text1"/>
                <w14:textFill>
                  <w14:solidFill>
                    <w14:schemeClr w14:val="tx1"/>
                  </w14:solidFill>
                </w14:textFill>
              </w:rPr>
              <w:t>、离子源：自激式全固态</w:t>
            </w:r>
            <w:r>
              <w:rPr>
                <w:color w:val="000000" w:themeColor="text1"/>
                <w14:textFill>
                  <w14:solidFill>
                    <w14:schemeClr w14:val="tx1"/>
                  </w14:solidFill>
                </w14:textFill>
              </w:rPr>
              <w:t>RF</w:t>
            </w:r>
            <w:r>
              <w:rPr>
                <w:rFonts w:hint="eastAsia"/>
                <w:color w:val="000000" w:themeColor="text1"/>
                <w14:textFill>
                  <w14:solidFill>
                    <w14:schemeClr w14:val="tx1"/>
                  </w14:solidFill>
                </w14:textFill>
              </w:rPr>
              <w:t>发生器，频率为</w:t>
            </w:r>
            <w:r>
              <w:rPr>
                <w:color w:val="000000" w:themeColor="text1"/>
                <w14:textFill>
                  <w14:solidFill>
                    <w14:schemeClr w14:val="tx1"/>
                  </w14:solidFill>
                </w14:textFill>
              </w:rPr>
              <w:t>27.12 MHz</w:t>
            </w:r>
            <w:r>
              <w:rPr>
                <w:rFonts w:hint="eastAsia"/>
                <w:color w:val="000000" w:themeColor="text1"/>
                <w14:textFill>
                  <w14:solidFill>
                    <w14:schemeClr w14:val="tx1"/>
                  </w14:solidFill>
                </w14:textFill>
              </w:rPr>
              <w:t>，频率稳定性</w:t>
            </w:r>
            <w:r>
              <w:rPr>
                <w:color w:val="000000" w:themeColor="text1"/>
                <w14:textFill>
                  <w14:solidFill>
                    <w14:schemeClr w14:val="tx1"/>
                  </w14:solidFill>
                </w14:textFill>
              </w:rPr>
              <w:t>&lt; ±0.01%</w:t>
            </w:r>
            <w:r>
              <w:rPr>
                <w:rFonts w:hint="eastAsia"/>
                <w:color w:val="000000" w:themeColor="text1"/>
                <w14:textFill>
                  <w14:solidFill>
                    <w14:schemeClr w14:val="tx1"/>
                  </w14:solidFill>
                </w14:textFill>
              </w:rPr>
              <w:t>；</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6</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离子传输系统：低背景的离子传输设计，离子传输偏转透镜、碰撞反应池和四极杆质量分析器均具有免拆洗的优点；</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*7</w:t>
            </w:r>
            <w:r>
              <w:rPr>
                <w:rFonts w:hint="eastAsia"/>
                <w:color w:val="000000" w:themeColor="text1"/>
                <w14:textFill>
                  <w14:solidFill>
                    <w14:schemeClr w14:val="tx1"/>
                  </w14:solidFill>
                </w14:textFill>
              </w:rPr>
              <w:t>、具有高分辨和标准分辨率两种模式，可以在同一方法中对不同元素进行不同分辨率的设定；</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8</w:t>
            </w:r>
            <w:r>
              <w:rPr>
                <w:rFonts w:hint="eastAsia"/>
                <w:color w:val="000000" w:themeColor="text1"/>
                <w14:textFill>
                  <w14:solidFill>
                    <w14:schemeClr w14:val="tx1"/>
                  </w14:solidFill>
                </w14:textFill>
              </w:rPr>
              <w:t>、全自动分析功能（仪器形象化界面、自动调谐、自动诊断、定制化用户报告、启动关闭真空，炬位调整，等离子体参数</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离子透镜电压优化，标准</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碰撞池工作模式切换等）；</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*9</w:t>
            </w:r>
            <w:r>
              <w:rPr>
                <w:rFonts w:hint="eastAsia"/>
                <w:color w:val="000000" w:themeColor="text1"/>
                <w14:textFill>
                  <w14:solidFill>
                    <w14:schemeClr w14:val="tx1"/>
                  </w14:solidFill>
                </w14:textFill>
              </w:rPr>
              <w:t>、包含液相色谱联用的信号分析软件，实现与液相色谱模块的联动控制和数据后处理功能。可以满足色谱联用中的色谱触发控制、数据连续采集、谱图叠加、保留时间、谱峰积分计算、报告输出等功能；</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10</w:t>
            </w:r>
            <w:r>
              <w:rPr>
                <w:rFonts w:hint="eastAsia"/>
                <w:color w:val="000000" w:themeColor="text1"/>
                <w14:textFill>
                  <w14:solidFill>
                    <w14:schemeClr w14:val="tx1"/>
                  </w14:solidFill>
                </w14:textFill>
              </w:rPr>
              <w:t>、其他智能化功能包括：动态调整进样时间和冲洗时间，用户方法库管理，</w:t>
            </w:r>
            <w:r>
              <w:rPr>
                <w:color w:val="000000" w:themeColor="text1"/>
                <w14:textFill>
                  <w14:solidFill>
                    <w14:schemeClr w14:val="tx1"/>
                  </w14:solidFill>
                </w14:textFill>
              </w:rPr>
              <w:t xml:space="preserve">QC </w:t>
            </w:r>
            <w:r>
              <w:rPr>
                <w:rFonts w:hint="eastAsia"/>
                <w:color w:val="000000" w:themeColor="text1"/>
                <w14:textFill>
                  <w14:solidFill>
                    <w14:schemeClr w14:val="tx1"/>
                  </w14:solidFill>
                </w14:textFill>
              </w:rPr>
              <w:t>功能可以满足</w:t>
            </w:r>
            <w:r>
              <w:rPr>
                <w:color w:val="000000" w:themeColor="text1"/>
                <w14:textFill>
                  <w14:solidFill>
                    <w14:schemeClr w14:val="tx1"/>
                  </w14:solidFill>
                </w14:textFill>
              </w:rPr>
              <w:t>EPA</w:t>
            </w:r>
            <w:r>
              <w:rPr>
                <w:rFonts w:hint="eastAsia"/>
                <w:color w:val="000000" w:themeColor="text1"/>
                <w14:textFill>
                  <w14:solidFill>
                    <w14:schemeClr w14:val="tx1"/>
                  </w14:solidFill>
                </w14:textFill>
              </w:rPr>
              <w:t>方法的</w:t>
            </w:r>
            <w:r>
              <w:rPr>
                <w:color w:val="000000" w:themeColor="text1"/>
                <w14:textFill>
                  <w14:solidFill>
                    <w14:schemeClr w14:val="tx1"/>
                  </w14:solidFill>
                </w14:textFill>
              </w:rPr>
              <w:t>QC</w:t>
            </w:r>
            <w:r>
              <w:rPr>
                <w:rFonts w:hint="eastAsia"/>
                <w:color w:val="000000" w:themeColor="text1"/>
                <w14:textFill>
                  <w14:solidFill>
                    <w14:schemeClr w14:val="tx1"/>
                  </w14:solidFill>
                </w14:textFill>
              </w:rPr>
              <w:t>要求；</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11</w:t>
            </w:r>
            <w:r>
              <w:rPr>
                <w:rFonts w:hint="eastAsia"/>
                <w:color w:val="000000" w:themeColor="text1"/>
                <w14:textFill>
                  <w14:solidFill>
                    <w14:schemeClr w14:val="tx1"/>
                  </w14:solidFill>
                </w14:textFill>
              </w:rPr>
              <w:t>、自动进样器：支持不少于</w:t>
            </w:r>
            <w:r>
              <w:rPr>
                <w:color w:val="000000" w:themeColor="text1"/>
                <w14:textFill>
                  <w14:solidFill>
                    <w14:schemeClr w14:val="tx1"/>
                  </w14:solidFill>
                </w14:textFill>
              </w:rPr>
              <w:t>240</w:t>
            </w:r>
            <w:r>
              <w:rPr>
                <w:rFonts w:hint="eastAsia"/>
                <w:color w:val="000000" w:themeColor="text1"/>
                <w14:textFill>
                  <w14:solidFill>
                    <w14:schemeClr w14:val="tx1"/>
                  </w14:solidFill>
                </w14:textFill>
              </w:rPr>
              <w:t>位样品托盘架和配套的试管；</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*12</w:t>
            </w:r>
            <w:r>
              <w:rPr>
                <w:rFonts w:hint="eastAsia"/>
                <w:color w:val="000000" w:themeColor="text1"/>
                <w14:textFill>
                  <w14:solidFill>
                    <w14:schemeClr w14:val="tx1"/>
                  </w14:solidFill>
                </w14:textFill>
              </w:rPr>
              <w:t>、仪器支持车载使用模式，即可通过车辆运载快速抵达现场，并在</w:t>
            </w:r>
            <w:r>
              <w:rPr>
                <w:color w:val="000000" w:themeColor="text1"/>
                <w14:textFill>
                  <w14:solidFill>
                    <w14:schemeClr w14:val="tx1"/>
                  </w14:solidFill>
                </w14:textFill>
              </w:rPr>
              <w:t>1</w:t>
            </w:r>
            <w:r>
              <w:rPr>
                <w:rFonts w:hint="eastAsia"/>
                <w:color w:val="000000" w:themeColor="text1"/>
                <w14:textFill>
                  <w14:solidFill>
                    <w14:schemeClr w14:val="tx1"/>
                  </w14:solidFill>
                </w14:textFill>
              </w:rPr>
              <w:t>小时内完成从开机到分析就绪的全部准备过程；</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13</w:t>
            </w:r>
            <w:r>
              <w:rPr>
                <w:rFonts w:hint="eastAsia"/>
                <w:color w:val="000000" w:themeColor="text1"/>
                <w14:textFill>
                  <w14:solidFill>
                    <w14:schemeClr w14:val="tx1"/>
                  </w14:solidFill>
                </w14:textFill>
              </w:rPr>
              <w:t>、标准模式下灵敏度：低质量数</w:t>
            </w:r>
            <w:r>
              <w:rPr>
                <w:color w:val="000000" w:themeColor="text1"/>
                <w14:textFill>
                  <w14:solidFill>
                    <w14:schemeClr w14:val="tx1"/>
                  </w14:solidFill>
                </w14:textFill>
              </w:rPr>
              <w:t>(Li</w:t>
            </w:r>
            <w:r>
              <w:rPr>
                <w:rFonts w:hint="eastAsia"/>
                <w:color w:val="000000" w:themeColor="text1"/>
                <w14:textFill>
                  <w14:solidFill>
                    <w14:schemeClr w14:val="tx1"/>
                  </w14:solidFill>
                </w14:textFill>
              </w:rPr>
              <w:t>或</w:t>
            </w:r>
            <w:r>
              <w:rPr>
                <w:color w:val="000000" w:themeColor="text1"/>
                <w14:textFill>
                  <w14:solidFill>
                    <w14:schemeClr w14:val="tx1"/>
                  </w14:solidFill>
                </w14:textFill>
              </w:rPr>
              <w:t>Be): &gt; 15 M cps/ppm</w:t>
            </w:r>
            <w:r>
              <w:rPr>
                <w:rFonts w:hint="eastAsia"/>
                <w:color w:val="000000" w:themeColor="text1"/>
                <w14:textFill>
                  <w14:solidFill>
                    <w14:schemeClr w14:val="tx1"/>
                  </w14:solidFill>
                </w14:textFill>
              </w:rPr>
              <w:t>、中质量数</w:t>
            </w:r>
            <w:r>
              <w:rPr>
                <w:color w:val="000000" w:themeColor="text1"/>
                <w14:textFill>
                  <w14:solidFill>
                    <w14:schemeClr w14:val="tx1"/>
                  </w14:solidFill>
                </w14:textFill>
              </w:rPr>
              <w:t>(Y</w:t>
            </w:r>
            <w:r>
              <w:rPr>
                <w:rFonts w:hint="eastAsia"/>
                <w:color w:val="000000" w:themeColor="text1"/>
                <w14:textFill>
                  <w14:solidFill>
                    <w14:schemeClr w14:val="tx1"/>
                  </w14:solidFill>
                </w14:textFill>
              </w:rPr>
              <w:t>或</w:t>
            </w:r>
            <w:r>
              <w:rPr>
                <w:color w:val="000000" w:themeColor="text1"/>
                <w14:textFill>
                  <w14:solidFill>
                    <w14:schemeClr w14:val="tx1"/>
                  </w14:solidFill>
                </w14:textFill>
              </w:rPr>
              <w:t>In): &gt; 80 M cps/ppm</w:t>
            </w:r>
            <w:r>
              <w:rPr>
                <w:rFonts w:hint="eastAsia"/>
                <w:color w:val="000000" w:themeColor="text1"/>
                <w14:textFill>
                  <w14:solidFill>
                    <w14:schemeClr w14:val="tx1"/>
                  </w14:solidFill>
                </w14:textFill>
              </w:rPr>
              <w:t>、高质量数</w:t>
            </w:r>
            <w:r>
              <w:rPr>
                <w:color w:val="000000" w:themeColor="text1"/>
                <w14:textFill>
                  <w14:solidFill>
                    <w14:schemeClr w14:val="tx1"/>
                  </w14:solidFill>
                </w14:textFill>
              </w:rPr>
              <w:t>(Tl</w:t>
            </w:r>
            <w:r>
              <w:rPr>
                <w:rFonts w:hint="eastAsia"/>
                <w:color w:val="000000" w:themeColor="text1"/>
                <w14:textFill>
                  <w14:solidFill>
                    <w14:schemeClr w14:val="tx1"/>
                  </w14:solidFill>
                </w14:textFill>
              </w:rPr>
              <w:t>或</w:t>
            </w:r>
            <w:r>
              <w:rPr>
                <w:color w:val="000000" w:themeColor="text1"/>
                <w14:textFill>
                  <w14:solidFill>
                    <w14:schemeClr w14:val="tx1"/>
                  </w14:solidFill>
                </w14:textFill>
              </w:rPr>
              <w:t>U): &gt; 80 M cps/ppm</w:t>
            </w:r>
            <w:r>
              <w:rPr>
                <w:rFonts w:hint="eastAsia"/>
                <w:color w:val="000000" w:themeColor="text1"/>
                <w14:textFill>
                  <w14:solidFill>
                    <w14:schemeClr w14:val="tx1"/>
                  </w14:solidFill>
                </w14:textFill>
              </w:rPr>
              <w:t>；</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14</w:t>
            </w:r>
            <w:r>
              <w:rPr>
                <w:rFonts w:hint="eastAsia"/>
                <w:color w:val="000000" w:themeColor="text1"/>
                <w14:textFill>
                  <w14:solidFill>
                    <w14:schemeClr w14:val="tx1"/>
                  </w14:solidFill>
                </w14:textFill>
              </w:rPr>
              <w:t>、标准模式下（</w:t>
            </w:r>
            <w:r>
              <w:rPr>
                <w:color w:val="000000" w:themeColor="text1"/>
                <w14:textFill>
                  <w14:solidFill>
                    <w14:schemeClr w14:val="tx1"/>
                  </w14:solidFill>
                </w14:textFill>
              </w:rPr>
              <w:t>No Gas</w:t>
            </w:r>
            <w:r>
              <w:rPr>
                <w:rFonts w:hint="eastAsia"/>
                <w:color w:val="000000" w:themeColor="text1"/>
                <w14:textFill>
                  <w14:solidFill>
                    <w14:schemeClr w14:val="tx1"/>
                  </w14:solidFill>
                </w14:textFill>
              </w:rPr>
              <w:t>）随机背景：</w:t>
            </w:r>
            <w:r>
              <w:rPr>
                <w:color w:val="000000" w:themeColor="text1"/>
                <w14:textFill>
                  <w14:solidFill>
                    <w14:schemeClr w14:val="tx1"/>
                  </w14:solidFill>
                </w14:textFill>
              </w:rPr>
              <w:t>&lt; 1 cps (5amu)</w:t>
            </w:r>
            <w:r>
              <w:rPr>
                <w:rFonts w:hint="eastAsia"/>
                <w:color w:val="000000" w:themeColor="text1"/>
                <w14:textFill>
                  <w14:solidFill>
                    <w14:schemeClr w14:val="tx1"/>
                  </w14:solidFill>
                </w14:textFill>
              </w:rPr>
              <w:t>；</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15</w:t>
            </w:r>
            <w:r>
              <w:rPr>
                <w:rFonts w:hint="eastAsia"/>
                <w:color w:val="000000" w:themeColor="text1"/>
                <w14:textFill>
                  <w14:solidFill>
                    <w14:schemeClr w14:val="tx1"/>
                  </w14:solidFill>
                </w14:textFill>
              </w:rPr>
              <w:t>、标准模式下，仪器信噪比</w:t>
            </w:r>
            <w:r>
              <w:rPr>
                <w:color w:val="000000" w:themeColor="text1"/>
                <w14:textFill>
                  <w14:solidFill>
                    <w14:schemeClr w14:val="tx1"/>
                  </w14:solidFill>
                </w14:textFill>
              </w:rPr>
              <w:t>&gt;80M(1ppm</w:t>
            </w:r>
            <w:r>
              <w:rPr>
                <w:rFonts w:hint="eastAsia"/>
                <w:color w:val="000000" w:themeColor="text1"/>
                <w14:textFill>
                  <w14:solidFill>
                    <w14:schemeClr w14:val="tx1"/>
                  </w14:solidFill>
                </w14:textFill>
              </w:rPr>
              <w:t>中质量元素溶液，灵敏度</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随机背景</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16</w:t>
            </w:r>
            <w:r>
              <w:rPr>
                <w:rFonts w:hint="eastAsia"/>
                <w:color w:val="000000" w:themeColor="text1"/>
                <w14:textFill>
                  <w14:solidFill>
                    <w14:schemeClr w14:val="tx1"/>
                  </w14:solidFill>
                </w14:textFill>
              </w:rPr>
              <w:t>、短期稳定性</w:t>
            </w:r>
            <w:r>
              <w:rPr>
                <w:color w:val="000000" w:themeColor="text1"/>
                <w14:textFill>
                  <w14:solidFill>
                    <w14:schemeClr w14:val="tx1"/>
                  </w14:solidFill>
                </w14:textFill>
              </w:rPr>
              <w:t xml:space="preserve"> (RSD): &lt; 2% </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20min</w:t>
            </w:r>
            <w:r>
              <w:rPr>
                <w:rFonts w:hint="eastAsia"/>
                <w:color w:val="000000" w:themeColor="text1"/>
                <w14:textFill>
                  <w14:solidFill>
                    <w14:schemeClr w14:val="tx1"/>
                  </w14:solidFill>
                </w14:textFill>
              </w:rPr>
              <w:t>）、长期稳定性</w:t>
            </w:r>
            <w:r>
              <w:rPr>
                <w:color w:val="000000" w:themeColor="text1"/>
                <w14:textFill>
                  <w14:solidFill>
                    <w14:schemeClr w14:val="tx1"/>
                  </w14:solidFill>
                </w14:textFill>
              </w:rPr>
              <w:t xml:space="preserve"> (RSD): &lt; 3% </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2h</w:t>
            </w:r>
            <w:r>
              <w:rPr>
                <w:rFonts w:hint="eastAsia"/>
                <w:color w:val="000000" w:themeColor="text1"/>
                <w14:textFill>
                  <w14:solidFill>
                    <w14:schemeClr w14:val="tx1"/>
                  </w14:solidFill>
                </w14:textFill>
              </w:rPr>
              <w:t>）；</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17</w:t>
            </w:r>
            <w:r>
              <w:rPr>
                <w:rFonts w:hint="eastAsia"/>
                <w:color w:val="000000" w:themeColor="text1"/>
                <w14:textFill>
                  <w14:solidFill>
                    <w14:schemeClr w14:val="tx1"/>
                  </w14:solidFill>
                </w14:textFill>
              </w:rPr>
              <w:t>、同位素比精密度</w:t>
            </w:r>
            <w:r>
              <w:rPr>
                <w:color w:val="000000" w:themeColor="text1"/>
                <w14:textFill>
                  <w14:solidFill>
                    <w14:schemeClr w14:val="tx1"/>
                  </w14:solidFill>
                </w14:textFill>
              </w:rPr>
              <w:t xml:space="preserve">: &lt; 0.2 % </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107 Ag/109 Ag</w:t>
            </w:r>
            <w:r>
              <w:rPr>
                <w:rFonts w:hint="eastAsia"/>
                <w:color w:val="000000" w:themeColor="text1"/>
                <w14:textFill>
                  <w14:solidFill>
                    <w14:schemeClr w14:val="tx1"/>
                  </w14:solidFill>
                </w14:textFill>
              </w:rPr>
              <w:t>）；</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18</w:t>
            </w:r>
            <w:r>
              <w:rPr>
                <w:rFonts w:hint="eastAsia"/>
                <w:color w:val="000000" w:themeColor="text1"/>
                <w14:textFill>
                  <w14:solidFill>
                    <w14:schemeClr w14:val="tx1"/>
                  </w14:solidFill>
                </w14:textFill>
              </w:rPr>
              <w:t>、支持与</w:t>
            </w:r>
            <w:r>
              <w:rPr>
                <w:color w:val="000000" w:themeColor="text1"/>
                <w14:textFill>
                  <w14:solidFill>
                    <w14:schemeClr w14:val="tx1"/>
                  </w14:solidFill>
                </w14:textFill>
              </w:rPr>
              <w:t>LC</w:t>
            </w:r>
            <w:r>
              <w:rPr>
                <w:rFonts w:hint="eastAsia"/>
                <w:color w:val="000000" w:themeColor="text1"/>
                <w14:textFill>
                  <w14:solidFill>
                    <w14:schemeClr w14:val="tx1"/>
                  </w14:solidFill>
                </w14:textFill>
              </w:rPr>
              <w:t>联用，在一个软件界面中可实现</w:t>
            </w:r>
            <w:r>
              <w:rPr>
                <w:color w:val="000000" w:themeColor="text1"/>
                <w14:textFill>
                  <w14:solidFill>
                    <w14:schemeClr w14:val="tx1"/>
                  </w14:solidFill>
                </w14:textFill>
              </w:rPr>
              <w:t>LC</w:t>
            </w:r>
            <w:r>
              <w:rPr>
                <w:rFonts w:hint="eastAsia"/>
                <w:color w:val="000000" w:themeColor="text1"/>
                <w14:textFill>
                  <w14:solidFill>
                    <w14:schemeClr w14:val="tx1"/>
                  </w14:solidFill>
                </w14:textFill>
              </w:rPr>
              <w:t>的联动控制和联锁保护；</w:t>
            </w:r>
            <w:r>
              <w:rPr>
                <w:color w:val="000000" w:themeColor="text1"/>
                <w14:textFill>
                  <w14:solidFill>
                    <w14:schemeClr w14:val="tx1"/>
                  </w14:solidFill>
                </w14:textFill>
              </w:rPr>
              <w:t xml:space="preserve"> </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*19</w:t>
            </w:r>
            <w:r>
              <w:rPr>
                <w:rFonts w:hint="eastAsia"/>
                <w:color w:val="000000" w:themeColor="text1"/>
                <w14:textFill>
                  <w14:solidFill>
                    <w14:schemeClr w14:val="tx1"/>
                  </w14:solidFill>
                </w14:textFill>
              </w:rPr>
              <w:t>、配置重金属分离富集萃取装置</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去除样品基质对重金属检测的干扰，可实现高盐样品及复杂基质样品中的铅、镉、铜、镍、铬、锌、铁、锰等金属的分离和富集。</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20</w:t>
            </w:r>
            <w:r>
              <w:rPr>
                <w:rFonts w:hint="eastAsia"/>
                <w:color w:val="000000" w:themeColor="text1"/>
                <w14:textFill>
                  <w14:solidFill>
                    <w14:schemeClr w14:val="tx1"/>
                  </w14:solidFill>
                </w14:textFill>
              </w:rPr>
              <w:t>、配置：电感耦合等子体质谱仪主机，带碰撞反应池，前级泵，有机样品系统，自动进样器，</w:t>
            </w:r>
            <w:r>
              <w:rPr>
                <w:color w:val="000000" w:themeColor="text1"/>
                <w14:textFill>
                  <w14:solidFill>
                    <w14:schemeClr w14:val="tx1"/>
                  </w14:solidFill>
                </w14:textFill>
              </w:rPr>
              <w:t>27.12MHz</w:t>
            </w:r>
            <w:r>
              <w:rPr>
                <w:rFonts w:hint="eastAsia"/>
                <w:color w:val="000000" w:themeColor="text1"/>
                <w14:textFill>
                  <w14:solidFill>
                    <w14:schemeClr w14:val="tx1"/>
                  </w14:solidFill>
                </w14:textFill>
              </w:rPr>
              <w:t>自激式全固态射频发生器，全质量流量气体控制器，质量分析器，重金属分离富集萃取装置、操作软件安装光盘，操作手册，可视化矩焰观测及保护功能，配套数据采集和分析系统等。</w:t>
            </w:r>
          </w:p>
        </w:tc>
      </w:tr>
      <w:tr>
        <w:tblPrEx>
          <w:tblCellMar>
            <w:top w:w="15" w:type="dxa"/>
            <w:left w:w="15" w:type="dxa"/>
            <w:bottom w:w="15" w:type="dxa"/>
            <w:right w:w="15" w:type="dxa"/>
          </w:tblCellMar>
        </w:tblPrEx>
        <w:trPr>
          <w:trHeight w:val="510" w:hRule="atLeast"/>
        </w:trPr>
        <w:tc>
          <w:tcPr>
            <w:tcW w:w="532" w:type="dxa"/>
            <w:tcBorders>
              <w:top w:val="nil"/>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kern w:val="0"/>
                <w:sz w:val="24"/>
                <w14:textFill>
                  <w14:solidFill>
                    <w14:schemeClr w14:val="tx1"/>
                  </w14:solidFill>
                </w14:textFill>
              </w:rPr>
            </w:pPr>
            <w:r>
              <w:rPr>
                <w:b/>
                <w:bCs/>
                <w:color w:val="000000" w:themeColor="text1"/>
                <w14:textFill>
                  <w14:solidFill>
                    <w14:schemeClr w14:val="tx1"/>
                  </w14:solidFill>
                </w14:textFill>
              </w:rPr>
              <w:t>2 </w:t>
            </w:r>
          </w:p>
        </w:tc>
        <w:tc>
          <w:tcPr>
            <w:tcW w:w="1023" w:type="dxa"/>
            <w:tcBorders>
              <w:top w:val="nil"/>
              <w:left w:val="nil"/>
              <w:bottom w:val="single" w:color="000000" w:sz="4" w:space="0"/>
              <w:right w:val="single" w:color="000000" w:sz="4" w:space="0"/>
            </w:tcBorders>
            <w:shd w:val="clear" w:color="auto" w:fill="auto"/>
            <w:vAlign w:val="center"/>
          </w:tcPr>
          <w:p>
            <w:pPr>
              <w:widowControl/>
              <w:jc w:val="center"/>
              <w:textAlignment w:val="center"/>
              <w:rPr>
                <w:color w:val="000000" w:themeColor="text1"/>
                <w:kern w:val="0"/>
                <w:sz w:val="24"/>
                <w14:textFill>
                  <w14:solidFill>
                    <w14:schemeClr w14:val="tx1"/>
                  </w14:solidFill>
                </w14:textFill>
              </w:rPr>
            </w:pPr>
            <w:r>
              <w:rPr>
                <w:rFonts w:hint="eastAsia"/>
                <w:color w:val="000000" w:themeColor="text1"/>
                <w14:textFill>
                  <w14:solidFill>
                    <w14:schemeClr w14:val="tx1"/>
                  </w14:solidFill>
                </w14:textFill>
              </w:rPr>
              <w:t>冷却分离装置</w:t>
            </w:r>
          </w:p>
        </w:tc>
        <w:tc>
          <w:tcPr>
            <w:tcW w:w="567" w:type="dxa"/>
            <w:tcBorders>
              <w:top w:val="nil"/>
              <w:left w:val="nil"/>
              <w:bottom w:val="single" w:color="000000" w:sz="4" w:space="0"/>
              <w:right w:val="single" w:color="000000" w:sz="4" w:space="0"/>
            </w:tcBorders>
            <w:shd w:val="clear" w:color="auto" w:fill="auto"/>
            <w:vAlign w:val="center"/>
          </w:tcPr>
          <w:p>
            <w:pPr>
              <w:widowControl/>
              <w:jc w:val="center"/>
              <w:textAlignment w:val="center"/>
              <w:rPr>
                <w:color w:val="000000" w:themeColor="text1"/>
                <w:kern w:val="0"/>
                <w:sz w:val="24"/>
                <w14:textFill>
                  <w14:solidFill>
                    <w14:schemeClr w14:val="tx1"/>
                  </w14:solidFill>
                </w14:textFill>
              </w:rPr>
            </w:pPr>
            <w:r>
              <w:rPr>
                <w:rFonts w:hint="eastAsia"/>
                <w:b/>
                <w:bCs/>
                <w:color w:val="000000" w:themeColor="text1"/>
                <w14:textFill>
                  <w14:solidFill>
                    <w14:schemeClr w14:val="tx1"/>
                  </w14:solidFill>
                </w14:textFill>
              </w:rPr>
              <w:t>套</w:t>
            </w:r>
          </w:p>
        </w:tc>
        <w:tc>
          <w:tcPr>
            <w:tcW w:w="567" w:type="dxa"/>
            <w:tcBorders>
              <w:top w:val="nil"/>
              <w:left w:val="nil"/>
              <w:bottom w:val="single" w:color="000000" w:sz="4" w:space="0"/>
              <w:right w:val="single" w:color="000000" w:sz="4" w:space="0"/>
            </w:tcBorders>
            <w:shd w:val="clear" w:color="auto" w:fill="auto"/>
            <w:vAlign w:val="center"/>
          </w:tcPr>
          <w:p>
            <w:pPr>
              <w:widowControl/>
              <w:jc w:val="center"/>
              <w:textAlignment w:val="center"/>
              <w:rPr>
                <w:color w:val="000000" w:themeColor="text1"/>
                <w:kern w:val="0"/>
                <w:sz w:val="24"/>
                <w14:textFill>
                  <w14:solidFill>
                    <w14:schemeClr w14:val="tx1"/>
                  </w14:solidFill>
                </w14:textFill>
              </w:rPr>
            </w:pPr>
            <w:r>
              <w:rPr>
                <w:b/>
                <w:bCs/>
                <w:color w:val="000000" w:themeColor="text1"/>
                <w14:textFill>
                  <w14:solidFill>
                    <w14:schemeClr w14:val="tx1"/>
                  </w14:solidFill>
                </w14:textFill>
              </w:rPr>
              <w:t>1</w:t>
            </w:r>
          </w:p>
        </w:tc>
        <w:tc>
          <w:tcPr>
            <w:tcW w:w="6378" w:type="dxa"/>
            <w:tcBorders>
              <w:top w:val="nil"/>
              <w:left w:val="nil"/>
              <w:bottom w:val="single" w:color="000000" w:sz="4" w:space="0"/>
              <w:right w:val="single" w:color="000000" w:sz="4" w:space="0"/>
            </w:tcBorders>
            <w:shd w:val="clear" w:color="auto" w:fill="auto"/>
            <w:vAlign w:val="bottom"/>
          </w:tcPr>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、主要用途：实现航空发动机尾气的极速降温及组分分离。此外，该装置还可应用到航空垃圾的热化学转化试验气液组分快速分离，实现可燃气体及可冷凝溶剂的快速收集；</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、温度范围： -30℃—425℃；</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3</w:t>
            </w:r>
            <w:r>
              <w:rPr>
                <w:rFonts w:hint="eastAsia"/>
                <w:color w:val="000000" w:themeColor="text1"/>
                <w14:textFill>
                  <w14:solidFill>
                    <w14:schemeClr w14:val="tx1"/>
                  </w14:solidFill>
                </w14:textFill>
              </w:rPr>
              <w:t>、样品进出口内径≤0.9mm，</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4</w:t>
            </w:r>
            <w:r>
              <w:rPr>
                <w:rFonts w:hint="eastAsia"/>
                <w:color w:val="000000" w:themeColor="text1"/>
                <w14:textFill>
                  <w14:solidFill>
                    <w14:schemeClr w14:val="tx1"/>
                  </w14:solidFill>
                </w14:textFill>
              </w:rPr>
              <w:t>、制冷方式：电子制冷，均匀升降温度</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5</w:t>
            </w:r>
            <w:r>
              <w:rPr>
                <w:rFonts w:hint="eastAsia"/>
                <w:color w:val="000000" w:themeColor="text1"/>
                <w14:textFill>
                  <w14:solidFill>
                    <w14:schemeClr w14:val="tx1"/>
                  </w14:solidFill>
                </w14:textFill>
              </w:rPr>
              <w:t>、温控精度：≤1℃；</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6</w:t>
            </w:r>
            <w:r>
              <w:rPr>
                <w:rFonts w:hint="eastAsia"/>
                <w:color w:val="000000" w:themeColor="text1"/>
                <w14:textFill>
                  <w14:solidFill>
                    <w14:schemeClr w14:val="tx1"/>
                  </w14:solidFill>
                </w14:textFill>
              </w:rPr>
              <w:t>、可作为低温槽、预冻槽、低温容器使用</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7</w:t>
            </w:r>
            <w:r>
              <w:rPr>
                <w:rFonts w:hint="eastAsia"/>
                <w:color w:val="000000" w:themeColor="text1"/>
                <w14:textFill>
                  <w14:solidFill>
                    <w14:schemeClr w14:val="tx1"/>
                  </w14:solidFill>
                </w14:textFill>
              </w:rPr>
              <w:t>、富集模式：半导体冷冻富集</w:t>
            </w:r>
          </w:p>
        </w:tc>
      </w:tr>
      <w:tr>
        <w:tblPrEx>
          <w:tblCellMar>
            <w:top w:w="15" w:type="dxa"/>
            <w:left w:w="15" w:type="dxa"/>
            <w:bottom w:w="15" w:type="dxa"/>
            <w:right w:w="15" w:type="dxa"/>
          </w:tblCellMar>
        </w:tblPrEx>
        <w:trPr>
          <w:trHeight w:val="90" w:hRule="atLeast"/>
        </w:trPr>
        <w:tc>
          <w:tcPr>
            <w:tcW w:w="532" w:type="dxa"/>
            <w:tcBorders>
              <w:top w:val="nil"/>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3</w:t>
            </w:r>
          </w:p>
        </w:tc>
        <w:tc>
          <w:tcPr>
            <w:tcW w:w="1023" w:type="dxa"/>
            <w:tcBorders>
              <w:top w:val="nil"/>
              <w:left w:val="nil"/>
              <w:bottom w:val="single" w:color="000000" w:sz="4" w:space="0"/>
              <w:right w:val="single" w:color="000000" w:sz="4" w:space="0"/>
            </w:tcBorders>
            <w:shd w:val="clear" w:color="auto" w:fill="auto"/>
            <w:vAlign w:val="center"/>
          </w:tcPr>
          <w:p>
            <w:pPr>
              <w:widowControl/>
              <w:jc w:val="center"/>
              <w:textAlignment w:val="center"/>
              <w:rPr>
                <w:color w:val="000000" w:themeColor="text1"/>
                <w:kern w:val="0"/>
                <w:sz w:val="24"/>
                <w14:textFill>
                  <w14:solidFill>
                    <w14:schemeClr w14:val="tx1"/>
                  </w14:solidFill>
                </w14:textFill>
              </w:rPr>
            </w:pPr>
            <w:r>
              <w:rPr>
                <w:rFonts w:hint="eastAsia"/>
                <w:color w:val="000000" w:themeColor="text1"/>
                <w14:textFill>
                  <w14:solidFill>
                    <w14:schemeClr w14:val="tx1"/>
                  </w14:solidFill>
                </w14:textFill>
              </w:rPr>
              <w:t>通风柜</w:t>
            </w:r>
          </w:p>
        </w:tc>
        <w:tc>
          <w:tcPr>
            <w:tcW w:w="567" w:type="dxa"/>
            <w:tcBorders>
              <w:top w:val="nil"/>
              <w:left w:val="nil"/>
              <w:bottom w:val="single" w:color="000000" w:sz="4" w:space="0"/>
              <w:right w:val="single" w:color="000000" w:sz="4" w:space="0"/>
            </w:tcBorders>
            <w:shd w:val="clear" w:color="auto" w:fill="auto"/>
            <w:vAlign w:val="center"/>
          </w:tcPr>
          <w:p>
            <w:pPr>
              <w:widowControl/>
              <w:jc w:val="center"/>
              <w:textAlignment w:val="center"/>
              <w:rPr>
                <w:color w:val="000000" w:themeColor="text1"/>
                <w:kern w:val="0"/>
                <w:sz w:val="24"/>
                <w14:textFill>
                  <w14:solidFill>
                    <w14:schemeClr w14:val="tx1"/>
                  </w14:solidFill>
                </w14:textFill>
              </w:rPr>
            </w:pPr>
            <w:r>
              <w:rPr>
                <w:rFonts w:hint="eastAsia"/>
                <w:b/>
                <w:bCs/>
                <w:color w:val="000000" w:themeColor="text1"/>
                <w14:textFill>
                  <w14:solidFill>
                    <w14:schemeClr w14:val="tx1"/>
                  </w14:solidFill>
                </w14:textFill>
              </w:rPr>
              <w:t>台</w:t>
            </w:r>
          </w:p>
        </w:tc>
        <w:tc>
          <w:tcPr>
            <w:tcW w:w="567" w:type="dxa"/>
            <w:tcBorders>
              <w:top w:val="nil"/>
              <w:left w:val="nil"/>
              <w:bottom w:val="single" w:color="000000" w:sz="4" w:space="0"/>
              <w:right w:val="single" w:color="000000" w:sz="4" w:space="0"/>
            </w:tcBorders>
            <w:shd w:val="clear" w:color="auto" w:fill="auto"/>
            <w:vAlign w:val="center"/>
          </w:tcPr>
          <w:p>
            <w:pPr>
              <w:widowControl/>
              <w:jc w:val="center"/>
              <w:textAlignment w:val="center"/>
              <w:rPr>
                <w:color w:val="000000" w:themeColor="text1"/>
                <w:kern w:val="0"/>
                <w:sz w:val="24"/>
                <w14:textFill>
                  <w14:solidFill>
                    <w14:schemeClr w14:val="tx1"/>
                  </w14:solidFill>
                </w14:textFill>
              </w:rPr>
            </w:pPr>
            <w:r>
              <w:rPr>
                <w:b/>
                <w:bCs/>
                <w:color w:val="000000" w:themeColor="text1"/>
                <w14:textFill>
                  <w14:solidFill>
                    <w14:schemeClr w14:val="tx1"/>
                  </w14:solidFill>
                </w14:textFill>
              </w:rPr>
              <w:t>1</w:t>
            </w:r>
          </w:p>
        </w:tc>
        <w:tc>
          <w:tcPr>
            <w:tcW w:w="6378" w:type="dxa"/>
            <w:tcBorders>
              <w:top w:val="nil"/>
              <w:left w:val="nil"/>
              <w:bottom w:val="single" w:color="000000" w:sz="4" w:space="0"/>
              <w:right w:val="single" w:color="000000" w:sz="4" w:space="0"/>
            </w:tcBorders>
            <w:shd w:val="clear" w:color="auto" w:fill="auto"/>
            <w:vAlign w:val="bottom"/>
          </w:tcPr>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、通风柜台面材质：</w:t>
            </w:r>
            <w:r>
              <w:rPr>
                <w:color w:val="000000" w:themeColor="text1"/>
                <w14:textFill>
                  <w14:solidFill>
                    <w14:schemeClr w14:val="tx1"/>
                  </w14:solidFill>
                </w14:textFill>
              </w:rPr>
              <w:t>25mm</w:t>
            </w:r>
            <w:r>
              <w:rPr>
                <w:rFonts w:hint="eastAsia"/>
                <w:color w:val="000000" w:themeColor="text1"/>
                <w14:textFill>
                  <w14:solidFill>
                    <w14:schemeClr w14:val="tx1"/>
                  </w14:solidFill>
                </w14:textFill>
              </w:rPr>
              <w:t>厚碟形陶瓷台面</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、耐酸碱腐蚀：陶瓷台面可抵御强酸强碱及有机溶剂腐蚀。</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3</w:t>
            </w:r>
            <w:r>
              <w:rPr>
                <w:rFonts w:hint="eastAsia"/>
                <w:color w:val="000000" w:themeColor="text1"/>
                <w14:textFill>
                  <w14:solidFill>
                    <w14:schemeClr w14:val="tx1"/>
                  </w14:solidFill>
                </w14:textFill>
              </w:rPr>
              <w:t>、落球冲击：要求≥700mm高度，≥450g落球冲击，台面表面无明显变化。</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5</w:t>
            </w:r>
            <w:r>
              <w:rPr>
                <w:rFonts w:hint="eastAsia"/>
                <w:color w:val="000000" w:themeColor="text1"/>
                <w14:textFill>
                  <w14:solidFill>
                    <w14:schemeClr w14:val="tx1"/>
                  </w14:solidFill>
                </w14:textFill>
              </w:rPr>
              <w:t>、哑光色泽：台面漫反射性能好，提供带有</w:t>
            </w:r>
            <w:r>
              <w:rPr>
                <w:color w:val="000000" w:themeColor="text1"/>
                <w14:textFill>
                  <w14:solidFill>
                    <w14:schemeClr w14:val="tx1"/>
                  </w14:solidFill>
                </w14:textFill>
              </w:rPr>
              <w:t>CMA</w:t>
            </w:r>
            <w:r>
              <w:rPr>
                <w:rFonts w:hint="eastAsia"/>
                <w:color w:val="000000" w:themeColor="text1"/>
                <w14:textFill>
                  <w14:solidFill>
                    <w14:schemeClr w14:val="tx1"/>
                  </w14:solidFill>
                </w14:textFill>
              </w:rPr>
              <w:t>和</w:t>
            </w:r>
            <w:r>
              <w:rPr>
                <w:color w:val="000000" w:themeColor="text1"/>
                <w14:textFill>
                  <w14:solidFill>
                    <w14:schemeClr w14:val="tx1"/>
                  </w14:solidFill>
                </w14:textFill>
              </w:rPr>
              <w:t xml:space="preserve">CNAS </w:t>
            </w:r>
            <w:r>
              <w:rPr>
                <w:rFonts w:hint="eastAsia"/>
                <w:color w:val="000000" w:themeColor="text1"/>
                <w14:textFill>
                  <w14:solidFill>
                    <w14:schemeClr w14:val="tx1"/>
                  </w14:solidFill>
                </w14:textFill>
              </w:rPr>
              <w:t>标志的检测报告，检测结果值在</w:t>
            </w:r>
            <w:r>
              <w:rPr>
                <w:color w:val="000000" w:themeColor="text1"/>
                <w14:textFill>
                  <w14:solidFill>
                    <w14:schemeClr w14:val="tx1"/>
                  </w14:solidFill>
                </w14:textFill>
              </w:rPr>
              <w:t>16~30</w:t>
            </w:r>
            <w:r>
              <w:rPr>
                <w:rFonts w:hint="eastAsia"/>
                <w:color w:val="000000" w:themeColor="text1"/>
                <w14:textFill>
                  <w14:solidFill>
                    <w14:schemeClr w14:val="tx1"/>
                  </w14:solidFill>
                </w14:textFill>
              </w:rPr>
              <w:t>之间。</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6</w:t>
            </w:r>
            <w:r>
              <w:rPr>
                <w:rFonts w:hint="eastAsia"/>
                <w:color w:val="000000" w:themeColor="text1"/>
                <w14:textFill>
                  <w14:solidFill>
                    <w14:schemeClr w14:val="tx1"/>
                  </w14:solidFill>
                </w14:textFill>
              </w:rPr>
              <w:t>、通风柜柜体：外部结构采用≥1.2mm厚冷轧钢板冷轧钢制作，表面酸洗磷化，采用环氧树脂粉末静电喷涂，防化、防潮、耐高温以及耐磨，可防酸碱及有机溶剂。</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7</w:t>
            </w:r>
            <w:r>
              <w:rPr>
                <w:rFonts w:hint="eastAsia"/>
                <w:color w:val="000000" w:themeColor="text1"/>
                <w14:textFill>
                  <w14:solidFill>
                    <w14:schemeClr w14:val="tx1"/>
                  </w14:solidFill>
                </w14:textFill>
              </w:rPr>
              <w:t>、风柜外型尺寸为：长：≥1830mm；深：≥914mm；高：≥2345mm。</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8</w:t>
            </w:r>
            <w:r>
              <w:rPr>
                <w:rFonts w:hint="eastAsia"/>
                <w:color w:val="000000" w:themeColor="text1"/>
                <w14:textFill>
                  <w14:solidFill>
                    <w14:schemeClr w14:val="tx1"/>
                  </w14:solidFill>
                </w14:textFill>
              </w:rPr>
              <w:t>、通风柜内衬材料，采用与台面相同材质厚度为</w:t>
            </w:r>
            <w:r>
              <w:rPr>
                <w:color w:val="000000" w:themeColor="text1"/>
                <w14:textFill>
                  <w14:solidFill>
                    <w14:schemeClr w14:val="tx1"/>
                  </w14:solidFill>
                </w14:textFill>
              </w:rPr>
              <w:t>5MM</w:t>
            </w:r>
            <w:r>
              <w:rPr>
                <w:rFonts w:hint="eastAsia"/>
                <w:color w:val="000000" w:themeColor="text1"/>
                <w14:textFill>
                  <w14:solidFill>
                    <w14:schemeClr w14:val="tx1"/>
                  </w14:solidFill>
                </w14:textFill>
              </w:rPr>
              <w:t>的陶瓷内衬，具有耐高温、耐酸碱，长期烘烤，潮湿环境经久耐用不变形、不开裂性能突出。</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9</w:t>
            </w:r>
            <w:r>
              <w:rPr>
                <w:rFonts w:hint="eastAsia"/>
                <w:color w:val="000000" w:themeColor="text1"/>
                <w14:textFill>
                  <w14:solidFill>
                    <w14:schemeClr w14:val="tx1"/>
                  </w14:solidFill>
                </w14:textFill>
              </w:rPr>
              <w:t>、装配风机，面风速必须稳定，在任意点位测得的通风柜表面风速不得小于平均表面风速的</w:t>
            </w:r>
            <w:r>
              <w:rPr>
                <w:color w:val="000000" w:themeColor="text1"/>
                <w14:textFill>
                  <w14:solidFill>
                    <w14:schemeClr w14:val="tx1"/>
                  </w14:solidFill>
                </w14:textFill>
              </w:rPr>
              <w:t>20%;</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10</w:t>
            </w:r>
            <w:r>
              <w:rPr>
                <w:rFonts w:hint="eastAsia"/>
                <w:color w:val="000000" w:themeColor="text1"/>
                <w14:textFill>
                  <w14:solidFill>
                    <w14:schemeClr w14:val="tx1"/>
                  </w14:solidFill>
                </w14:textFill>
              </w:rPr>
              <w:t>、视窗采用≥6mm厚安全防爆钢化玻璃，设计有人体感应自动升降系统，当工作门距台面高度大于</w:t>
            </w:r>
            <w:r>
              <w:rPr>
                <w:color w:val="000000" w:themeColor="text1"/>
                <w14:textFill>
                  <w14:solidFill>
                    <w14:schemeClr w14:val="tx1"/>
                  </w14:solidFill>
                </w14:textFill>
              </w:rPr>
              <w:t>450-460(mm)</w:t>
            </w:r>
            <w:r>
              <w:rPr>
                <w:rFonts w:hint="eastAsia"/>
                <w:color w:val="000000" w:themeColor="text1"/>
                <w14:textFill>
                  <w14:solidFill>
                    <w14:schemeClr w14:val="tx1"/>
                  </w14:solidFill>
                </w14:textFill>
              </w:rPr>
              <w:t>时、操作人员离开时，自动下降系统可将工作门自动下降至</w:t>
            </w:r>
            <w:r>
              <w:rPr>
                <w:color w:val="000000" w:themeColor="text1"/>
                <w14:textFill>
                  <w14:solidFill>
                    <w14:schemeClr w14:val="tx1"/>
                  </w14:solidFill>
                </w14:textFill>
              </w:rPr>
              <w:t>&lt;.50-460(mm)</w:t>
            </w:r>
            <w:r>
              <w:rPr>
                <w:rFonts w:hint="eastAsia"/>
                <w:color w:val="000000" w:themeColor="text1"/>
                <w14:textFill>
                  <w14:solidFill>
                    <w14:schemeClr w14:val="tx1"/>
                  </w14:solidFill>
                </w14:textFill>
              </w:rPr>
              <w:t>高度，以维持设计表面风速和排风风量，防止有害气体扩散出来</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设计有限位器，在距台面不小于</w:t>
            </w:r>
            <w:r>
              <w:rPr>
                <w:color w:val="000000" w:themeColor="text1"/>
                <w14:textFill>
                  <w14:solidFill>
                    <w14:schemeClr w14:val="tx1"/>
                  </w14:solidFill>
                </w14:textFill>
              </w:rPr>
              <w:t>700mm</w:t>
            </w:r>
            <w:r>
              <w:rPr>
                <w:rFonts w:hint="eastAsia"/>
                <w:color w:val="000000" w:themeColor="text1"/>
                <w14:textFill>
                  <w14:solidFill>
                    <w14:schemeClr w14:val="tx1"/>
                  </w14:solidFill>
                </w14:textFill>
              </w:rPr>
              <w:t>高度上配有限位卡位器，当工作门升高高度达到限位高度时可自动卡住不动，安全可靠，便于安装、拆卸大型实验装置和设备；</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11</w:t>
            </w:r>
            <w:r>
              <w:rPr>
                <w:rFonts w:hint="eastAsia"/>
                <w:color w:val="000000" w:themeColor="text1"/>
                <w14:textFill>
                  <w14:solidFill>
                    <w14:schemeClr w14:val="tx1"/>
                  </w14:solidFill>
                </w14:textFill>
              </w:rPr>
              <w:t>、配有负重块、滑轮、铰链等装置，铰链为钢铰链；平衡系统可使工作门不费力自如升、降以及能够稳定停留在任意位置</w:t>
            </w:r>
            <w:r>
              <w:rPr>
                <w:color w:val="000000" w:themeColor="text1"/>
                <w14:textFill>
                  <w14:solidFill>
                    <w14:schemeClr w14:val="tx1"/>
                  </w14:solidFill>
                </w14:textFill>
              </w:rPr>
              <w:t>;</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12</w:t>
            </w:r>
            <w:r>
              <w:rPr>
                <w:rFonts w:hint="eastAsia"/>
                <w:color w:val="000000" w:themeColor="text1"/>
                <w14:textFill>
                  <w14:solidFill>
                    <w14:schemeClr w14:val="tx1"/>
                  </w14:solidFill>
                </w14:textFill>
              </w:rPr>
              <w:t>、柜内配有照明装置，工作区的照明度达到</w:t>
            </w:r>
            <w:r>
              <w:rPr>
                <w:color w:val="000000" w:themeColor="text1"/>
                <w14:textFill>
                  <w14:solidFill>
                    <w14:schemeClr w14:val="tx1"/>
                  </w14:solidFill>
                </w14:textFill>
              </w:rPr>
              <w:t>80 foot-candies</w:t>
            </w:r>
            <w:r>
              <w:rPr>
                <w:rFonts w:hint="eastAsia"/>
                <w:color w:val="000000" w:themeColor="text1"/>
                <w14:textFill>
                  <w14:solidFill>
                    <w14:schemeClr w14:val="tx1"/>
                  </w14:solidFill>
                </w14:textFill>
              </w:rPr>
              <w:t>（即</w:t>
            </w:r>
            <w:r>
              <w:rPr>
                <w:color w:val="000000" w:themeColor="text1"/>
                <w14:textFill>
                  <w14:solidFill>
                    <w14:schemeClr w14:val="tx1"/>
                  </w14:solidFill>
                </w14:textFill>
              </w:rPr>
              <w:t>860</w:t>
            </w:r>
            <w:r>
              <w:rPr>
                <w:rFonts w:hint="eastAsia"/>
                <w:color w:val="000000" w:themeColor="text1"/>
                <w14:textFill>
                  <w14:solidFill>
                    <w14:schemeClr w14:val="tx1"/>
                  </w14:solidFill>
                </w14:textFill>
              </w:rPr>
              <w:t>勒克斯</w:t>
            </w:r>
            <w:r>
              <w:rPr>
                <w:color w:val="000000" w:themeColor="text1"/>
                <w14:textFill>
                  <w14:solidFill>
                    <w14:schemeClr w14:val="tx1"/>
                  </w14:solidFill>
                </w14:textFill>
              </w:rPr>
              <w:t xml:space="preserve"> Lux</w:t>
            </w:r>
            <w:r>
              <w:rPr>
                <w:rFonts w:hint="eastAsia"/>
                <w:color w:val="000000" w:themeColor="text1"/>
                <w14:textFill>
                  <w14:solidFill>
                    <w14:schemeClr w14:val="tx1"/>
                  </w14:solidFill>
                </w14:textFill>
              </w:rPr>
              <w:t>）。嵌于柜体内密封，与通风柜内部隔有安全玻璃隔离</w:t>
            </w:r>
            <w:r>
              <w:rPr>
                <w:color w:val="000000" w:themeColor="text1"/>
                <w14:textFill>
                  <w14:solidFill>
                    <w14:schemeClr w14:val="tx1"/>
                  </w14:solidFill>
                </w14:textFill>
              </w:rPr>
              <w:t>;</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13</w:t>
            </w:r>
            <w:r>
              <w:rPr>
                <w:rFonts w:hint="eastAsia"/>
                <w:color w:val="000000" w:themeColor="text1"/>
                <w14:textFill>
                  <w14:solidFill>
                    <w14:schemeClr w14:val="tx1"/>
                  </w14:solidFill>
                </w14:textFill>
              </w:rPr>
              <w:t>、通风柜基本配置防溅型实验室专用</w:t>
            </w:r>
            <w:r>
              <w:rPr>
                <w:color w:val="000000" w:themeColor="text1"/>
                <w14:textFill>
                  <w14:solidFill>
                    <w14:schemeClr w14:val="tx1"/>
                  </w14:solidFill>
                </w14:textFill>
              </w:rPr>
              <w:t>220V/10A</w:t>
            </w:r>
            <w:r>
              <w:rPr>
                <w:rFonts w:hint="eastAsia"/>
                <w:color w:val="000000" w:themeColor="text1"/>
                <w14:textFill>
                  <w14:solidFill>
                    <w14:schemeClr w14:val="tx1"/>
                  </w14:solidFill>
                </w14:textFill>
              </w:rPr>
              <w:t>电源插座两个，</w:t>
            </w:r>
            <w:r>
              <w:rPr>
                <w:color w:val="000000" w:themeColor="text1"/>
                <w14:textFill>
                  <w14:solidFill>
                    <w14:schemeClr w14:val="tx1"/>
                  </w14:solidFill>
                </w14:textFill>
              </w:rPr>
              <w:t>220V/16A</w:t>
            </w:r>
            <w:r>
              <w:rPr>
                <w:rFonts w:hint="eastAsia"/>
                <w:color w:val="000000" w:themeColor="text1"/>
                <w14:textFill>
                  <w14:solidFill>
                    <w14:schemeClr w14:val="tx1"/>
                  </w14:solidFill>
                </w14:textFill>
              </w:rPr>
              <w:t>电源插座两个。</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14</w:t>
            </w:r>
            <w:r>
              <w:rPr>
                <w:rFonts w:hint="eastAsia"/>
                <w:color w:val="000000" w:themeColor="text1"/>
                <w14:textFill>
                  <w14:solidFill>
                    <w14:schemeClr w14:val="tx1"/>
                  </w14:solidFill>
                </w14:textFill>
              </w:rPr>
              <w:t>、配备杯槽和给排水管，阀门为针型铜质阀门，安装于柜体外部侧壁上，出水口安装在柜体内部，通过柜体外部侧壁上的阀门控制柜内水龙头出水量。</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15</w:t>
            </w:r>
            <w:r>
              <w:rPr>
                <w:rFonts w:hint="eastAsia"/>
                <w:color w:val="000000" w:themeColor="text1"/>
                <w14:textFill>
                  <w14:solidFill>
                    <w14:schemeClr w14:val="tx1"/>
                  </w14:solidFill>
                </w14:textFill>
              </w:rPr>
              <w:t>、通风柜内噪音小于</w:t>
            </w:r>
            <w:r>
              <w:rPr>
                <w:color w:val="000000" w:themeColor="text1"/>
                <w14:textFill>
                  <w14:solidFill>
                    <w14:schemeClr w14:val="tx1"/>
                  </w14:solidFill>
                </w14:textFill>
              </w:rPr>
              <w:t>60</w:t>
            </w:r>
            <w:r>
              <w:rPr>
                <w:rFonts w:hint="eastAsia"/>
                <w:color w:val="000000" w:themeColor="text1"/>
                <w14:textFill>
                  <w14:solidFill>
                    <w14:schemeClr w14:val="tx1"/>
                  </w14:solidFill>
                </w14:textFill>
              </w:rPr>
              <w:t>分贝。</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*16</w:t>
            </w:r>
            <w:r>
              <w:rPr>
                <w:rFonts w:hint="eastAsia"/>
                <w:color w:val="000000" w:themeColor="text1"/>
                <w14:textFill>
                  <w14:solidFill>
                    <w14:schemeClr w14:val="tx1"/>
                  </w14:solidFill>
                </w14:textFill>
              </w:rPr>
              <w:t>、通风柜设计两个防爆柜，柜体颜色分别为红色和黄色，红色防爆柜可用于存放可燃性液体；黄色防爆柜可用于存放易燃液体；</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17</w:t>
            </w:r>
            <w:r>
              <w:rPr>
                <w:rFonts w:hint="eastAsia"/>
                <w:color w:val="000000" w:themeColor="text1"/>
                <w14:textFill>
                  <w14:solidFill>
                    <w14:schemeClr w14:val="tx1"/>
                  </w14:solidFill>
                </w14:textFill>
              </w:rPr>
              <w:t>、防爆柜要求如下：</w:t>
            </w:r>
          </w:p>
          <w:p>
            <w:pPr>
              <w:widowControl/>
              <w:adjustRightInd w:val="0"/>
              <w:snapToGrid w:val="0"/>
              <w:textAlignment w:val="bottom"/>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1</w:t>
            </w:r>
            <w:r>
              <w:rPr>
                <w:rFonts w:hint="eastAsia"/>
                <w:color w:val="000000" w:themeColor="text1"/>
                <w14:textFill>
                  <w14:solidFill>
                    <w14:schemeClr w14:val="tx1"/>
                  </w14:solidFill>
                </w14:textFill>
              </w:rPr>
              <w:t>）采用双层冷轧钢板构造，两层钢板之间相隔有</w:t>
            </w:r>
            <w:r>
              <w:rPr>
                <w:color w:val="000000" w:themeColor="text1"/>
                <w14:textFill>
                  <w14:solidFill>
                    <w14:schemeClr w14:val="tx1"/>
                  </w14:solidFill>
                </w14:textFill>
              </w:rPr>
              <w:t>38mm</w:t>
            </w:r>
            <w:r>
              <w:rPr>
                <w:rFonts w:hint="eastAsia"/>
                <w:color w:val="000000" w:themeColor="text1"/>
                <w14:textFill>
                  <w14:solidFill>
                    <w14:schemeClr w14:val="tx1"/>
                  </w14:solidFill>
                </w14:textFill>
              </w:rPr>
              <w:t>的绝热层，可有效隔离热源；</w:t>
            </w:r>
            <w:r>
              <w:rPr>
                <w:color w:val="000000" w:themeColor="text1"/>
                <w14:textFill>
                  <w14:solidFill>
                    <w14:schemeClr w14:val="tx1"/>
                  </w14:solidFill>
                </w14:textFill>
              </w:rPr>
              <w:t xml:space="preserve">                                                                </w:t>
            </w:r>
          </w:p>
          <w:p>
            <w:pPr>
              <w:widowControl/>
              <w:adjustRightInd w:val="0"/>
              <w:snapToGrid w:val="0"/>
              <w:textAlignment w:val="bottom"/>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2</w:t>
            </w:r>
            <w:r>
              <w:rPr>
                <w:rFonts w:hint="eastAsia"/>
                <w:color w:val="000000" w:themeColor="text1"/>
                <w14:textFill>
                  <w14:solidFill>
                    <w14:schemeClr w14:val="tx1"/>
                  </w14:solidFill>
                </w14:textFill>
              </w:rPr>
              <w:t>）采用优质冷轧钢板经过点焊接构造，表面无焊缝，使用寿命更长，防火性更好，造型更美观；</w:t>
            </w:r>
          </w:p>
          <w:p>
            <w:pPr>
              <w:widowControl/>
              <w:adjustRightInd w:val="0"/>
              <w:snapToGrid w:val="0"/>
              <w:textAlignment w:val="bottom"/>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3</w:t>
            </w:r>
            <w:r>
              <w:rPr>
                <w:rFonts w:hint="eastAsia"/>
                <w:color w:val="000000" w:themeColor="text1"/>
                <w14:textFill>
                  <w14:solidFill>
                    <w14:schemeClr w14:val="tx1"/>
                  </w14:solidFill>
                </w14:textFill>
              </w:rPr>
              <w:t>）机械锁三点联动门锁双锁设计，即使不转动把手也可保证完全闭合，提供最大程度防火安全；</w:t>
            </w:r>
          </w:p>
          <w:p>
            <w:pPr>
              <w:widowControl/>
              <w:adjustRightInd w:val="0"/>
              <w:snapToGrid w:val="0"/>
              <w:textAlignment w:val="bottom"/>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4</w:t>
            </w:r>
            <w:r>
              <w:rPr>
                <w:rFonts w:hint="eastAsia"/>
                <w:color w:val="000000" w:themeColor="text1"/>
                <w14:textFill>
                  <w14:solidFill>
                    <w14:schemeClr w14:val="tx1"/>
                  </w14:solidFill>
                </w14:textFill>
              </w:rPr>
              <w:t>）装设有防闭火装置的双透气孔，有目的地置于底部及其相对的顶部；</w:t>
            </w:r>
          </w:p>
          <w:p>
            <w:pPr>
              <w:widowControl/>
              <w:adjustRightInd w:val="0"/>
              <w:snapToGrid w:val="0"/>
              <w:textAlignment w:val="bottom"/>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5</w:t>
            </w:r>
            <w:r>
              <w:rPr>
                <w:rFonts w:hint="eastAsia"/>
                <w:color w:val="000000" w:themeColor="text1"/>
                <w14:textFill>
                  <w14:solidFill>
                    <w14:schemeClr w14:val="tx1"/>
                  </w14:solidFill>
                </w14:textFill>
              </w:rPr>
              <w:t>）防溢漏式层板可在上下之间自由调节，承重≥</w:t>
            </w:r>
            <w:r>
              <w:rPr>
                <w:color w:val="000000" w:themeColor="text1"/>
                <w14:textFill>
                  <w14:solidFill>
                    <w14:schemeClr w14:val="tx1"/>
                  </w14:solidFill>
                </w14:textFill>
              </w:rPr>
              <w:t>150kg</w:t>
            </w:r>
            <w:r>
              <w:rPr>
                <w:rFonts w:hint="eastAsia"/>
                <w:color w:val="000000" w:themeColor="text1"/>
                <w14:textFill>
                  <w14:solidFill>
                    <w14:schemeClr w14:val="tx1"/>
                  </w14:solidFill>
                </w14:textFill>
              </w:rPr>
              <w:t>；</w:t>
            </w:r>
          </w:p>
          <w:p>
            <w:pPr>
              <w:widowControl/>
              <w:adjustRightInd w:val="0"/>
              <w:snapToGrid w:val="0"/>
              <w:textAlignment w:val="bottom"/>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6</w:t>
            </w:r>
            <w:r>
              <w:rPr>
                <w:rFonts w:hint="eastAsia"/>
                <w:color w:val="000000" w:themeColor="text1"/>
                <w14:textFill>
                  <w14:solidFill>
                    <w14:schemeClr w14:val="tx1"/>
                  </w14:solidFill>
                </w14:textFill>
              </w:rPr>
              <w:t>）柜子内外都喷涂有环氧树脂静电喷涂，保持高光洁度，最大限度降低腐蚀和湿气的影响；</w:t>
            </w:r>
          </w:p>
          <w:p>
            <w:pPr>
              <w:widowControl/>
              <w:adjustRightInd w:val="0"/>
              <w:snapToGrid w:val="0"/>
              <w:textAlignment w:val="bottom"/>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7</w:t>
            </w:r>
            <w:r>
              <w:rPr>
                <w:rFonts w:hint="eastAsia"/>
                <w:color w:val="000000" w:themeColor="text1"/>
                <w14:textFill>
                  <w14:solidFill>
                    <w14:schemeClr w14:val="tx1"/>
                  </w14:solidFill>
                </w14:textFill>
              </w:rPr>
              <w:t>）柜体顶部、后背设计成气体压力释放处，缓解发生爆炸时压力向四周喷溅；</w:t>
            </w:r>
          </w:p>
          <w:p>
            <w:pPr>
              <w:widowControl/>
              <w:adjustRightInd w:val="0"/>
              <w:snapToGrid w:val="0"/>
              <w:textAlignment w:val="bottom"/>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8</w:t>
            </w:r>
            <w:r>
              <w:rPr>
                <w:rFonts w:hint="eastAsia"/>
                <w:color w:val="000000" w:themeColor="text1"/>
                <w14:textFill>
                  <w14:solidFill>
                    <w14:schemeClr w14:val="tx1"/>
                  </w14:solidFill>
                </w14:textFill>
              </w:rPr>
              <w:t>）采用手动双开开门设计，为确保安全柜防火防爆性能，双开门的门缝不大于</w:t>
            </w:r>
            <w:r>
              <w:rPr>
                <w:color w:val="000000" w:themeColor="text1"/>
                <w14:textFill>
                  <w14:solidFill>
                    <w14:schemeClr w14:val="tx1"/>
                  </w14:solidFill>
                </w14:textFill>
              </w:rPr>
              <w:t>3mm</w:t>
            </w:r>
            <w:r>
              <w:rPr>
                <w:rFonts w:hint="eastAsia"/>
                <w:color w:val="000000" w:themeColor="text1"/>
                <w14:textFill>
                  <w14:solidFill>
                    <w14:schemeClr w14:val="tx1"/>
                  </w14:solidFill>
                </w14:textFill>
              </w:rPr>
              <w:t>，且门缝上下大小一致，左右门的高度必须一致；</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18</w:t>
            </w:r>
            <w:r>
              <w:rPr>
                <w:rFonts w:hint="eastAsia"/>
                <w:color w:val="000000" w:themeColor="text1"/>
                <w14:textFill>
                  <w14:solidFill>
                    <w14:schemeClr w14:val="tx1"/>
                  </w14:solidFill>
                </w14:textFill>
              </w:rPr>
              <w:t>、加配六个万向排气罩：壁长≥1800,管径：</w:t>
            </w:r>
            <w:r>
              <w:rPr>
                <w:color w:val="000000" w:themeColor="text1"/>
                <w14:textFill>
                  <w14:solidFill>
                    <w14:schemeClr w14:val="tx1"/>
                  </w14:solidFill>
                </w14:textFill>
              </w:rPr>
              <w:t>75mm-90mm,</w:t>
            </w:r>
            <w:r>
              <w:rPr>
                <w:rFonts w:hint="eastAsia"/>
                <w:color w:val="000000" w:themeColor="text1"/>
                <w14:textFill>
                  <w14:solidFill>
                    <w14:schemeClr w14:val="tx1"/>
                  </w14:solidFill>
                </w14:textFill>
              </w:rPr>
              <w:t>集气罩口直径≥370mm，可</w:t>
            </w:r>
            <w:r>
              <w:rPr>
                <w:color w:val="000000" w:themeColor="text1"/>
                <w14:textFill>
                  <w14:solidFill>
                    <w14:schemeClr w14:val="tx1"/>
                  </w14:solidFill>
                </w14:textFill>
              </w:rPr>
              <w:t>360°</w:t>
            </w:r>
            <w:r>
              <w:rPr>
                <w:rFonts w:hint="eastAsia"/>
                <w:color w:val="000000" w:themeColor="text1"/>
                <w14:textFill>
                  <w14:solidFill>
                    <w14:schemeClr w14:val="tx1"/>
                  </w14:solidFill>
                </w14:textFill>
              </w:rPr>
              <w:t>旋转，以固定架为中心活动半径≥1200mm；</w:t>
            </w:r>
          </w:p>
        </w:tc>
      </w:tr>
      <w:tr>
        <w:tblPrEx>
          <w:tblCellMar>
            <w:top w:w="15" w:type="dxa"/>
            <w:left w:w="15" w:type="dxa"/>
            <w:bottom w:w="15" w:type="dxa"/>
            <w:right w:w="15" w:type="dxa"/>
          </w:tblCellMar>
        </w:tblPrEx>
        <w:trPr>
          <w:trHeight w:val="510" w:hRule="atLeast"/>
        </w:trPr>
        <w:tc>
          <w:tcPr>
            <w:tcW w:w="532" w:type="dxa"/>
            <w:tcBorders>
              <w:top w:val="nil"/>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themeColor="text1"/>
                <w:kern w:val="0"/>
                <w:sz w:val="24"/>
                <w14:textFill>
                  <w14:solidFill>
                    <w14:schemeClr w14:val="tx1"/>
                  </w14:solidFill>
                </w14:textFill>
              </w:rPr>
            </w:pPr>
            <w:r>
              <w:rPr>
                <w:b/>
                <w:bCs/>
                <w:color w:val="000000" w:themeColor="text1"/>
                <w14:textFill>
                  <w14:solidFill>
                    <w14:schemeClr w14:val="tx1"/>
                  </w14:solidFill>
                </w14:textFill>
              </w:rPr>
              <w:t>4</w:t>
            </w:r>
          </w:p>
        </w:tc>
        <w:tc>
          <w:tcPr>
            <w:tcW w:w="1023" w:type="dxa"/>
            <w:tcBorders>
              <w:top w:val="nil"/>
              <w:left w:val="nil"/>
              <w:bottom w:val="single" w:color="000000" w:sz="4" w:space="0"/>
              <w:right w:val="single" w:color="000000" w:sz="4" w:space="0"/>
            </w:tcBorders>
            <w:shd w:val="clear" w:color="auto" w:fill="auto"/>
            <w:vAlign w:val="center"/>
          </w:tcPr>
          <w:p>
            <w:pPr>
              <w:widowControl/>
              <w:jc w:val="center"/>
              <w:textAlignment w:val="center"/>
              <w:rPr>
                <w:color w:val="000000" w:themeColor="text1"/>
                <w:kern w:val="0"/>
                <w:sz w:val="24"/>
                <w14:textFill>
                  <w14:solidFill>
                    <w14:schemeClr w14:val="tx1"/>
                  </w14:solidFill>
                </w14:textFill>
              </w:rPr>
            </w:pPr>
            <w:r>
              <w:rPr>
                <w:rFonts w:hint="eastAsia"/>
                <w:color w:val="000000" w:themeColor="text1"/>
                <w14:textFill>
                  <w14:solidFill>
                    <w14:schemeClr w14:val="tx1"/>
                  </w14:solidFill>
                </w14:textFill>
              </w:rPr>
              <w:t>液相色谱</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质谱联用仪</w:t>
            </w:r>
          </w:p>
        </w:tc>
        <w:tc>
          <w:tcPr>
            <w:tcW w:w="567" w:type="dxa"/>
            <w:tcBorders>
              <w:top w:val="nil"/>
              <w:left w:val="nil"/>
              <w:bottom w:val="single" w:color="000000" w:sz="4" w:space="0"/>
              <w:right w:val="single" w:color="000000" w:sz="4" w:space="0"/>
            </w:tcBorders>
            <w:shd w:val="clear" w:color="auto" w:fill="auto"/>
            <w:vAlign w:val="center"/>
          </w:tcPr>
          <w:p>
            <w:pPr>
              <w:widowControl/>
              <w:jc w:val="center"/>
              <w:textAlignment w:val="center"/>
              <w:rPr>
                <w:color w:val="000000" w:themeColor="text1"/>
                <w:kern w:val="0"/>
                <w:sz w:val="24"/>
                <w14:textFill>
                  <w14:solidFill>
                    <w14:schemeClr w14:val="tx1"/>
                  </w14:solidFill>
                </w14:textFill>
              </w:rPr>
            </w:pPr>
            <w:r>
              <w:rPr>
                <w:rFonts w:hint="eastAsia"/>
                <w:b/>
                <w:bCs/>
                <w:color w:val="000000" w:themeColor="text1"/>
                <w14:textFill>
                  <w14:solidFill>
                    <w14:schemeClr w14:val="tx1"/>
                  </w14:solidFill>
                </w14:textFill>
              </w:rPr>
              <w:t>套</w:t>
            </w:r>
          </w:p>
        </w:tc>
        <w:tc>
          <w:tcPr>
            <w:tcW w:w="567" w:type="dxa"/>
            <w:tcBorders>
              <w:top w:val="nil"/>
              <w:left w:val="nil"/>
              <w:bottom w:val="single" w:color="000000" w:sz="4" w:space="0"/>
              <w:right w:val="single" w:color="000000" w:sz="4" w:space="0"/>
            </w:tcBorders>
            <w:shd w:val="clear" w:color="auto" w:fill="auto"/>
            <w:vAlign w:val="center"/>
          </w:tcPr>
          <w:p>
            <w:pPr>
              <w:widowControl/>
              <w:jc w:val="center"/>
              <w:textAlignment w:val="center"/>
              <w:rPr>
                <w:color w:val="000000" w:themeColor="text1"/>
                <w:kern w:val="0"/>
                <w:sz w:val="24"/>
                <w14:textFill>
                  <w14:solidFill>
                    <w14:schemeClr w14:val="tx1"/>
                  </w14:solidFill>
                </w14:textFill>
              </w:rPr>
            </w:pPr>
            <w:r>
              <w:rPr>
                <w:b/>
                <w:bCs/>
                <w:color w:val="000000" w:themeColor="text1"/>
                <w14:textFill>
                  <w14:solidFill>
                    <w14:schemeClr w14:val="tx1"/>
                  </w14:solidFill>
                </w14:textFill>
              </w:rPr>
              <w:t>1</w:t>
            </w:r>
          </w:p>
        </w:tc>
        <w:tc>
          <w:tcPr>
            <w:tcW w:w="6378" w:type="dxa"/>
            <w:tcBorders>
              <w:top w:val="nil"/>
              <w:left w:val="nil"/>
              <w:bottom w:val="single" w:color="000000" w:sz="4" w:space="0"/>
              <w:right w:val="single" w:color="000000" w:sz="4" w:space="0"/>
            </w:tcBorders>
            <w:shd w:val="clear" w:color="auto" w:fill="auto"/>
            <w:vAlign w:val="bottom"/>
          </w:tcPr>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1 </w:t>
            </w:r>
            <w:r>
              <w:rPr>
                <w:rFonts w:hint="eastAsia"/>
                <w:color w:val="000000" w:themeColor="text1"/>
                <w14:textFill>
                  <w14:solidFill>
                    <w14:schemeClr w14:val="tx1"/>
                  </w14:solidFill>
                </w14:textFill>
              </w:rPr>
              <w:t>系统构成：由超高效液相色谱仪、三重四极杆质谱仪、真空系统、供气系统、仪器控制和数据管理系统五部分构成。</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*1.1</w:t>
            </w:r>
            <w:r>
              <w:rPr>
                <w:rFonts w:hint="eastAsia"/>
                <w:color w:val="000000" w:themeColor="text1"/>
                <w14:textFill>
                  <w14:solidFill>
                    <w14:schemeClr w14:val="tx1"/>
                  </w14:solidFill>
                </w14:textFill>
              </w:rPr>
              <w:t>液相色谱与串联三重四极杆质谱仪均为同一厂家生产，保证联机技术的稳定性。</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2 </w:t>
            </w:r>
            <w:r>
              <w:rPr>
                <w:rFonts w:hint="eastAsia"/>
                <w:color w:val="000000" w:themeColor="text1"/>
                <w14:textFill>
                  <w14:solidFill>
                    <w14:schemeClr w14:val="tx1"/>
                  </w14:solidFill>
                </w14:textFill>
              </w:rPr>
              <w:t>液相色谱仪配置及性能指标</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2.1 </w:t>
            </w:r>
            <w:r>
              <w:rPr>
                <w:rFonts w:hint="eastAsia"/>
                <w:color w:val="000000" w:themeColor="text1"/>
                <w14:textFill>
                  <w14:solidFill>
                    <w14:schemeClr w14:val="tx1"/>
                  </w14:solidFill>
                </w14:textFill>
              </w:rPr>
              <w:t>超高压梯度泵</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2.1.1 </w:t>
            </w:r>
            <w:r>
              <w:rPr>
                <w:rFonts w:hint="eastAsia"/>
                <w:color w:val="000000" w:themeColor="text1"/>
                <w14:textFill>
                  <w14:solidFill>
                    <w14:schemeClr w14:val="tx1"/>
                  </w14:solidFill>
                </w14:textFill>
              </w:rPr>
              <w:t>通过溶剂选择阀切换，可任意选择</w:t>
            </w:r>
            <w:r>
              <w:rPr>
                <w:color w:val="000000" w:themeColor="text1"/>
                <w14:textFill>
                  <w14:solidFill>
                    <w14:schemeClr w14:val="tx1"/>
                  </w14:solidFill>
                </w14:textFill>
              </w:rPr>
              <w:t>A</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B</w:t>
            </w:r>
            <w:r>
              <w:rPr>
                <w:rFonts w:hint="eastAsia"/>
                <w:color w:val="000000" w:themeColor="text1"/>
                <w14:textFill>
                  <w14:solidFill>
                    <w14:schemeClr w14:val="tx1"/>
                  </w14:solidFill>
                </w14:textFill>
              </w:rPr>
              <w:t>和</w:t>
            </w:r>
            <w:r>
              <w:rPr>
                <w:color w:val="000000" w:themeColor="text1"/>
                <w14:textFill>
                  <w14:solidFill>
                    <w14:schemeClr w14:val="tx1"/>
                  </w14:solidFill>
                </w14:textFill>
              </w:rPr>
              <w:t>C</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D</w:t>
            </w:r>
            <w:r>
              <w:rPr>
                <w:rFonts w:hint="eastAsia"/>
                <w:color w:val="000000" w:themeColor="text1"/>
                <w14:textFill>
                  <w14:solidFill>
                    <w14:schemeClr w14:val="tx1"/>
                  </w14:solidFill>
                </w14:textFill>
              </w:rPr>
              <w:t>中的两种溶液作为系统流动相，内置真空脱气机，每个泵单独脱气（</w:t>
            </w:r>
            <w:r>
              <w:rPr>
                <w:color w:val="000000" w:themeColor="text1"/>
                <w14:textFill>
                  <w14:solidFill>
                    <w14:schemeClr w14:val="tx1"/>
                  </w14:solidFill>
                </w14:textFill>
              </w:rPr>
              <w:t>A / B</w:t>
            </w:r>
            <w:r>
              <w:rPr>
                <w:rFonts w:hint="eastAsia"/>
                <w:color w:val="000000" w:themeColor="text1"/>
                <w14:textFill>
                  <w14:solidFill>
                    <w14:schemeClr w14:val="tx1"/>
                  </w14:solidFill>
                </w14:textFill>
              </w:rPr>
              <w:t>）。</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2.1.2 </w:t>
            </w:r>
            <w:r>
              <w:rPr>
                <w:rFonts w:hint="eastAsia"/>
                <w:color w:val="000000" w:themeColor="text1"/>
                <w14:textFill>
                  <w14:solidFill>
                    <w14:schemeClr w14:val="tx1"/>
                  </w14:solidFill>
                </w14:textFill>
              </w:rPr>
              <w:t>流量范围：</w:t>
            </w:r>
            <w:r>
              <w:rPr>
                <w:color w:val="000000" w:themeColor="text1"/>
                <w14:textFill>
                  <w14:solidFill>
                    <w14:schemeClr w14:val="tx1"/>
                  </w14:solidFill>
                </w14:textFill>
              </w:rPr>
              <w:t>1-4000 µL/min</w:t>
            </w:r>
            <w:r>
              <w:rPr>
                <w:rFonts w:hint="eastAsia"/>
                <w:color w:val="000000" w:themeColor="text1"/>
                <w14:textFill>
                  <w14:solidFill>
                    <w14:schemeClr w14:val="tx1"/>
                  </w14:solidFill>
                </w14:textFill>
              </w:rPr>
              <w:t>，以</w:t>
            </w:r>
            <w:r>
              <w:rPr>
                <w:color w:val="000000" w:themeColor="text1"/>
                <w14:textFill>
                  <w14:solidFill>
                    <w14:schemeClr w14:val="tx1"/>
                  </w14:solidFill>
                </w14:textFill>
              </w:rPr>
              <w:t>1.0uL/min</w:t>
            </w:r>
            <w:r>
              <w:rPr>
                <w:rFonts w:hint="eastAsia"/>
                <w:color w:val="000000" w:themeColor="text1"/>
                <w14:textFill>
                  <w14:solidFill>
                    <w14:schemeClr w14:val="tx1"/>
                  </w14:solidFill>
                </w14:textFill>
              </w:rPr>
              <w:t>增量。</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*2.1.3 </w:t>
            </w:r>
            <w:r>
              <w:rPr>
                <w:rFonts w:hint="eastAsia"/>
                <w:color w:val="000000" w:themeColor="text1"/>
                <w14:textFill>
                  <w14:solidFill>
                    <w14:schemeClr w14:val="tx1"/>
                  </w14:solidFill>
                </w14:textFill>
              </w:rPr>
              <w:t xml:space="preserve">最大压力：≥18000psi  </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2.2.4 </w:t>
            </w:r>
            <w:r>
              <w:rPr>
                <w:rFonts w:hint="eastAsia"/>
                <w:color w:val="000000" w:themeColor="text1"/>
                <w14:textFill>
                  <w14:solidFill>
                    <w14:schemeClr w14:val="tx1"/>
                  </w14:solidFill>
                </w14:textFill>
              </w:rPr>
              <w:t>流速准确度：≤1%</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2.1.5 </w:t>
            </w:r>
            <w:r>
              <w:rPr>
                <w:rFonts w:hint="eastAsia"/>
                <w:color w:val="000000" w:themeColor="text1"/>
                <w14:textFill>
                  <w14:solidFill>
                    <w14:schemeClr w14:val="tx1"/>
                  </w14:solidFill>
                </w14:textFill>
              </w:rPr>
              <w:t>流速精密度：≤0.07%RSD</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2.1.6 </w:t>
            </w:r>
            <w:r>
              <w:rPr>
                <w:rFonts w:hint="eastAsia"/>
                <w:color w:val="000000" w:themeColor="text1"/>
                <w14:textFill>
                  <w14:solidFill>
                    <w14:schemeClr w14:val="tx1"/>
                  </w14:solidFill>
                </w14:textFill>
              </w:rPr>
              <w:t>延迟体积：＜</w:t>
            </w:r>
            <w:r>
              <w:rPr>
                <w:color w:val="000000" w:themeColor="text1"/>
                <w14:textFill>
                  <w14:solidFill>
                    <w14:schemeClr w14:val="tx1"/>
                  </w14:solidFill>
                </w14:textFill>
              </w:rPr>
              <w:t>50uL</w:t>
            </w:r>
            <w:r>
              <w:rPr>
                <w:rFonts w:hint="eastAsia"/>
                <w:color w:val="000000" w:themeColor="text1"/>
                <w14:textFill>
                  <w14:solidFill>
                    <w14:schemeClr w14:val="tx1"/>
                  </w14:solidFill>
                </w14:textFill>
              </w:rPr>
              <w:t>，含</w:t>
            </w:r>
            <w:r>
              <w:rPr>
                <w:color w:val="000000" w:themeColor="text1"/>
                <w14:textFill>
                  <w14:solidFill>
                    <w14:schemeClr w14:val="tx1"/>
                  </w14:solidFill>
                </w14:textFill>
              </w:rPr>
              <w:t>35uL</w:t>
            </w:r>
            <w:r>
              <w:rPr>
                <w:rFonts w:hint="eastAsia"/>
                <w:color w:val="000000" w:themeColor="text1"/>
                <w14:textFill>
                  <w14:solidFill>
                    <w14:schemeClr w14:val="tx1"/>
                  </w14:solidFill>
                </w14:textFill>
              </w:rPr>
              <w:t>混合器</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2.2 </w:t>
            </w:r>
            <w:r>
              <w:rPr>
                <w:rFonts w:hint="eastAsia"/>
                <w:color w:val="000000" w:themeColor="text1"/>
                <w14:textFill>
                  <w14:solidFill>
                    <w14:schemeClr w14:val="tx1"/>
                  </w14:solidFill>
                </w14:textFill>
              </w:rPr>
              <w:t>自动进样器</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2.2.1 </w:t>
            </w:r>
            <w:r>
              <w:rPr>
                <w:rFonts w:hint="eastAsia"/>
                <w:color w:val="000000" w:themeColor="text1"/>
                <w14:textFill>
                  <w14:solidFill>
                    <w14:schemeClr w14:val="tx1"/>
                  </w14:solidFill>
                </w14:textFill>
              </w:rPr>
              <w:t>三种进样模式：全定量环进样、半定量环进样、微升进样</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2.2.2 </w:t>
            </w:r>
            <w:r>
              <w:rPr>
                <w:rFonts w:hint="eastAsia"/>
                <w:color w:val="000000" w:themeColor="text1"/>
                <w14:textFill>
                  <w14:solidFill>
                    <w14:schemeClr w14:val="tx1"/>
                  </w14:solidFill>
                </w14:textFill>
              </w:rPr>
              <w:t>进样重复性：全定量环进样</w:t>
            </w:r>
            <w:r>
              <w:rPr>
                <w:color w:val="000000" w:themeColor="text1"/>
                <w14:textFill>
                  <w14:solidFill>
                    <w14:schemeClr w14:val="tx1"/>
                  </w14:solidFill>
                </w14:textFill>
              </w:rPr>
              <w:t>&lt;0.3%RSD</w:t>
            </w:r>
            <w:r>
              <w:rPr>
                <w:rFonts w:hint="eastAsia"/>
                <w:color w:val="000000" w:themeColor="text1"/>
                <w14:textFill>
                  <w14:solidFill>
                    <w14:schemeClr w14:val="tx1"/>
                  </w14:solidFill>
                </w14:textFill>
              </w:rPr>
              <w:t>；半定量环进样</w:t>
            </w:r>
            <w:r>
              <w:rPr>
                <w:color w:val="000000" w:themeColor="text1"/>
                <w14:textFill>
                  <w14:solidFill>
                    <w14:schemeClr w14:val="tx1"/>
                  </w14:solidFill>
                </w14:textFill>
              </w:rPr>
              <w:t>&lt;0.5%RSD</w:t>
            </w:r>
            <w:r>
              <w:rPr>
                <w:rFonts w:hint="eastAsia"/>
                <w:color w:val="000000" w:themeColor="text1"/>
                <w14:textFill>
                  <w14:solidFill>
                    <w14:schemeClr w14:val="tx1"/>
                  </w14:solidFill>
                </w14:textFill>
              </w:rPr>
              <w:t>；微升进样</w:t>
            </w:r>
            <w:r>
              <w:rPr>
                <w:color w:val="000000" w:themeColor="text1"/>
                <w14:textFill>
                  <w14:solidFill>
                    <w14:schemeClr w14:val="tx1"/>
                  </w14:solidFill>
                </w14:textFill>
              </w:rPr>
              <w:t>&lt;1.0%RSD</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2.2.3 </w:t>
            </w:r>
            <w:r>
              <w:rPr>
                <w:rFonts w:hint="eastAsia"/>
                <w:color w:val="000000" w:themeColor="text1"/>
                <w14:textFill>
                  <w14:solidFill>
                    <w14:schemeClr w14:val="tx1"/>
                  </w14:solidFill>
                </w14:textFill>
              </w:rPr>
              <w:t>最大样品容量：</w:t>
            </w:r>
            <w:r>
              <w:rPr>
                <w:color w:val="000000" w:themeColor="text1"/>
                <w14:textFill>
                  <w14:solidFill>
                    <w14:schemeClr w14:val="tx1"/>
                  </w14:solidFill>
                </w14:textFill>
              </w:rPr>
              <w:t>384</w:t>
            </w:r>
            <w:r>
              <w:rPr>
                <w:rFonts w:hint="eastAsia"/>
                <w:color w:val="000000" w:themeColor="text1"/>
                <w14:textFill>
                  <w14:solidFill>
                    <w14:schemeClr w14:val="tx1"/>
                  </w14:solidFill>
                </w14:textFill>
              </w:rPr>
              <w:t>位， ≥96位</w:t>
            </w:r>
            <w:r>
              <w:rPr>
                <w:color w:val="000000" w:themeColor="text1"/>
                <w14:textFill>
                  <w14:solidFill>
                    <w14:schemeClr w14:val="tx1"/>
                  </w14:solidFill>
                </w14:textFill>
              </w:rPr>
              <w:t>2mL</w:t>
            </w:r>
            <w:r>
              <w:rPr>
                <w:rFonts w:hint="eastAsia"/>
                <w:color w:val="000000" w:themeColor="text1"/>
                <w14:textFill>
                  <w14:solidFill>
                    <w14:schemeClr w14:val="tx1"/>
                  </w14:solidFill>
                </w14:textFill>
              </w:rPr>
              <w:t>样品瓶</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2.3 </w:t>
            </w:r>
            <w:r>
              <w:rPr>
                <w:rFonts w:hint="eastAsia"/>
                <w:color w:val="000000" w:themeColor="text1"/>
                <w14:textFill>
                  <w14:solidFill>
                    <w14:schemeClr w14:val="tx1"/>
                  </w14:solidFill>
                </w14:textFill>
              </w:rPr>
              <w:t>柱温箱</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2.3.1 </w:t>
            </w:r>
            <w:r>
              <w:rPr>
                <w:rFonts w:hint="eastAsia"/>
                <w:color w:val="000000" w:themeColor="text1"/>
                <w14:textFill>
                  <w14:solidFill>
                    <w14:schemeClr w14:val="tx1"/>
                  </w14:solidFill>
                </w14:textFill>
              </w:rPr>
              <w:t>温控范围：室温+5℃~90℃</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2.3.2 </w:t>
            </w:r>
            <w:r>
              <w:rPr>
                <w:rFonts w:hint="eastAsia"/>
                <w:color w:val="000000" w:themeColor="text1"/>
                <w14:textFill>
                  <w14:solidFill>
                    <w14:schemeClr w14:val="tx1"/>
                  </w14:solidFill>
                </w14:textFill>
              </w:rPr>
              <w:t>温控方式：流动相预热</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强制空气循环</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2.3.3 </w:t>
            </w:r>
            <w:r>
              <w:rPr>
                <w:rFonts w:hint="eastAsia"/>
                <w:color w:val="000000" w:themeColor="text1"/>
                <w14:textFill>
                  <w14:solidFill>
                    <w14:schemeClr w14:val="tx1"/>
                  </w14:solidFill>
                </w14:textFill>
              </w:rPr>
              <w:t xml:space="preserve">最大柱容量：色谱柱数量≥5根，长度≥250 mm </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3 </w:t>
            </w:r>
            <w:r>
              <w:rPr>
                <w:rFonts w:hint="eastAsia"/>
                <w:color w:val="000000" w:themeColor="text1"/>
                <w14:textFill>
                  <w14:solidFill>
                    <w14:schemeClr w14:val="tx1"/>
                  </w14:solidFill>
                </w14:textFill>
              </w:rPr>
              <w:t>质谱系统配置及性能指标要求</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3.1 </w:t>
            </w:r>
            <w:r>
              <w:rPr>
                <w:rFonts w:hint="eastAsia"/>
                <w:color w:val="000000" w:themeColor="text1"/>
                <w14:textFill>
                  <w14:solidFill>
                    <w14:schemeClr w14:val="tx1"/>
                  </w14:solidFill>
                </w14:textFill>
              </w:rPr>
              <w:t>离子源</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*3.1.1 </w:t>
            </w:r>
            <w:r>
              <w:rPr>
                <w:rFonts w:hint="eastAsia"/>
                <w:color w:val="000000" w:themeColor="text1"/>
                <w14:textFill>
                  <w14:solidFill>
                    <w14:schemeClr w14:val="tx1"/>
                  </w14:solidFill>
                </w14:textFill>
              </w:rPr>
              <w:t>正交垂直喷雾设计，系统抗污染能力强，背景噪音低。</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3.1.2 </w:t>
            </w:r>
            <w:r>
              <w:rPr>
                <w:rFonts w:hint="eastAsia"/>
                <w:color w:val="000000" w:themeColor="text1"/>
                <w14:textFill>
                  <w14:solidFill>
                    <w14:schemeClr w14:val="tx1"/>
                  </w14:solidFill>
                </w14:textFill>
              </w:rPr>
              <w:t>离子源供气：</w:t>
            </w:r>
            <w:r>
              <w:rPr>
                <w:color w:val="000000" w:themeColor="text1"/>
                <w14:textFill>
                  <w14:solidFill>
                    <w14:schemeClr w14:val="tx1"/>
                  </w14:solidFill>
                </w14:textFill>
              </w:rPr>
              <w:t>1</w:t>
            </w:r>
            <w:r>
              <w:rPr>
                <w:rFonts w:hint="eastAsia"/>
                <w:color w:val="000000" w:themeColor="text1"/>
                <w14:textFill>
                  <w14:solidFill>
                    <w14:schemeClr w14:val="tx1"/>
                  </w14:solidFill>
                </w14:textFill>
              </w:rPr>
              <w:t>路雾化气和</w:t>
            </w:r>
            <w:r>
              <w:rPr>
                <w:color w:val="000000" w:themeColor="text1"/>
                <w14:textFill>
                  <w14:solidFill>
                    <w14:schemeClr w14:val="tx1"/>
                  </w14:solidFill>
                </w14:textFill>
              </w:rPr>
              <w:t>2</w:t>
            </w:r>
            <w:r>
              <w:rPr>
                <w:rFonts w:hint="eastAsia"/>
                <w:color w:val="000000" w:themeColor="text1"/>
                <w14:textFill>
                  <w14:solidFill>
                    <w14:schemeClr w14:val="tx1"/>
                  </w14:solidFill>
                </w14:textFill>
              </w:rPr>
              <w:t>路去溶剂气，确保离子化更为充分；流速可在软件界面下设置并运行，确保最大的离子化效率和抗基质干扰能力。</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3.1.3 </w:t>
            </w:r>
            <w:r>
              <w:rPr>
                <w:rFonts w:hint="eastAsia"/>
                <w:color w:val="000000" w:themeColor="text1"/>
                <w14:textFill>
                  <w14:solidFill>
                    <w14:schemeClr w14:val="tx1"/>
                  </w14:solidFill>
                </w14:textFill>
              </w:rPr>
              <w:t>最大喷雾电压为</w:t>
            </w:r>
            <w:r>
              <w:rPr>
                <w:color w:val="000000" w:themeColor="text1"/>
                <w14:textFill>
                  <w14:solidFill>
                    <w14:schemeClr w14:val="tx1"/>
                  </w14:solidFill>
                </w14:textFill>
              </w:rPr>
              <w:t>6 kV</w:t>
            </w:r>
            <w:r>
              <w:rPr>
                <w:rFonts w:hint="eastAsia"/>
                <w:color w:val="000000" w:themeColor="text1"/>
                <w14:textFill>
                  <w14:solidFill>
                    <w14:schemeClr w14:val="tx1"/>
                  </w14:solidFill>
                </w14:textFill>
              </w:rPr>
              <w:t>，电压可在软件界面下设置并运行，确保最大的离子化效率和抗基质干扰能力。</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*3.1.4 </w:t>
            </w:r>
            <w:r>
              <w:rPr>
                <w:rFonts w:hint="eastAsia"/>
                <w:color w:val="000000" w:themeColor="text1"/>
                <w14:textFill>
                  <w14:solidFill>
                    <w14:schemeClr w14:val="tx1"/>
                  </w14:solidFill>
                </w14:textFill>
              </w:rPr>
              <w:t>辅助加热气温度：≥700℃，温度可在软件界面下设置并运行，确保最大的离子化效率和抗基质干扰能力。</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3.2 </w:t>
            </w:r>
            <w:r>
              <w:rPr>
                <w:rFonts w:hint="eastAsia"/>
                <w:color w:val="000000" w:themeColor="text1"/>
                <w14:textFill>
                  <w14:solidFill>
                    <w14:schemeClr w14:val="tx1"/>
                  </w14:solidFill>
                </w14:textFill>
              </w:rPr>
              <w:t>真空接口及离子传输系统</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*3.2.1 </w:t>
            </w:r>
            <w:r>
              <w:rPr>
                <w:rFonts w:hint="eastAsia"/>
                <w:color w:val="000000" w:themeColor="text1"/>
                <w14:textFill>
                  <w14:solidFill>
                    <w14:schemeClr w14:val="tx1"/>
                  </w14:solidFill>
                </w14:textFill>
              </w:rPr>
              <w:t>离子源接口采用锥孔设计或为毛细管设计，若为毛细管设计，由于损耗较大，需额外多配</w:t>
            </w:r>
            <w:r>
              <w:rPr>
                <w:color w:val="000000" w:themeColor="text1"/>
                <w14:textFill>
                  <w14:solidFill>
                    <w14:schemeClr w14:val="tx1"/>
                  </w14:solidFill>
                </w14:textFill>
              </w:rPr>
              <w:t>50</w:t>
            </w:r>
            <w:r>
              <w:rPr>
                <w:rFonts w:hint="eastAsia"/>
                <w:color w:val="000000" w:themeColor="text1"/>
                <w14:textFill>
                  <w14:solidFill>
                    <w14:schemeClr w14:val="tx1"/>
                  </w14:solidFill>
                </w14:textFill>
              </w:rPr>
              <w:t>根毛细管。</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3.2.2 </w:t>
            </w:r>
            <w:r>
              <w:rPr>
                <w:rFonts w:hint="eastAsia"/>
                <w:color w:val="000000" w:themeColor="text1"/>
                <w14:textFill>
                  <w14:solidFill>
                    <w14:schemeClr w14:val="tx1"/>
                  </w14:solidFill>
                </w14:textFill>
              </w:rPr>
              <w:t>离子源接口温度：≥110℃，进一步去除溶剂，提升抗污染能力。</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3.3 </w:t>
            </w:r>
            <w:r>
              <w:rPr>
                <w:rFonts w:hint="eastAsia"/>
                <w:color w:val="000000" w:themeColor="text1"/>
                <w14:textFill>
                  <w14:solidFill>
                    <w14:schemeClr w14:val="tx1"/>
                  </w14:solidFill>
                </w14:textFill>
              </w:rPr>
              <w:t>质量分析系统</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*3.3.1</w:t>
            </w:r>
            <w:r>
              <w:rPr>
                <w:rFonts w:hint="eastAsia"/>
                <w:color w:val="000000" w:themeColor="text1"/>
                <w14:textFill>
                  <w14:solidFill>
                    <w14:schemeClr w14:val="tx1"/>
                  </w14:solidFill>
                </w14:textFill>
              </w:rPr>
              <w:t>为保证最佳的质量轴稳定性，四极杆采用高精度纯</w:t>
            </w:r>
            <w:r>
              <w:rPr>
                <w:color w:val="000000" w:themeColor="text1"/>
                <w14:textFill>
                  <w14:solidFill>
                    <w14:schemeClr w14:val="tx1"/>
                  </w14:solidFill>
                </w14:textFill>
              </w:rPr>
              <w:t>Mo</w:t>
            </w:r>
            <w:r>
              <w:rPr>
                <w:rFonts w:hint="eastAsia"/>
                <w:color w:val="000000" w:themeColor="text1"/>
                <w14:textFill>
                  <w14:solidFill>
                    <w14:schemeClr w14:val="tx1"/>
                  </w14:solidFill>
                </w14:textFill>
              </w:rPr>
              <w:t>材料，不需要额外的控温加热功能。</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3.3.2</w:t>
            </w:r>
            <w:r>
              <w:rPr>
                <w:rFonts w:hint="eastAsia"/>
                <w:color w:val="000000" w:themeColor="text1"/>
                <w14:textFill>
                  <w14:solidFill>
                    <w14:schemeClr w14:val="tx1"/>
                  </w14:solidFill>
                </w14:textFill>
              </w:rPr>
              <w:t>碰撞池：直线型碰撞池或</w:t>
            </w:r>
            <w:r>
              <w:rPr>
                <w:color w:val="000000" w:themeColor="text1"/>
                <w14:textFill>
                  <w14:solidFill>
                    <w14:schemeClr w14:val="tx1"/>
                  </w14:solidFill>
                </w14:textFill>
              </w:rPr>
              <w:t>90</w:t>
            </w:r>
            <w:r>
              <w:rPr>
                <w:rFonts w:hint="eastAsia"/>
                <w:color w:val="000000" w:themeColor="text1"/>
                <w14:textFill>
                  <w14:solidFill>
                    <w14:schemeClr w14:val="tx1"/>
                  </w14:solidFill>
                </w14:textFill>
              </w:rPr>
              <w:t>度弯曲碰撞池。</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3.3.3 </w:t>
            </w:r>
            <w:r>
              <w:rPr>
                <w:rFonts w:hint="eastAsia"/>
                <w:color w:val="000000" w:themeColor="text1"/>
                <w14:textFill>
                  <w14:solidFill>
                    <w14:schemeClr w14:val="tx1"/>
                  </w14:solidFill>
                </w14:textFill>
              </w:rPr>
              <w:t>四极杆分辨率：</w:t>
            </w:r>
            <w:r>
              <w:rPr>
                <w:color w:val="000000" w:themeColor="text1"/>
                <w14:textFill>
                  <w14:solidFill>
                    <w14:schemeClr w14:val="tx1"/>
                  </w14:solidFill>
                </w14:textFill>
              </w:rPr>
              <w:t xml:space="preserve">0.4-3.0 amu </w:t>
            </w:r>
            <w:r>
              <w:rPr>
                <w:rFonts w:hint="eastAsia"/>
                <w:color w:val="000000" w:themeColor="text1"/>
                <w14:textFill>
                  <w14:solidFill>
                    <w14:schemeClr w14:val="tx1"/>
                  </w14:solidFill>
                </w14:textFill>
              </w:rPr>
              <w:t>可调；</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3.3.4 </w:t>
            </w:r>
            <w:r>
              <w:rPr>
                <w:rFonts w:hint="eastAsia"/>
                <w:color w:val="000000" w:themeColor="text1"/>
                <w14:textFill>
                  <w14:solidFill>
                    <w14:schemeClr w14:val="tx1"/>
                  </w14:solidFill>
                </w14:textFill>
              </w:rPr>
              <w:t>质量稳定性：≤</w:t>
            </w:r>
            <w:r>
              <w:rPr>
                <w:color w:val="000000" w:themeColor="text1"/>
                <w14:textFill>
                  <w14:solidFill>
                    <w14:schemeClr w14:val="tx1"/>
                  </w14:solidFill>
                </w14:textFill>
              </w:rPr>
              <w:t xml:space="preserve"> 0.1 amu/24h</w:t>
            </w:r>
            <w:r>
              <w:rPr>
                <w:rFonts w:hint="eastAsia"/>
                <w:color w:val="000000" w:themeColor="text1"/>
                <w14:textFill>
                  <w14:solidFill>
                    <w14:schemeClr w14:val="tx1"/>
                  </w14:solidFill>
                </w14:textFill>
              </w:rPr>
              <w:t>；</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3.3.5 </w:t>
            </w:r>
            <w:r>
              <w:rPr>
                <w:rFonts w:hint="eastAsia"/>
                <w:color w:val="000000" w:themeColor="text1"/>
                <w14:textFill>
                  <w14:solidFill>
                    <w14:schemeClr w14:val="tx1"/>
                  </w14:solidFill>
                </w14:textFill>
              </w:rPr>
              <w:t>扫描速度：≥20,000</w:t>
            </w:r>
            <w:r>
              <w:rPr>
                <w:color w:val="000000" w:themeColor="text1"/>
                <w14:textFill>
                  <w14:solidFill>
                    <w14:schemeClr w14:val="tx1"/>
                  </w14:solidFill>
                </w14:textFill>
              </w:rPr>
              <w:t xml:space="preserve"> amu/s</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3.3.6 </w:t>
            </w:r>
            <w:r>
              <w:rPr>
                <w:rFonts w:hint="eastAsia"/>
                <w:color w:val="000000" w:themeColor="text1"/>
                <w14:textFill>
                  <w14:solidFill>
                    <w14:schemeClr w14:val="tx1"/>
                  </w14:solidFill>
                </w14:textFill>
              </w:rPr>
              <w:t>质谱扫描最小步进：</w:t>
            </w:r>
            <w:r>
              <w:rPr>
                <w:color w:val="000000" w:themeColor="text1"/>
                <w14:textFill>
                  <w14:solidFill>
                    <w14:schemeClr w14:val="tx1"/>
                  </w14:solidFill>
                </w14:textFill>
              </w:rPr>
              <w:t>0.02amu</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3.3.7 MRM</w:t>
            </w:r>
            <w:r>
              <w:rPr>
                <w:rFonts w:hint="eastAsia"/>
                <w:color w:val="000000" w:themeColor="text1"/>
                <w14:textFill>
                  <w14:solidFill>
                    <w14:schemeClr w14:val="tx1"/>
                  </w14:solidFill>
                </w14:textFill>
              </w:rPr>
              <w:t>通道数</w:t>
            </w:r>
            <w:r>
              <w:rPr>
                <w:color w:val="000000" w:themeColor="text1"/>
                <w14:textFill>
                  <w14:solidFill>
                    <w14:schemeClr w14:val="tx1"/>
                  </w14:solidFill>
                </w14:textFill>
              </w:rPr>
              <w:t>: 300 MRM/s</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3.3.8 </w:t>
            </w:r>
            <w:r>
              <w:rPr>
                <w:rFonts w:hint="eastAsia"/>
                <w:color w:val="000000" w:themeColor="text1"/>
                <w14:textFill>
                  <w14:solidFill>
                    <w14:schemeClr w14:val="tx1"/>
                  </w14:solidFill>
                </w14:textFill>
              </w:rPr>
              <w:t>质量数</w:t>
            </w:r>
            <w:r>
              <w:rPr>
                <w:color w:val="000000" w:themeColor="text1"/>
                <w14:textFill>
                  <w14:solidFill>
                    <w14:schemeClr w14:val="tx1"/>
                  </w14:solidFill>
                </w14:textFill>
              </w:rPr>
              <w:t>m/z</w:t>
            </w:r>
            <w:r>
              <w:rPr>
                <w:rFonts w:hint="eastAsia"/>
                <w:color w:val="000000" w:themeColor="text1"/>
                <w14:textFill>
                  <w14:solidFill>
                    <w14:schemeClr w14:val="tx1"/>
                  </w14:solidFill>
                </w14:textFill>
              </w:rPr>
              <w:t>范围：</w:t>
            </w:r>
            <w:r>
              <w:rPr>
                <w:color w:val="000000" w:themeColor="text1"/>
                <w14:textFill>
                  <w14:solidFill>
                    <w14:schemeClr w14:val="tx1"/>
                  </w14:solidFill>
                </w14:textFill>
              </w:rPr>
              <w:t>5~1000 amu</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3.4 </w:t>
            </w:r>
            <w:r>
              <w:rPr>
                <w:rFonts w:hint="eastAsia"/>
                <w:color w:val="000000" w:themeColor="text1"/>
                <w14:textFill>
                  <w14:solidFill>
                    <w14:schemeClr w14:val="tx1"/>
                  </w14:solidFill>
                </w14:textFill>
              </w:rPr>
              <w:t>检测器</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*3.4.1</w:t>
            </w:r>
            <w:r>
              <w:rPr>
                <w:rFonts w:hint="eastAsia"/>
                <w:color w:val="000000" w:themeColor="text1"/>
                <w14:textFill>
                  <w14:solidFill>
                    <w14:schemeClr w14:val="tx1"/>
                  </w14:solidFill>
                </w14:textFill>
              </w:rPr>
              <w:t>电子倍增管技术，无正负离子歧视效应，长时间使用寿命，保障长期数据稳定性。</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3.4.2</w:t>
            </w:r>
            <w:r>
              <w:rPr>
                <w:rFonts w:hint="eastAsia"/>
                <w:color w:val="000000" w:themeColor="text1"/>
                <w14:textFill>
                  <w14:solidFill>
                    <w14:schemeClr w14:val="tx1"/>
                  </w14:solidFill>
                </w14:textFill>
              </w:rPr>
              <w:t>脉冲计数式检测器，保障低浓度检测限的数据重现性。</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3.4.3</w:t>
            </w:r>
            <w:r>
              <w:rPr>
                <w:rFonts w:hint="eastAsia"/>
                <w:color w:val="000000" w:themeColor="text1"/>
                <w14:textFill>
                  <w14:solidFill>
                    <w14:schemeClr w14:val="tx1"/>
                  </w14:solidFill>
                </w14:textFill>
              </w:rPr>
              <w:t>正负极性切换时间：≤50</w:t>
            </w:r>
            <w:r>
              <w:rPr>
                <w:color w:val="000000" w:themeColor="text1"/>
                <w14:textFill>
                  <w14:solidFill>
                    <w14:schemeClr w14:val="tx1"/>
                  </w14:solidFill>
                </w14:textFill>
              </w:rPr>
              <w:t xml:space="preserve"> ms</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3.5 </w:t>
            </w:r>
            <w:r>
              <w:rPr>
                <w:rFonts w:hint="eastAsia"/>
                <w:color w:val="000000" w:themeColor="text1"/>
                <w14:textFill>
                  <w14:solidFill>
                    <w14:schemeClr w14:val="tx1"/>
                  </w14:solidFill>
                </w14:textFill>
              </w:rPr>
              <w:t>真空系统</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3.5.1 </w:t>
            </w:r>
            <w:r>
              <w:rPr>
                <w:rFonts w:hint="eastAsia"/>
                <w:color w:val="000000" w:themeColor="text1"/>
                <w14:textFill>
                  <w14:solidFill>
                    <w14:schemeClr w14:val="tx1"/>
                  </w14:solidFill>
                </w14:textFill>
              </w:rPr>
              <w:t>机械泵和涡轮分子泵组成，离子传输区和质量分析区形成差分抽气系统，自动断电保护功能。</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3.5.2 </w:t>
            </w:r>
            <w:r>
              <w:rPr>
                <w:rFonts w:hint="eastAsia"/>
                <w:color w:val="000000" w:themeColor="text1"/>
                <w14:textFill>
                  <w14:solidFill>
                    <w14:schemeClr w14:val="tx1"/>
                  </w14:solidFill>
                </w14:textFill>
              </w:rPr>
              <w:t>机械泵抽速：</w:t>
            </w:r>
            <w:r>
              <w:rPr>
                <w:color w:val="000000" w:themeColor="text1"/>
                <w14:textFill>
                  <w14:solidFill>
                    <w14:schemeClr w14:val="tx1"/>
                  </w14:solidFill>
                </w14:textFill>
              </w:rPr>
              <w:t>65 m3/h</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3.5.3 </w:t>
            </w:r>
            <w:r>
              <w:rPr>
                <w:rFonts w:hint="eastAsia"/>
                <w:color w:val="000000" w:themeColor="text1"/>
                <w14:textFill>
                  <w14:solidFill>
                    <w14:schemeClr w14:val="tx1"/>
                  </w14:solidFill>
                </w14:textFill>
              </w:rPr>
              <w:t>分子涡轮泵抽速：</w:t>
            </w:r>
            <w:r>
              <w:rPr>
                <w:color w:val="000000" w:themeColor="text1"/>
                <w14:textFill>
                  <w14:solidFill>
                    <w14:schemeClr w14:val="tx1"/>
                  </w14:solidFill>
                </w14:textFill>
              </w:rPr>
              <w:t>50/400/500 L/s</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 xml:space="preserve">4 </w:t>
            </w:r>
            <w:r>
              <w:rPr>
                <w:rFonts w:hint="eastAsia"/>
                <w:color w:val="000000" w:themeColor="text1"/>
                <w14:textFill>
                  <w14:solidFill>
                    <w14:schemeClr w14:val="tx1"/>
                  </w14:solidFill>
                </w14:textFill>
              </w:rPr>
              <w:t>工作站软件</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4.1 LC-MS</w:t>
            </w:r>
            <w:r>
              <w:rPr>
                <w:rFonts w:hint="eastAsia"/>
                <w:color w:val="000000" w:themeColor="text1"/>
                <w14:textFill>
                  <w14:solidFill>
                    <w14:schemeClr w14:val="tx1"/>
                  </w14:solidFill>
                </w14:textFill>
              </w:rPr>
              <w:t>操作软件可安装于厂家定制的数据采集与分析系统上，样品分析数据可以使用此软件进行离线数据处理并生成报告。</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*4.2 LC-MSMS</w:t>
            </w:r>
            <w:r>
              <w:rPr>
                <w:rFonts w:hint="eastAsia"/>
                <w:color w:val="000000" w:themeColor="text1"/>
                <w14:textFill>
                  <w14:solidFill>
                    <w14:schemeClr w14:val="tx1"/>
                  </w14:solidFill>
                </w14:textFill>
              </w:rPr>
              <w:t>后期可升级为气相</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液相</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三重四极杆质谱仪联用。</w:t>
            </w:r>
          </w:p>
          <w:p>
            <w:pPr>
              <w:widowControl/>
              <w:adjustRightInd w:val="0"/>
              <w:snapToGrid w:val="0"/>
              <w:textAlignment w:val="bottom"/>
              <w:rPr>
                <w:color w:val="000000" w:themeColor="text1"/>
                <w14:textFill>
                  <w14:solidFill>
                    <w14:schemeClr w14:val="tx1"/>
                  </w14:solidFill>
                </w14:textFill>
              </w:rPr>
            </w:pPr>
            <w:r>
              <w:rPr>
                <w:color w:val="000000" w:themeColor="text1"/>
                <w14:textFill>
                  <w14:solidFill>
                    <w14:schemeClr w14:val="tx1"/>
                  </w14:solidFill>
                </w14:textFill>
              </w:rPr>
              <w:t>5</w:t>
            </w:r>
            <w:r>
              <w:rPr>
                <w:rFonts w:hint="eastAsia"/>
                <w:color w:val="000000" w:themeColor="text1"/>
                <w14:textFill>
                  <w14:solidFill>
                    <w14:schemeClr w14:val="tx1"/>
                  </w14:solidFill>
                </w14:textFill>
              </w:rPr>
              <w:t>、配置要求：主机包含：二元超高压输液泵、超高压自动进样器、柱温箱、用户使用手册、流动注射泵、真空机械泵、高速网络交换机、电源线（</w:t>
            </w:r>
            <w:r>
              <w:rPr>
                <w:color w:val="000000" w:themeColor="text1"/>
                <w14:textFill>
                  <w14:solidFill>
                    <w14:schemeClr w14:val="tx1"/>
                  </w14:solidFill>
                </w14:textFill>
              </w:rPr>
              <w:t>1.5m</w:t>
            </w:r>
            <w:r>
              <w:rPr>
                <w:rFonts w:hint="eastAsia"/>
                <w:color w:val="000000" w:themeColor="text1"/>
                <w14:textFill>
                  <w14:solidFill>
                    <w14:schemeClr w14:val="tx1"/>
                  </w14:solidFill>
                </w14:textFill>
              </w:rPr>
              <w:t>）、废液瓶、厂家定制的数据采集与分析系统、色谱柱</w:t>
            </w:r>
            <w:r>
              <w:rPr>
                <w:color w:val="000000" w:themeColor="text1"/>
                <w14:textFill>
                  <w14:solidFill>
                    <w14:schemeClr w14:val="tx1"/>
                  </w14:solidFill>
                </w14:textFill>
              </w:rPr>
              <w:t>5</w:t>
            </w:r>
            <w:r>
              <w:rPr>
                <w:rFonts w:hint="eastAsia"/>
                <w:color w:val="000000" w:themeColor="text1"/>
                <w14:textFill>
                  <w14:solidFill>
                    <w14:schemeClr w14:val="tx1"/>
                  </w14:solidFill>
                </w14:textFill>
              </w:rPr>
              <w:t>根等</w:t>
            </w:r>
          </w:p>
        </w:tc>
      </w:tr>
    </w:tbl>
    <w:p>
      <w:pPr>
        <w:pStyle w:val="2"/>
        <w:rPr>
          <w:color w:val="000000" w:themeColor="text1"/>
          <w14:textFill>
            <w14:solidFill>
              <w14:schemeClr w14:val="tx1"/>
            </w14:solidFill>
          </w14:textFill>
        </w:rPr>
      </w:pPr>
    </w:p>
    <w:p>
      <w:pPr>
        <w:rPr>
          <w:color w:val="000000" w:themeColor="text1"/>
          <w14:textFill>
            <w14:solidFill>
              <w14:schemeClr w14:val="tx1"/>
            </w14:solidFill>
          </w14:textFill>
        </w:rPr>
      </w:pPr>
    </w:p>
    <w:p>
      <w:pPr>
        <w:spacing w:line="360" w:lineRule="auto"/>
        <w:ind w:firstLine="422" w:firstLineChars="200"/>
        <w:rPr>
          <w:rFonts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注：带“</w:t>
      </w:r>
      <w:r>
        <w:rPr>
          <w:rFonts w:ascii="宋体" w:hAnsi="宋体" w:cs="宋体"/>
          <w:color w:val="000000" w:themeColor="text1"/>
          <w:kern w:val="0"/>
          <w:szCs w:val="21"/>
          <w14:textFill>
            <w14:solidFill>
              <w14:schemeClr w14:val="tx1"/>
            </w14:solidFill>
          </w14:textFill>
        </w:rPr>
        <w:t>*</w:t>
      </w:r>
      <w:r>
        <w:rPr>
          <w:rFonts w:hint="eastAsia" w:ascii="宋体" w:hAnsi="宋体"/>
          <w:b/>
          <w:bCs/>
          <w:color w:val="000000" w:themeColor="text1"/>
          <w:szCs w:val="21"/>
          <w14:textFill>
            <w14:solidFill>
              <w14:schemeClr w14:val="tx1"/>
            </w14:solidFill>
          </w14:textFill>
        </w:rPr>
        <w:t>”为必须满足的核心参数，以点对点应答表为准，另要求承诺（或证明材料）的还应提供加盖投标人公章的承诺书（或证明材料），否则将被否决；带“</w:t>
      </w:r>
      <w:r>
        <w:rPr>
          <w:rFonts w:hint="eastAsia" w:ascii="宋体" w:hAnsi="宋体" w:cs="宋体"/>
          <w:color w:val="000000" w:themeColor="text1"/>
          <w:kern w:val="0"/>
          <w:szCs w:val="21"/>
          <w14:textFill>
            <w14:solidFill>
              <w14:schemeClr w14:val="tx1"/>
            </w14:solidFill>
          </w14:textFill>
        </w:rPr>
        <w:t>▲</w:t>
      </w:r>
      <w:r>
        <w:rPr>
          <w:rFonts w:hint="eastAsia" w:ascii="宋体" w:hAnsi="宋体"/>
          <w:b/>
          <w:bCs/>
          <w:color w:val="000000" w:themeColor="text1"/>
          <w:szCs w:val="21"/>
          <w14:textFill>
            <w14:solidFill>
              <w14:schemeClr w14:val="tx1"/>
            </w14:solidFill>
          </w14:textFill>
        </w:rPr>
        <w:t>”为重要技术参数，其他项为一般技术参数。</w:t>
      </w:r>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Pr>
        <w:widowControl/>
        <w:jc w:val="left"/>
        <w:rPr>
          <w:color w:val="000000" w:themeColor="text1"/>
          <w14:textFill>
            <w14:solidFill>
              <w14:schemeClr w14:val="tx1"/>
            </w14:solidFill>
          </w14:textFill>
        </w:rPr>
      </w:pPr>
    </w:p>
    <w:sectPr>
      <w:headerReference r:id="rId3" w:type="default"/>
      <w:footerReference r:id="rId4" w:type="default"/>
      <w:footerReference r:id="rId5" w:type="even"/>
      <w:pgSz w:w="11907" w:h="16840"/>
      <w:pgMar w:top="1247" w:right="1418" w:bottom="1134" w:left="1418" w:header="567" w:footer="454" w:gutter="0"/>
      <w:pgNumType w:start="3"/>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Helvetica">
    <w:altName w:val="Arial"/>
    <w:panose1 w:val="020B0604020202020204"/>
    <w:charset w:val="00"/>
    <w:family w:val="swiss"/>
    <w:pitch w:val="default"/>
    <w:sig w:usb0="00000000" w:usb1="00000000" w:usb2="00000009" w:usb3="00000000" w:csb0="000001FF"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monospace">
    <w:altName w:val="Segoe Print"/>
    <w:panose1 w:val="00000000000000000000"/>
    <w:charset w:val="00"/>
    <w:family w:val="auto"/>
    <w:pitch w:val="default"/>
    <w:sig w:usb0="00000000" w:usb1="00000000" w:usb2="00000000" w:usb3="00000000" w:csb0="00000001" w:csb1="00000000"/>
  </w:font>
  <w:font w:name="楷体_GB2312">
    <w:altName w:val="楷体"/>
    <w:panose1 w:val="00000000000000000000"/>
    <w:charset w:val="86"/>
    <w:family w:val="modern"/>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Helv">
    <w:altName w:val="Segoe Print"/>
    <w:panose1 w:val="020B0604020202030204"/>
    <w:charset w:val="00"/>
    <w:family w:val="swiss"/>
    <w:pitch w:val="default"/>
    <w:sig w:usb0="00000000" w:usb1="00000000" w:usb2="00000000" w:usb3="00000000" w:csb0="00000001" w:csb1="00000000"/>
  </w:font>
  <w:font w:name="仿宋_GB2312">
    <w:altName w:val="仿宋"/>
    <w:panose1 w:val="00000000000000000000"/>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PMingLiU">
    <w:altName w:val="Microsoft JhengHei UI"/>
    <w:panose1 w:val="02010601000101010101"/>
    <w:charset w:val="88"/>
    <w:family w:val="roman"/>
    <w:pitch w:val="default"/>
    <w:sig w:usb0="00000000" w:usb1="00000000" w:usb2="00000016" w:usb3="00000000" w:csb0="00100001" w:csb1="00000000"/>
  </w:font>
  <w:font w:name="MS Sans Serif">
    <w:altName w:val="Segoe Print"/>
    <w:panose1 w:val="00000000000000000000"/>
    <w:charset w:val="00"/>
    <w:family w:val="swiss"/>
    <w:pitch w:val="default"/>
    <w:sig w:usb0="00000000" w:usb1="00000000" w:usb2="00000000" w:usb3="00000000" w:csb0="00000001" w:csb1="00000000"/>
  </w:font>
  <w:font w:name="Helvetica (PCL6)">
    <w:altName w:val="Segoe Print"/>
    <w:panose1 w:val="00000000000000000000"/>
    <w:charset w:val="00"/>
    <w:family w:val="swiss"/>
    <w:pitch w:val="default"/>
    <w:sig w:usb0="00000000" w:usb1="00000000" w:usb2="00000000" w:usb3="00000000" w:csb0="00000001" w:csb1="00000000"/>
  </w:font>
  <w:font w:name="Helvetica 45 Light">
    <w:altName w:val="微软雅黑"/>
    <w:panose1 w:val="00000000000000000000"/>
    <w:charset w:val="00"/>
    <w:family w:val="swiss"/>
    <w:pitch w:val="default"/>
    <w:sig w:usb0="00000000" w:usb1="00000000" w:usb2="00000000" w:usb3="00000000" w:csb0="00040001" w:csb1="00000000"/>
  </w:font>
  <w:font w:name="Trump Mediaeval">
    <w:altName w:val="Times New Roman"/>
    <w:panose1 w:val="00000000000000000000"/>
    <w:charset w:val="00"/>
    <w:family w:val="auto"/>
    <w:pitch w:val="default"/>
    <w:sig w:usb0="00000000" w:usb1="00000000" w:usb2="00000000" w:usb3="00000000" w:csb0="00000001" w:csb1="00000000"/>
  </w:font>
  <w:font w:name="MS Mincho">
    <w:altName w:val="Yu Gothic UI"/>
    <w:panose1 w:val="02020609040205080304"/>
    <w:charset w:val="80"/>
    <w:family w:val="modern"/>
    <w:pitch w:val="default"/>
    <w:sig w:usb0="00000000" w:usb1="00000000" w:usb2="08000012" w:usb3="00000000" w:csb0="0002009F" w:csb1="00000000"/>
  </w:font>
  <w:font w:name="长城仿宋">
    <w:altName w:val="宋体"/>
    <w:panose1 w:val="00000000000000000000"/>
    <w:charset w:val="86"/>
    <w:family w:val="auto"/>
    <w:pitch w:val="default"/>
    <w:sig w:usb0="00000000" w:usb1="00000000" w:usb2="00000010" w:usb3="00000000" w:csb0="00040000" w:csb1="00000000"/>
  </w:font>
  <w:font w:name="华文仿宋">
    <w:altName w:val="仿宋"/>
    <w:panose1 w:val="02010600040101010101"/>
    <w:charset w:val="86"/>
    <w:family w:val="auto"/>
    <w:pitch w:val="default"/>
    <w:sig w:usb0="00000000" w:usb1="00000000" w:usb2="00000010" w:usb3="00000000" w:csb0="0004009F" w:csb1="00000000"/>
  </w:font>
  <w:font w:name=".......">
    <w:altName w:val="宋体"/>
    <w:panose1 w:val="00000000000000000000"/>
    <w:charset w:val="86"/>
    <w:family w:val="roman"/>
    <w:pitch w:val="default"/>
    <w:sig w:usb0="00000000" w:usb1="00000000" w:usb2="00000010" w:usb3="00000000" w:csb0="00040000" w:csb1="00000000"/>
  </w:font>
  <w:font w:name="华文行楷">
    <w:altName w:val="微软雅黑"/>
    <w:panose1 w:val="02010800040101010101"/>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spacing w:line="240" w:lineRule="auto"/>
      <w:ind w:right="357"/>
      <w:rPr>
        <w:rFonts w:ascii="华文行楷" w:eastAsia="华文行楷"/>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framePr w:wrap="around" w:vAnchor="text" w:hAnchor="margin" w:xAlign="right" w:y="1"/>
      <w:rPr>
        <w:rStyle w:val="71"/>
      </w:rPr>
    </w:pPr>
    <w:r>
      <w:fldChar w:fldCharType="begin"/>
    </w:r>
    <w:r>
      <w:rPr>
        <w:rStyle w:val="71"/>
      </w:rPr>
      <w:instrText xml:space="preserve">PAGE  </w:instrText>
    </w:r>
    <w:r>
      <w:fldChar w:fldCharType="end"/>
    </w:r>
  </w:p>
  <w:p>
    <w:pPr>
      <w:pStyle w:val="40"/>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pBdr>
        <w:bottom w:val="none" w:color="auto" w:sz="0" w:space="0"/>
      </w:pBdr>
      <w:wordWrap w:val="0"/>
      <w:jc w:val="both"/>
      <w:rPr>
        <w:rFonts w:ascii="华文行楷" w:eastAsia="华文行楷"/>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bullet"/>
      <w:pStyle w:val="523"/>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
    <w:nsid w:val="29F61038"/>
    <w:multiLevelType w:val="multilevel"/>
    <w:tmpl w:val="29F61038"/>
    <w:lvl w:ilvl="0" w:tentative="0">
      <w:start w:val="1"/>
      <w:numFmt w:val="decimal"/>
      <w:pStyle w:val="515"/>
      <w:lvlText w:val="%1、"/>
      <w:lvlJc w:val="left"/>
      <w:pPr>
        <w:ind w:left="1280" w:hanging="720"/>
      </w:pPr>
      <w:rPr>
        <w:rFonts w:hint="default" w:ascii="Times New Roman" w:hAnsi="Times New Roman"/>
        <w:sz w:val="28"/>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2">
    <w:nsid w:val="2C6F52BA"/>
    <w:multiLevelType w:val="singleLevel"/>
    <w:tmpl w:val="2C6F52BA"/>
    <w:lvl w:ilvl="0" w:tentative="0">
      <w:start w:val="1"/>
      <w:numFmt w:val="bullet"/>
      <w:pStyle w:val="595"/>
      <w:lvlText w:val=""/>
      <w:lvlJc w:val="left"/>
      <w:pPr>
        <w:ind w:left="420" w:hanging="420"/>
      </w:pPr>
      <w:rPr>
        <w:rFonts w:hint="default"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removePersonalInformation/>
  <w:doNotDisplayPageBoundaries w:val="1"/>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UzYWY5MWQxNmQwYjQ0MmVjNDczYzNlMzhmY2RmNjAifQ=="/>
  </w:docVars>
  <w:rsids>
    <w:rsidRoot w:val="00172A27"/>
    <w:rsid w:val="000001CE"/>
    <w:rsid w:val="0000045F"/>
    <w:rsid w:val="00000480"/>
    <w:rsid w:val="00000A53"/>
    <w:rsid w:val="0000115B"/>
    <w:rsid w:val="00001A95"/>
    <w:rsid w:val="00001EBF"/>
    <w:rsid w:val="00002139"/>
    <w:rsid w:val="000029FD"/>
    <w:rsid w:val="00004098"/>
    <w:rsid w:val="00004B05"/>
    <w:rsid w:val="00004E14"/>
    <w:rsid w:val="00004EC3"/>
    <w:rsid w:val="00005492"/>
    <w:rsid w:val="0000588C"/>
    <w:rsid w:val="00007A73"/>
    <w:rsid w:val="00007DC8"/>
    <w:rsid w:val="00007FBE"/>
    <w:rsid w:val="00010642"/>
    <w:rsid w:val="00011070"/>
    <w:rsid w:val="00011735"/>
    <w:rsid w:val="00011B18"/>
    <w:rsid w:val="00011DEE"/>
    <w:rsid w:val="0001277B"/>
    <w:rsid w:val="0001463F"/>
    <w:rsid w:val="0001477C"/>
    <w:rsid w:val="000147B3"/>
    <w:rsid w:val="00015216"/>
    <w:rsid w:val="00020160"/>
    <w:rsid w:val="00020562"/>
    <w:rsid w:val="00021B39"/>
    <w:rsid w:val="00021C48"/>
    <w:rsid w:val="0002267D"/>
    <w:rsid w:val="000227B9"/>
    <w:rsid w:val="000252AB"/>
    <w:rsid w:val="00025421"/>
    <w:rsid w:val="000256E8"/>
    <w:rsid w:val="0002635C"/>
    <w:rsid w:val="000269A4"/>
    <w:rsid w:val="00026C17"/>
    <w:rsid w:val="00026C63"/>
    <w:rsid w:val="00026E0C"/>
    <w:rsid w:val="00026E27"/>
    <w:rsid w:val="00026F66"/>
    <w:rsid w:val="00026FED"/>
    <w:rsid w:val="00027B76"/>
    <w:rsid w:val="000300A5"/>
    <w:rsid w:val="000306C8"/>
    <w:rsid w:val="000308FA"/>
    <w:rsid w:val="00031A86"/>
    <w:rsid w:val="00031BF9"/>
    <w:rsid w:val="00031C77"/>
    <w:rsid w:val="00032309"/>
    <w:rsid w:val="000362D1"/>
    <w:rsid w:val="0003640A"/>
    <w:rsid w:val="000370ED"/>
    <w:rsid w:val="0003731E"/>
    <w:rsid w:val="00037F8F"/>
    <w:rsid w:val="0004026F"/>
    <w:rsid w:val="000413E8"/>
    <w:rsid w:val="0004283A"/>
    <w:rsid w:val="0004315A"/>
    <w:rsid w:val="00044E12"/>
    <w:rsid w:val="00045E23"/>
    <w:rsid w:val="00045EE8"/>
    <w:rsid w:val="000464B3"/>
    <w:rsid w:val="000469B5"/>
    <w:rsid w:val="00046E8A"/>
    <w:rsid w:val="000473F7"/>
    <w:rsid w:val="000473FE"/>
    <w:rsid w:val="00050DB3"/>
    <w:rsid w:val="000510B4"/>
    <w:rsid w:val="0005174C"/>
    <w:rsid w:val="00052104"/>
    <w:rsid w:val="0005233F"/>
    <w:rsid w:val="00052769"/>
    <w:rsid w:val="00052FF4"/>
    <w:rsid w:val="00053321"/>
    <w:rsid w:val="00054A36"/>
    <w:rsid w:val="00055E4E"/>
    <w:rsid w:val="000566F5"/>
    <w:rsid w:val="00056D83"/>
    <w:rsid w:val="0005789F"/>
    <w:rsid w:val="00057EDE"/>
    <w:rsid w:val="00057F06"/>
    <w:rsid w:val="00060326"/>
    <w:rsid w:val="00060855"/>
    <w:rsid w:val="00061A0F"/>
    <w:rsid w:val="0006278C"/>
    <w:rsid w:val="00063543"/>
    <w:rsid w:val="00063D71"/>
    <w:rsid w:val="00063F3A"/>
    <w:rsid w:val="00064412"/>
    <w:rsid w:val="00064878"/>
    <w:rsid w:val="000652EB"/>
    <w:rsid w:val="00065705"/>
    <w:rsid w:val="00065D9A"/>
    <w:rsid w:val="000663E5"/>
    <w:rsid w:val="0006667C"/>
    <w:rsid w:val="00066992"/>
    <w:rsid w:val="0007031D"/>
    <w:rsid w:val="000703D4"/>
    <w:rsid w:val="00070607"/>
    <w:rsid w:val="00071B29"/>
    <w:rsid w:val="00071BCC"/>
    <w:rsid w:val="00072BD2"/>
    <w:rsid w:val="00073102"/>
    <w:rsid w:val="00074157"/>
    <w:rsid w:val="000762F8"/>
    <w:rsid w:val="00076D64"/>
    <w:rsid w:val="00080D46"/>
    <w:rsid w:val="000824B4"/>
    <w:rsid w:val="00082A47"/>
    <w:rsid w:val="00082EC2"/>
    <w:rsid w:val="00083273"/>
    <w:rsid w:val="00083A28"/>
    <w:rsid w:val="000855FC"/>
    <w:rsid w:val="000879B2"/>
    <w:rsid w:val="00087AD4"/>
    <w:rsid w:val="00090F3E"/>
    <w:rsid w:val="0009254A"/>
    <w:rsid w:val="000933CF"/>
    <w:rsid w:val="00093A24"/>
    <w:rsid w:val="0009434C"/>
    <w:rsid w:val="0009478C"/>
    <w:rsid w:val="00095323"/>
    <w:rsid w:val="000956CD"/>
    <w:rsid w:val="000956F8"/>
    <w:rsid w:val="00096EDD"/>
    <w:rsid w:val="0009704C"/>
    <w:rsid w:val="00097465"/>
    <w:rsid w:val="00097541"/>
    <w:rsid w:val="000A0091"/>
    <w:rsid w:val="000A1294"/>
    <w:rsid w:val="000A142F"/>
    <w:rsid w:val="000A23D9"/>
    <w:rsid w:val="000A362F"/>
    <w:rsid w:val="000A375F"/>
    <w:rsid w:val="000A457D"/>
    <w:rsid w:val="000A476E"/>
    <w:rsid w:val="000A582A"/>
    <w:rsid w:val="000A6481"/>
    <w:rsid w:val="000A6EF7"/>
    <w:rsid w:val="000A789F"/>
    <w:rsid w:val="000B0134"/>
    <w:rsid w:val="000B05B8"/>
    <w:rsid w:val="000B0EF7"/>
    <w:rsid w:val="000B129C"/>
    <w:rsid w:val="000B2160"/>
    <w:rsid w:val="000B4F8B"/>
    <w:rsid w:val="000B522E"/>
    <w:rsid w:val="000B5898"/>
    <w:rsid w:val="000B6206"/>
    <w:rsid w:val="000B72E4"/>
    <w:rsid w:val="000C1DAA"/>
    <w:rsid w:val="000C2154"/>
    <w:rsid w:val="000C239B"/>
    <w:rsid w:val="000C24F8"/>
    <w:rsid w:val="000C4D81"/>
    <w:rsid w:val="000C51DF"/>
    <w:rsid w:val="000C633D"/>
    <w:rsid w:val="000C6430"/>
    <w:rsid w:val="000C689D"/>
    <w:rsid w:val="000C78CA"/>
    <w:rsid w:val="000D0B88"/>
    <w:rsid w:val="000D214C"/>
    <w:rsid w:val="000D24B8"/>
    <w:rsid w:val="000D2920"/>
    <w:rsid w:val="000D2E88"/>
    <w:rsid w:val="000D4CF4"/>
    <w:rsid w:val="000D5E08"/>
    <w:rsid w:val="000D6068"/>
    <w:rsid w:val="000D6BC3"/>
    <w:rsid w:val="000D7109"/>
    <w:rsid w:val="000D7C2F"/>
    <w:rsid w:val="000E04FE"/>
    <w:rsid w:val="000E143F"/>
    <w:rsid w:val="000E1706"/>
    <w:rsid w:val="000E1DD3"/>
    <w:rsid w:val="000E2204"/>
    <w:rsid w:val="000E23C9"/>
    <w:rsid w:val="000E2CA5"/>
    <w:rsid w:val="000E4B87"/>
    <w:rsid w:val="000E6B6A"/>
    <w:rsid w:val="000E75F1"/>
    <w:rsid w:val="000E7B0A"/>
    <w:rsid w:val="000F01E8"/>
    <w:rsid w:val="000F0876"/>
    <w:rsid w:val="000F1017"/>
    <w:rsid w:val="000F1CFB"/>
    <w:rsid w:val="000F1D0A"/>
    <w:rsid w:val="000F30CA"/>
    <w:rsid w:val="000F37F7"/>
    <w:rsid w:val="000F3AF0"/>
    <w:rsid w:val="000F618D"/>
    <w:rsid w:val="000F6509"/>
    <w:rsid w:val="000F73C2"/>
    <w:rsid w:val="000F73F7"/>
    <w:rsid w:val="00100435"/>
    <w:rsid w:val="00101CD0"/>
    <w:rsid w:val="00101DC8"/>
    <w:rsid w:val="00102D2F"/>
    <w:rsid w:val="001038BC"/>
    <w:rsid w:val="0010515F"/>
    <w:rsid w:val="00105248"/>
    <w:rsid w:val="001053D8"/>
    <w:rsid w:val="0010541B"/>
    <w:rsid w:val="00106277"/>
    <w:rsid w:val="00106D2E"/>
    <w:rsid w:val="00107CCA"/>
    <w:rsid w:val="001129F0"/>
    <w:rsid w:val="001131AD"/>
    <w:rsid w:val="00113424"/>
    <w:rsid w:val="00113BE7"/>
    <w:rsid w:val="00114A4C"/>
    <w:rsid w:val="00114E2A"/>
    <w:rsid w:val="00115B0C"/>
    <w:rsid w:val="0011618C"/>
    <w:rsid w:val="00116FD8"/>
    <w:rsid w:val="001171E3"/>
    <w:rsid w:val="00117CC7"/>
    <w:rsid w:val="00123A36"/>
    <w:rsid w:val="0012448D"/>
    <w:rsid w:val="001254B4"/>
    <w:rsid w:val="001258B1"/>
    <w:rsid w:val="00125BCC"/>
    <w:rsid w:val="00126377"/>
    <w:rsid w:val="00126824"/>
    <w:rsid w:val="00126A54"/>
    <w:rsid w:val="00126BBD"/>
    <w:rsid w:val="001270D5"/>
    <w:rsid w:val="0012736B"/>
    <w:rsid w:val="00127A01"/>
    <w:rsid w:val="00127AF7"/>
    <w:rsid w:val="00127E0C"/>
    <w:rsid w:val="00130436"/>
    <w:rsid w:val="0013050D"/>
    <w:rsid w:val="00130E82"/>
    <w:rsid w:val="00130EB0"/>
    <w:rsid w:val="0013130A"/>
    <w:rsid w:val="001317D4"/>
    <w:rsid w:val="0013228F"/>
    <w:rsid w:val="0013311B"/>
    <w:rsid w:val="001343F1"/>
    <w:rsid w:val="00134BE1"/>
    <w:rsid w:val="00134CDF"/>
    <w:rsid w:val="00135166"/>
    <w:rsid w:val="00135379"/>
    <w:rsid w:val="0013617D"/>
    <w:rsid w:val="00140015"/>
    <w:rsid w:val="001407B2"/>
    <w:rsid w:val="00143607"/>
    <w:rsid w:val="00143766"/>
    <w:rsid w:val="00143CC2"/>
    <w:rsid w:val="00143DDF"/>
    <w:rsid w:val="00144715"/>
    <w:rsid w:val="00145C43"/>
    <w:rsid w:val="00146171"/>
    <w:rsid w:val="001462A0"/>
    <w:rsid w:val="00147153"/>
    <w:rsid w:val="00147B59"/>
    <w:rsid w:val="0015019E"/>
    <w:rsid w:val="0015039D"/>
    <w:rsid w:val="00150F59"/>
    <w:rsid w:val="001524BC"/>
    <w:rsid w:val="00152CD4"/>
    <w:rsid w:val="00152FE2"/>
    <w:rsid w:val="00153164"/>
    <w:rsid w:val="0015376F"/>
    <w:rsid w:val="0015469A"/>
    <w:rsid w:val="00155293"/>
    <w:rsid w:val="0015578C"/>
    <w:rsid w:val="00155D1B"/>
    <w:rsid w:val="001569C8"/>
    <w:rsid w:val="0015783F"/>
    <w:rsid w:val="00157EA1"/>
    <w:rsid w:val="001610BB"/>
    <w:rsid w:val="0016204E"/>
    <w:rsid w:val="00163281"/>
    <w:rsid w:val="00163DD5"/>
    <w:rsid w:val="001659DC"/>
    <w:rsid w:val="001661A0"/>
    <w:rsid w:val="00166656"/>
    <w:rsid w:val="001678E4"/>
    <w:rsid w:val="00167FFE"/>
    <w:rsid w:val="00170705"/>
    <w:rsid w:val="00171135"/>
    <w:rsid w:val="0017156D"/>
    <w:rsid w:val="00172A27"/>
    <w:rsid w:val="00172DDE"/>
    <w:rsid w:val="00172DEF"/>
    <w:rsid w:val="001735B2"/>
    <w:rsid w:val="00173787"/>
    <w:rsid w:val="0017384F"/>
    <w:rsid w:val="001743AA"/>
    <w:rsid w:val="00174739"/>
    <w:rsid w:val="00174C05"/>
    <w:rsid w:val="0017626C"/>
    <w:rsid w:val="00176320"/>
    <w:rsid w:val="00176341"/>
    <w:rsid w:val="001801B8"/>
    <w:rsid w:val="00180CC2"/>
    <w:rsid w:val="00180CD0"/>
    <w:rsid w:val="00181486"/>
    <w:rsid w:val="00181B6C"/>
    <w:rsid w:val="00182147"/>
    <w:rsid w:val="00182848"/>
    <w:rsid w:val="001829B3"/>
    <w:rsid w:val="00182B00"/>
    <w:rsid w:val="00183400"/>
    <w:rsid w:val="001835F2"/>
    <w:rsid w:val="00185029"/>
    <w:rsid w:val="0018598E"/>
    <w:rsid w:val="001868FA"/>
    <w:rsid w:val="00186C6D"/>
    <w:rsid w:val="001906F8"/>
    <w:rsid w:val="00191570"/>
    <w:rsid w:val="00191EB0"/>
    <w:rsid w:val="00192161"/>
    <w:rsid w:val="00194E3F"/>
    <w:rsid w:val="00195313"/>
    <w:rsid w:val="00195555"/>
    <w:rsid w:val="001A02E0"/>
    <w:rsid w:val="001A09E6"/>
    <w:rsid w:val="001A09F4"/>
    <w:rsid w:val="001A17F8"/>
    <w:rsid w:val="001A1B96"/>
    <w:rsid w:val="001A23B6"/>
    <w:rsid w:val="001A3C85"/>
    <w:rsid w:val="001A534D"/>
    <w:rsid w:val="001A5594"/>
    <w:rsid w:val="001A59EB"/>
    <w:rsid w:val="001A6233"/>
    <w:rsid w:val="001A7227"/>
    <w:rsid w:val="001A750A"/>
    <w:rsid w:val="001A7853"/>
    <w:rsid w:val="001B0356"/>
    <w:rsid w:val="001B04F2"/>
    <w:rsid w:val="001B07E6"/>
    <w:rsid w:val="001B081B"/>
    <w:rsid w:val="001B24B8"/>
    <w:rsid w:val="001B315D"/>
    <w:rsid w:val="001B4678"/>
    <w:rsid w:val="001B52F7"/>
    <w:rsid w:val="001B538E"/>
    <w:rsid w:val="001B5975"/>
    <w:rsid w:val="001B5B3F"/>
    <w:rsid w:val="001B7169"/>
    <w:rsid w:val="001B717B"/>
    <w:rsid w:val="001C000D"/>
    <w:rsid w:val="001C03AC"/>
    <w:rsid w:val="001C07F5"/>
    <w:rsid w:val="001C1027"/>
    <w:rsid w:val="001C148F"/>
    <w:rsid w:val="001C2175"/>
    <w:rsid w:val="001C26A3"/>
    <w:rsid w:val="001C2B32"/>
    <w:rsid w:val="001C2C65"/>
    <w:rsid w:val="001C2FE6"/>
    <w:rsid w:val="001C3042"/>
    <w:rsid w:val="001C3304"/>
    <w:rsid w:val="001C3D5E"/>
    <w:rsid w:val="001C48C6"/>
    <w:rsid w:val="001C5AE1"/>
    <w:rsid w:val="001C5B17"/>
    <w:rsid w:val="001C5BE8"/>
    <w:rsid w:val="001C5CD5"/>
    <w:rsid w:val="001C654A"/>
    <w:rsid w:val="001C6884"/>
    <w:rsid w:val="001C7557"/>
    <w:rsid w:val="001C7B6A"/>
    <w:rsid w:val="001C7C03"/>
    <w:rsid w:val="001D1938"/>
    <w:rsid w:val="001D341E"/>
    <w:rsid w:val="001D397F"/>
    <w:rsid w:val="001D4421"/>
    <w:rsid w:val="001D4C27"/>
    <w:rsid w:val="001D4D3B"/>
    <w:rsid w:val="001D52C0"/>
    <w:rsid w:val="001D5AB5"/>
    <w:rsid w:val="001D62E4"/>
    <w:rsid w:val="001D679E"/>
    <w:rsid w:val="001D6A21"/>
    <w:rsid w:val="001D6DCE"/>
    <w:rsid w:val="001D7104"/>
    <w:rsid w:val="001D7461"/>
    <w:rsid w:val="001E07B0"/>
    <w:rsid w:val="001E0D92"/>
    <w:rsid w:val="001E11D7"/>
    <w:rsid w:val="001E2979"/>
    <w:rsid w:val="001E34AB"/>
    <w:rsid w:val="001E3DC1"/>
    <w:rsid w:val="001E4778"/>
    <w:rsid w:val="001E5ADB"/>
    <w:rsid w:val="001E64C1"/>
    <w:rsid w:val="001E7B9E"/>
    <w:rsid w:val="001F0047"/>
    <w:rsid w:val="001F0199"/>
    <w:rsid w:val="001F0262"/>
    <w:rsid w:val="001F1164"/>
    <w:rsid w:val="001F20B0"/>
    <w:rsid w:val="001F258D"/>
    <w:rsid w:val="001F3191"/>
    <w:rsid w:val="001F32BD"/>
    <w:rsid w:val="001F3362"/>
    <w:rsid w:val="001F4878"/>
    <w:rsid w:val="001F6009"/>
    <w:rsid w:val="001F63E3"/>
    <w:rsid w:val="001F6FBE"/>
    <w:rsid w:val="001F70E8"/>
    <w:rsid w:val="001F7E81"/>
    <w:rsid w:val="0020008A"/>
    <w:rsid w:val="002001A0"/>
    <w:rsid w:val="00201BCE"/>
    <w:rsid w:val="00202A23"/>
    <w:rsid w:val="002030AF"/>
    <w:rsid w:val="0020317E"/>
    <w:rsid w:val="00204070"/>
    <w:rsid w:val="002043C4"/>
    <w:rsid w:val="00204847"/>
    <w:rsid w:val="00204872"/>
    <w:rsid w:val="00205726"/>
    <w:rsid w:val="00206A64"/>
    <w:rsid w:val="00207515"/>
    <w:rsid w:val="00210D54"/>
    <w:rsid w:val="002121AC"/>
    <w:rsid w:val="00212970"/>
    <w:rsid w:val="00213950"/>
    <w:rsid w:val="00213E06"/>
    <w:rsid w:val="002141BE"/>
    <w:rsid w:val="00214297"/>
    <w:rsid w:val="00214927"/>
    <w:rsid w:val="00214A2A"/>
    <w:rsid w:val="00214AB7"/>
    <w:rsid w:val="00214F72"/>
    <w:rsid w:val="00215DDB"/>
    <w:rsid w:val="002164C4"/>
    <w:rsid w:val="00217279"/>
    <w:rsid w:val="002172AF"/>
    <w:rsid w:val="002173FD"/>
    <w:rsid w:val="002208FE"/>
    <w:rsid w:val="00220E56"/>
    <w:rsid w:val="00221103"/>
    <w:rsid w:val="002217B0"/>
    <w:rsid w:val="00221A08"/>
    <w:rsid w:val="00222E34"/>
    <w:rsid w:val="00223734"/>
    <w:rsid w:val="00223E10"/>
    <w:rsid w:val="00224330"/>
    <w:rsid w:val="0022655A"/>
    <w:rsid w:val="00226F14"/>
    <w:rsid w:val="00227711"/>
    <w:rsid w:val="0023074F"/>
    <w:rsid w:val="00230AF5"/>
    <w:rsid w:val="00230CB2"/>
    <w:rsid w:val="00232388"/>
    <w:rsid w:val="00232A0A"/>
    <w:rsid w:val="0023330D"/>
    <w:rsid w:val="002341C9"/>
    <w:rsid w:val="00235417"/>
    <w:rsid w:val="00235579"/>
    <w:rsid w:val="00235EA9"/>
    <w:rsid w:val="0023695C"/>
    <w:rsid w:val="00236D72"/>
    <w:rsid w:val="00237FC7"/>
    <w:rsid w:val="0024043F"/>
    <w:rsid w:val="00241540"/>
    <w:rsid w:val="002415D3"/>
    <w:rsid w:val="0024228C"/>
    <w:rsid w:val="00242CDE"/>
    <w:rsid w:val="00242D19"/>
    <w:rsid w:val="00242D1C"/>
    <w:rsid w:val="00242D33"/>
    <w:rsid w:val="002434E2"/>
    <w:rsid w:val="00243D20"/>
    <w:rsid w:val="0024470F"/>
    <w:rsid w:val="002469DC"/>
    <w:rsid w:val="00246E70"/>
    <w:rsid w:val="002475A5"/>
    <w:rsid w:val="00247EB9"/>
    <w:rsid w:val="0025002F"/>
    <w:rsid w:val="00250FB9"/>
    <w:rsid w:val="002512B2"/>
    <w:rsid w:val="0025171D"/>
    <w:rsid w:val="00251DD7"/>
    <w:rsid w:val="00251E1D"/>
    <w:rsid w:val="00252553"/>
    <w:rsid w:val="00253659"/>
    <w:rsid w:val="002540BF"/>
    <w:rsid w:val="0025423F"/>
    <w:rsid w:val="0025435D"/>
    <w:rsid w:val="0025460F"/>
    <w:rsid w:val="00255A8F"/>
    <w:rsid w:val="00255D7B"/>
    <w:rsid w:val="00256F2D"/>
    <w:rsid w:val="00257848"/>
    <w:rsid w:val="002578B8"/>
    <w:rsid w:val="00260B54"/>
    <w:rsid w:val="00260F3B"/>
    <w:rsid w:val="00261693"/>
    <w:rsid w:val="00261B18"/>
    <w:rsid w:val="00262089"/>
    <w:rsid w:val="002620D1"/>
    <w:rsid w:val="00262192"/>
    <w:rsid w:val="00263114"/>
    <w:rsid w:val="00263334"/>
    <w:rsid w:val="00263E55"/>
    <w:rsid w:val="00263F90"/>
    <w:rsid w:val="00263FE1"/>
    <w:rsid w:val="002641EA"/>
    <w:rsid w:val="00264DA0"/>
    <w:rsid w:val="00265190"/>
    <w:rsid w:val="002671CC"/>
    <w:rsid w:val="00267464"/>
    <w:rsid w:val="002679B7"/>
    <w:rsid w:val="0027053A"/>
    <w:rsid w:val="0027069F"/>
    <w:rsid w:val="00270F93"/>
    <w:rsid w:val="00270FD5"/>
    <w:rsid w:val="002716C0"/>
    <w:rsid w:val="00272E71"/>
    <w:rsid w:val="0027324E"/>
    <w:rsid w:val="00273684"/>
    <w:rsid w:val="00273A85"/>
    <w:rsid w:val="00274C72"/>
    <w:rsid w:val="002756DA"/>
    <w:rsid w:val="00276316"/>
    <w:rsid w:val="00277C82"/>
    <w:rsid w:val="00277DBE"/>
    <w:rsid w:val="00277FE5"/>
    <w:rsid w:val="00280EA4"/>
    <w:rsid w:val="0028196D"/>
    <w:rsid w:val="00281FA3"/>
    <w:rsid w:val="00282B68"/>
    <w:rsid w:val="00282CE9"/>
    <w:rsid w:val="002833B2"/>
    <w:rsid w:val="0028387E"/>
    <w:rsid w:val="00283A84"/>
    <w:rsid w:val="00284363"/>
    <w:rsid w:val="00284D7F"/>
    <w:rsid w:val="0028555B"/>
    <w:rsid w:val="002871AB"/>
    <w:rsid w:val="002905FC"/>
    <w:rsid w:val="00290B14"/>
    <w:rsid w:val="00290D1E"/>
    <w:rsid w:val="002913F3"/>
    <w:rsid w:val="00291429"/>
    <w:rsid w:val="00291954"/>
    <w:rsid w:val="00291BA0"/>
    <w:rsid w:val="00291FBF"/>
    <w:rsid w:val="00293850"/>
    <w:rsid w:val="0029398E"/>
    <w:rsid w:val="00294312"/>
    <w:rsid w:val="0029435A"/>
    <w:rsid w:val="00295A69"/>
    <w:rsid w:val="0029651E"/>
    <w:rsid w:val="002973A2"/>
    <w:rsid w:val="00297DFE"/>
    <w:rsid w:val="002A17F4"/>
    <w:rsid w:val="002A3584"/>
    <w:rsid w:val="002A38B4"/>
    <w:rsid w:val="002A4437"/>
    <w:rsid w:val="002A4F6F"/>
    <w:rsid w:val="002A53D6"/>
    <w:rsid w:val="002A5BEC"/>
    <w:rsid w:val="002A6075"/>
    <w:rsid w:val="002A6AAC"/>
    <w:rsid w:val="002A7DE0"/>
    <w:rsid w:val="002B151C"/>
    <w:rsid w:val="002B18E3"/>
    <w:rsid w:val="002B19A1"/>
    <w:rsid w:val="002B1A8A"/>
    <w:rsid w:val="002B3024"/>
    <w:rsid w:val="002B4038"/>
    <w:rsid w:val="002B46C4"/>
    <w:rsid w:val="002B4970"/>
    <w:rsid w:val="002B5D1F"/>
    <w:rsid w:val="002B6173"/>
    <w:rsid w:val="002B7527"/>
    <w:rsid w:val="002B752E"/>
    <w:rsid w:val="002C06EE"/>
    <w:rsid w:val="002C12C9"/>
    <w:rsid w:val="002C1523"/>
    <w:rsid w:val="002C1D7D"/>
    <w:rsid w:val="002C2930"/>
    <w:rsid w:val="002C2992"/>
    <w:rsid w:val="002C3547"/>
    <w:rsid w:val="002C39D2"/>
    <w:rsid w:val="002C3D47"/>
    <w:rsid w:val="002C44B2"/>
    <w:rsid w:val="002C5726"/>
    <w:rsid w:val="002C641E"/>
    <w:rsid w:val="002C6A37"/>
    <w:rsid w:val="002C6BAF"/>
    <w:rsid w:val="002C78D2"/>
    <w:rsid w:val="002C7C17"/>
    <w:rsid w:val="002D01FD"/>
    <w:rsid w:val="002D15E5"/>
    <w:rsid w:val="002D1DB7"/>
    <w:rsid w:val="002D2827"/>
    <w:rsid w:val="002D2875"/>
    <w:rsid w:val="002D3082"/>
    <w:rsid w:val="002D3BFB"/>
    <w:rsid w:val="002D6395"/>
    <w:rsid w:val="002D67F5"/>
    <w:rsid w:val="002D782B"/>
    <w:rsid w:val="002E050B"/>
    <w:rsid w:val="002E05EE"/>
    <w:rsid w:val="002E09DB"/>
    <w:rsid w:val="002E1284"/>
    <w:rsid w:val="002E1794"/>
    <w:rsid w:val="002E1D2A"/>
    <w:rsid w:val="002E3CDE"/>
    <w:rsid w:val="002E418C"/>
    <w:rsid w:val="002E4EE9"/>
    <w:rsid w:val="002E5570"/>
    <w:rsid w:val="002E5E84"/>
    <w:rsid w:val="002E6575"/>
    <w:rsid w:val="002F044A"/>
    <w:rsid w:val="002F1027"/>
    <w:rsid w:val="002F106E"/>
    <w:rsid w:val="002F19A4"/>
    <w:rsid w:val="002F1CFC"/>
    <w:rsid w:val="002F20E3"/>
    <w:rsid w:val="002F3084"/>
    <w:rsid w:val="002F377E"/>
    <w:rsid w:val="002F5F1B"/>
    <w:rsid w:val="002F5F46"/>
    <w:rsid w:val="002F6755"/>
    <w:rsid w:val="002F7DEA"/>
    <w:rsid w:val="002F7E6E"/>
    <w:rsid w:val="00300DFF"/>
    <w:rsid w:val="003011D3"/>
    <w:rsid w:val="00301207"/>
    <w:rsid w:val="003014F8"/>
    <w:rsid w:val="003016BB"/>
    <w:rsid w:val="00301CE2"/>
    <w:rsid w:val="00301EB7"/>
    <w:rsid w:val="00302150"/>
    <w:rsid w:val="0030394D"/>
    <w:rsid w:val="00303D23"/>
    <w:rsid w:val="00305609"/>
    <w:rsid w:val="00305732"/>
    <w:rsid w:val="003059CC"/>
    <w:rsid w:val="00306A43"/>
    <w:rsid w:val="00306C0F"/>
    <w:rsid w:val="00307337"/>
    <w:rsid w:val="003108F6"/>
    <w:rsid w:val="003112A3"/>
    <w:rsid w:val="00311638"/>
    <w:rsid w:val="00312C59"/>
    <w:rsid w:val="0031316D"/>
    <w:rsid w:val="003146DC"/>
    <w:rsid w:val="00315DDA"/>
    <w:rsid w:val="0031624F"/>
    <w:rsid w:val="00316D63"/>
    <w:rsid w:val="003172FB"/>
    <w:rsid w:val="003174EF"/>
    <w:rsid w:val="0031764F"/>
    <w:rsid w:val="003178EB"/>
    <w:rsid w:val="0032150E"/>
    <w:rsid w:val="00321BC9"/>
    <w:rsid w:val="00321CCF"/>
    <w:rsid w:val="00321D0D"/>
    <w:rsid w:val="00322148"/>
    <w:rsid w:val="003223CE"/>
    <w:rsid w:val="00322ED7"/>
    <w:rsid w:val="003230DF"/>
    <w:rsid w:val="0032374E"/>
    <w:rsid w:val="003237E4"/>
    <w:rsid w:val="00323A16"/>
    <w:rsid w:val="00324ECF"/>
    <w:rsid w:val="003266A3"/>
    <w:rsid w:val="003267DC"/>
    <w:rsid w:val="003309EF"/>
    <w:rsid w:val="00332099"/>
    <w:rsid w:val="00332984"/>
    <w:rsid w:val="00332AB5"/>
    <w:rsid w:val="00333335"/>
    <w:rsid w:val="00333916"/>
    <w:rsid w:val="00334010"/>
    <w:rsid w:val="00334569"/>
    <w:rsid w:val="0033546D"/>
    <w:rsid w:val="00336159"/>
    <w:rsid w:val="003363D9"/>
    <w:rsid w:val="00340093"/>
    <w:rsid w:val="00340E26"/>
    <w:rsid w:val="00340EF9"/>
    <w:rsid w:val="00341074"/>
    <w:rsid w:val="00341786"/>
    <w:rsid w:val="00342FF9"/>
    <w:rsid w:val="00343791"/>
    <w:rsid w:val="003437E7"/>
    <w:rsid w:val="00343A51"/>
    <w:rsid w:val="0034580E"/>
    <w:rsid w:val="0034609B"/>
    <w:rsid w:val="003466C0"/>
    <w:rsid w:val="00350037"/>
    <w:rsid w:val="003501F9"/>
    <w:rsid w:val="00350389"/>
    <w:rsid w:val="00350D4F"/>
    <w:rsid w:val="00350EEF"/>
    <w:rsid w:val="003519DE"/>
    <w:rsid w:val="00353C70"/>
    <w:rsid w:val="00353CCA"/>
    <w:rsid w:val="0035437E"/>
    <w:rsid w:val="00354D9D"/>
    <w:rsid w:val="00355133"/>
    <w:rsid w:val="003559FD"/>
    <w:rsid w:val="00355C48"/>
    <w:rsid w:val="00356A37"/>
    <w:rsid w:val="00357E05"/>
    <w:rsid w:val="0036043F"/>
    <w:rsid w:val="0036167A"/>
    <w:rsid w:val="00361AFA"/>
    <w:rsid w:val="00362417"/>
    <w:rsid w:val="00362C21"/>
    <w:rsid w:val="00363EAA"/>
    <w:rsid w:val="003647EB"/>
    <w:rsid w:val="0036482D"/>
    <w:rsid w:val="00364C11"/>
    <w:rsid w:val="0036561F"/>
    <w:rsid w:val="003656B6"/>
    <w:rsid w:val="003659E4"/>
    <w:rsid w:val="00365B14"/>
    <w:rsid w:val="00365E9F"/>
    <w:rsid w:val="00365F9A"/>
    <w:rsid w:val="00366328"/>
    <w:rsid w:val="00366E62"/>
    <w:rsid w:val="00367539"/>
    <w:rsid w:val="00371EDE"/>
    <w:rsid w:val="00374971"/>
    <w:rsid w:val="00374D29"/>
    <w:rsid w:val="00377950"/>
    <w:rsid w:val="0038094C"/>
    <w:rsid w:val="003819D7"/>
    <w:rsid w:val="00382160"/>
    <w:rsid w:val="003821D2"/>
    <w:rsid w:val="00382334"/>
    <w:rsid w:val="00384876"/>
    <w:rsid w:val="00385814"/>
    <w:rsid w:val="00386069"/>
    <w:rsid w:val="003862AF"/>
    <w:rsid w:val="003872F7"/>
    <w:rsid w:val="0038760A"/>
    <w:rsid w:val="00390754"/>
    <w:rsid w:val="00390C90"/>
    <w:rsid w:val="0039124E"/>
    <w:rsid w:val="003914B9"/>
    <w:rsid w:val="00393348"/>
    <w:rsid w:val="00394809"/>
    <w:rsid w:val="00394C69"/>
    <w:rsid w:val="00394CFF"/>
    <w:rsid w:val="003953B3"/>
    <w:rsid w:val="00395A2B"/>
    <w:rsid w:val="00395D3D"/>
    <w:rsid w:val="00396CA4"/>
    <w:rsid w:val="00396DF7"/>
    <w:rsid w:val="00397922"/>
    <w:rsid w:val="003A0F07"/>
    <w:rsid w:val="003A178E"/>
    <w:rsid w:val="003A1E77"/>
    <w:rsid w:val="003A24A3"/>
    <w:rsid w:val="003A34CD"/>
    <w:rsid w:val="003A4374"/>
    <w:rsid w:val="003A4F03"/>
    <w:rsid w:val="003A58ED"/>
    <w:rsid w:val="003A6A50"/>
    <w:rsid w:val="003A756E"/>
    <w:rsid w:val="003A7B02"/>
    <w:rsid w:val="003B0620"/>
    <w:rsid w:val="003B0BE3"/>
    <w:rsid w:val="003B10F1"/>
    <w:rsid w:val="003B20A8"/>
    <w:rsid w:val="003B2CE7"/>
    <w:rsid w:val="003B3F4A"/>
    <w:rsid w:val="003B3FD4"/>
    <w:rsid w:val="003B49E4"/>
    <w:rsid w:val="003B5311"/>
    <w:rsid w:val="003B5B49"/>
    <w:rsid w:val="003B610D"/>
    <w:rsid w:val="003B64F9"/>
    <w:rsid w:val="003B6D96"/>
    <w:rsid w:val="003B716F"/>
    <w:rsid w:val="003B7489"/>
    <w:rsid w:val="003B7645"/>
    <w:rsid w:val="003B785C"/>
    <w:rsid w:val="003B7873"/>
    <w:rsid w:val="003C0A27"/>
    <w:rsid w:val="003C0B0B"/>
    <w:rsid w:val="003C0F0C"/>
    <w:rsid w:val="003C112D"/>
    <w:rsid w:val="003C2AE1"/>
    <w:rsid w:val="003C333A"/>
    <w:rsid w:val="003C376F"/>
    <w:rsid w:val="003C3B56"/>
    <w:rsid w:val="003C3D99"/>
    <w:rsid w:val="003C54AB"/>
    <w:rsid w:val="003C564E"/>
    <w:rsid w:val="003C604D"/>
    <w:rsid w:val="003C63B3"/>
    <w:rsid w:val="003C6AA1"/>
    <w:rsid w:val="003C7860"/>
    <w:rsid w:val="003D0851"/>
    <w:rsid w:val="003D0882"/>
    <w:rsid w:val="003D28FD"/>
    <w:rsid w:val="003D4102"/>
    <w:rsid w:val="003D41C0"/>
    <w:rsid w:val="003D57A4"/>
    <w:rsid w:val="003D5916"/>
    <w:rsid w:val="003D59D3"/>
    <w:rsid w:val="003D6362"/>
    <w:rsid w:val="003D6AEA"/>
    <w:rsid w:val="003D6FB0"/>
    <w:rsid w:val="003D792D"/>
    <w:rsid w:val="003D7FEF"/>
    <w:rsid w:val="003E00E2"/>
    <w:rsid w:val="003E0585"/>
    <w:rsid w:val="003E090B"/>
    <w:rsid w:val="003E0D60"/>
    <w:rsid w:val="003E20D7"/>
    <w:rsid w:val="003E230C"/>
    <w:rsid w:val="003E2538"/>
    <w:rsid w:val="003E33D5"/>
    <w:rsid w:val="003E4739"/>
    <w:rsid w:val="003E4833"/>
    <w:rsid w:val="003E563C"/>
    <w:rsid w:val="003E57BC"/>
    <w:rsid w:val="003E60EF"/>
    <w:rsid w:val="003E6B62"/>
    <w:rsid w:val="003E7363"/>
    <w:rsid w:val="003E7E5F"/>
    <w:rsid w:val="003F1165"/>
    <w:rsid w:val="003F1256"/>
    <w:rsid w:val="003F1F09"/>
    <w:rsid w:val="003F3B41"/>
    <w:rsid w:val="003F3D38"/>
    <w:rsid w:val="003F56EB"/>
    <w:rsid w:val="003F5F45"/>
    <w:rsid w:val="003F788A"/>
    <w:rsid w:val="003F7B26"/>
    <w:rsid w:val="0040022B"/>
    <w:rsid w:val="0040056B"/>
    <w:rsid w:val="00400B00"/>
    <w:rsid w:val="00400BCA"/>
    <w:rsid w:val="004016E6"/>
    <w:rsid w:val="00401C66"/>
    <w:rsid w:val="00401C8C"/>
    <w:rsid w:val="00402135"/>
    <w:rsid w:val="00403F92"/>
    <w:rsid w:val="0040435F"/>
    <w:rsid w:val="004050F3"/>
    <w:rsid w:val="0040534C"/>
    <w:rsid w:val="0040564A"/>
    <w:rsid w:val="00405710"/>
    <w:rsid w:val="00405738"/>
    <w:rsid w:val="00406068"/>
    <w:rsid w:val="004061E2"/>
    <w:rsid w:val="004073AC"/>
    <w:rsid w:val="00407BA0"/>
    <w:rsid w:val="00410719"/>
    <w:rsid w:val="004111D7"/>
    <w:rsid w:val="00411477"/>
    <w:rsid w:val="00411493"/>
    <w:rsid w:val="00411DC0"/>
    <w:rsid w:val="00413981"/>
    <w:rsid w:val="00413B7A"/>
    <w:rsid w:val="00415765"/>
    <w:rsid w:val="00415BD8"/>
    <w:rsid w:val="00416389"/>
    <w:rsid w:val="00416594"/>
    <w:rsid w:val="00416756"/>
    <w:rsid w:val="00417A2A"/>
    <w:rsid w:val="004201FF"/>
    <w:rsid w:val="00420336"/>
    <w:rsid w:val="00420E8B"/>
    <w:rsid w:val="004211B0"/>
    <w:rsid w:val="00421463"/>
    <w:rsid w:val="00421994"/>
    <w:rsid w:val="004220A5"/>
    <w:rsid w:val="00422725"/>
    <w:rsid w:val="00422888"/>
    <w:rsid w:val="00423842"/>
    <w:rsid w:val="00423901"/>
    <w:rsid w:val="004240A5"/>
    <w:rsid w:val="00424F09"/>
    <w:rsid w:val="00424F7B"/>
    <w:rsid w:val="00427343"/>
    <w:rsid w:val="00427A0B"/>
    <w:rsid w:val="00430B17"/>
    <w:rsid w:val="00430DA7"/>
    <w:rsid w:val="004315CE"/>
    <w:rsid w:val="00431BC3"/>
    <w:rsid w:val="00431F7B"/>
    <w:rsid w:val="00432B79"/>
    <w:rsid w:val="004330E9"/>
    <w:rsid w:val="00433E75"/>
    <w:rsid w:val="00434A1C"/>
    <w:rsid w:val="0043566E"/>
    <w:rsid w:val="0043667A"/>
    <w:rsid w:val="0043672A"/>
    <w:rsid w:val="00436E1D"/>
    <w:rsid w:val="00437404"/>
    <w:rsid w:val="00437420"/>
    <w:rsid w:val="004378E4"/>
    <w:rsid w:val="0043797C"/>
    <w:rsid w:val="004403C2"/>
    <w:rsid w:val="00441508"/>
    <w:rsid w:val="00441C73"/>
    <w:rsid w:val="00442097"/>
    <w:rsid w:val="00442194"/>
    <w:rsid w:val="0044220F"/>
    <w:rsid w:val="00442815"/>
    <w:rsid w:val="00443312"/>
    <w:rsid w:val="004441E9"/>
    <w:rsid w:val="00444784"/>
    <w:rsid w:val="00446E23"/>
    <w:rsid w:val="004479FC"/>
    <w:rsid w:val="00447ACE"/>
    <w:rsid w:val="0045051C"/>
    <w:rsid w:val="0045060E"/>
    <w:rsid w:val="00450D89"/>
    <w:rsid w:val="004515F3"/>
    <w:rsid w:val="00451AF3"/>
    <w:rsid w:val="00452CF3"/>
    <w:rsid w:val="004532D0"/>
    <w:rsid w:val="0045389E"/>
    <w:rsid w:val="00453B95"/>
    <w:rsid w:val="00456DB3"/>
    <w:rsid w:val="0045750D"/>
    <w:rsid w:val="00457720"/>
    <w:rsid w:val="0046056F"/>
    <w:rsid w:val="00460870"/>
    <w:rsid w:val="00460958"/>
    <w:rsid w:val="00461567"/>
    <w:rsid w:val="00462305"/>
    <w:rsid w:val="00462861"/>
    <w:rsid w:val="004629BE"/>
    <w:rsid w:val="00464015"/>
    <w:rsid w:val="0046445B"/>
    <w:rsid w:val="00464705"/>
    <w:rsid w:val="00465C3F"/>
    <w:rsid w:val="00465FD7"/>
    <w:rsid w:val="0046614F"/>
    <w:rsid w:val="00467859"/>
    <w:rsid w:val="0047065F"/>
    <w:rsid w:val="0047068D"/>
    <w:rsid w:val="00472459"/>
    <w:rsid w:val="00472751"/>
    <w:rsid w:val="00472944"/>
    <w:rsid w:val="00472A92"/>
    <w:rsid w:val="00473535"/>
    <w:rsid w:val="0047365E"/>
    <w:rsid w:val="00473911"/>
    <w:rsid w:val="00473FEC"/>
    <w:rsid w:val="004747C6"/>
    <w:rsid w:val="004750BD"/>
    <w:rsid w:val="00475243"/>
    <w:rsid w:val="00476C7C"/>
    <w:rsid w:val="00477B97"/>
    <w:rsid w:val="00481BCF"/>
    <w:rsid w:val="004824B2"/>
    <w:rsid w:val="004829BB"/>
    <w:rsid w:val="00483B46"/>
    <w:rsid w:val="00484AEA"/>
    <w:rsid w:val="004859A3"/>
    <w:rsid w:val="004862D6"/>
    <w:rsid w:val="00487138"/>
    <w:rsid w:val="004875ED"/>
    <w:rsid w:val="00487CFC"/>
    <w:rsid w:val="004904D4"/>
    <w:rsid w:val="00490CAF"/>
    <w:rsid w:val="00490DF4"/>
    <w:rsid w:val="0049241A"/>
    <w:rsid w:val="00492875"/>
    <w:rsid w:val="0049299C"/>
    <w:rsid w:val="00492DD3"/>
    <w:rsid w:val="00492EF3"/>
    <w:rsid w:val="00493299"/>
    <w:rsid w:val="00493668"/>
    <w:rsid w:val="004938E0"/>
    <w:rsid w:val="004939DC"/>
    <w:rsid w:val="00494605"/>
    <w:rsid w:val="00494E98"/>
    <w:rsid w:val="00495DB3"/>
    <w:rsid w:val="004968CE"/>
    <w:rsid w:val="00496F8F"/>
    <w:rsid w:val="00497116"/>
    <w:rsid w:val="004977BD"/>
    <w:rsid w:val="00497CA5"/>
    <w:rsid w:val="004A0246"/>
    <w:rsid w:val="004A0577"/>
    <w:rsid w:val="004A0834"/>
    <w:rsid w:val="004A0ACE"/>
    <w:rsid w:val="004A1CFD"/>
    <w:rsid w:val="004A3019"/>
    <w:rsid w:val="004A5208"/>
    <w:rsid w:val="004A682F"/>
    <w:rsid w:val="004A6B88"/>
    <w:rsid w:val="004A7726"/>
    <w:rsid w:val="004A7828"/>
    <w:rsid w:val="004A7ADF"/>
    <w:rsid w:val="004A7C40"/>
    <w:rsid w:val="004A7C90"/>
    <w:rsid w:val="004B0038"/>
    <w:rsid w:val="004B108A"/>
    <w:rsid w:val="004B1300"/>
    <w:rsid w:val="004B1313"/>
    <w:rsid w:val="004B1A87"/>
    <w:rsid w:val="004B2278"/>
    <w:rsid w:val="004B3598"/>
    <w:rsid w:val="004B3740"/>
    <w:rsid w:val="004B39DA"/>
    <w:rsid w:val="004B3FF5"/>
    <w:rsid w:val="004B46FA"/>
    <w:rsid w:val="004B4AC6"/>
    <w:rsid w:val="004B4B4D"/>
    <w:rsid w:val="004B503B"/>
    <w:rsid w:val="004B5160"/>
    <w:rsid w:val="004B53C3"/>
    <w:rsid w:val="004B5E55"/>
    <w:rsid w:val="004B753C"/>
    <w:rsid w:val="004B77EE"/>
    <w:rsid w:val="004B7BD2"/>
    <w:rsid w:val="004C0B70"/>
    <w:rsid w:val="004C13F0"/>
    <w:rsid w:val="004C166E"/>
    <w:rsid w:val="004C2E53"/>
    <w:rsid w:val="004C34DB"/>
    <w:rsid w:val="004C3EF2"/>
    <w:rsid w:val="004C446B"/>
    <w:rsid w:val="004C4A37"/>
    <w:rsid w:val="004C4A43"/>
    <w:rsid w:val="004C4E6C"/>
    <w:rsid w:val="004C5249"/>
    <w:rsid w:val="004C5349"/>
    <w:rsid w:val="004C53FF"/>
    <w:rsid w:val="004C6054"/>
    <w:rsid w:val="004C6558"/>
    <w:rsid w:val="004C6FAA"/>
    <w:rsid w:val="004C730B"/>
    <w:rsid w:val="004C7CCA"/>
    <w:rsid w:val="004D08CD"/>
    <w:rsid w:val="004D0A3D"/>
    <w:rsid w:val="004D145F"/>
    <w:rsid w:val="004D1463"/>
    <w:rsid w:val="004D16FB"/>
    <w:rsid w:val="004D20FC"/>
    <w:rsid w:val="004D21D3"/>
    <w:rsid w:val="004D3964"/>
    <w:rsid w:val="004D3D31"/>
    <w:rsid w:val="004D4C0F"/>
    <w:rsid w:val="004D4FEA"/>
    <w:rsid w:val="004D5703"/>
    <w:rsid w:val="004D62EF"/>
    <w:rsid w:val="004D7227"/>
    <w:rsid w:val="004D79BB"/>
    <w:rsid w:val="004D7C2D"/>
    <w:rsid w:val="004D7CF9"/>
    <w:rsid w:val="004E236A"/>
    <w:rsid w:val="004E2A63"/>
    <w:rsid w:val="004E2B12"/>
    <w:rsid w:val="004E2B89"/>
    <w:rsid w:val="004E3EB0"/>
    <w:rsid w:val="004E4102"/>
    <w:rsid w:val="004E4409"/>
    <w:rsid w:val="004E531A"/>
    <w:rsid w:val="004E5EEE"/>
    <w:rsid w:val="004E6070"/>
    <w:rsid w:val="004E6F14"/>
    <w:rsid w:val="004E73DC"/>
    <w:rsid w:val="004E7C54"/>
    <w:rsid w:val="004F0B9C"/>
    <w:rsid w:val="004F0F3B"/>
    <w:rsid w:val="004F2362"/>
    <w:rsid w:val="004F2466"/>
    <w:rsid w:val="004F268F"/>
    <w:rsid w:val="004F2D37"/>
    <w:rsid w:val="004F30C8"/>
    <w:rsid w:val="004F3AE8"/>
    <w:rsid w:val="004F40B0"/>
    <w:rsid w:val="004F412E"/>
    <w:rsid w:val="004F41AC"/>
    <w:rsid w:val="004F4F2D"/>
    <w:rsid w:val="004F5088"/>
    <w:rsid w:val="004F7467"/>
    <w:rsid w:val="004F7550"/>
    <w:rsid w:val="004F7FE6"/>
    <w:rsid w:val="005010F6"/>
    <w:rsid w:val="00501246"/>
    <w:rsid w:val="00502A56"/>
    <w:rsid w:val="00502F78"/>
    <w:rsid w:val="0050419B"/>
    <w:rsid w:val="00504580"/>
    <w:rsid w:val="00504E0E"/>
    <w:rsid w:val="00505172"/>
    <w:rsid w:val="0050666F"/>
    <w:rsid w:val="00506995"/>
    <w:rsid w:val="00506AE6"/>
    <w:rsid w:val="0050755B"/>
    <w:rsid w:val="005076BC"/>
    <w:rsid w:val="00507835"/>
    <w:rsid w:val="00507A31"/>
    <w:rsid w:val="00507CF7"/>
    <w:rsid w:val="00510634"/>
    <w:rsid w:val="00510AB4"/>
    <w:rsid w:val="005114A7"/>
    <w:rsid w:val="00511550"/>
    <w:rsid w:val="00511727"/>
    <w:rsid w:val="00511990"/>
    <w:rsid w:val="00511C0C"/>
    <w:rsid w:val="0051202F"/>
    <w:rsid w:val="0051209B"/>
    <w:rsid w:val="005129B1"/>
    <w:rsid w:val="00514076"/>
    <w:rsid w:val="00516942"/>
    <w:rsid w:val="00516B8B"/>
    <w:rsid w:val="00517347"/>
    <w:rsid w:val="00517400"/>
    <w:rsid w:val="005200C9"/>
    <w:rsid w:val="00520963"/>
    <w:rsid w:val="00520B0A"/>
    <w:rsid w:val="00521262"/>
    <w:rsid w:val="0052226B"/>
    <w:rsid w:val="005229B9"/>
    <w:rsid w:val="00522CCC"/>
    <w:rsid w:val="005237C8"/>
    <w:rsid w:val="00524C9C"/>
    <w:rsid w:val="00524F65"/>
    <w:rsid w:val="00524FD9"/>
    <w:rsid w:val="0052545C"/>
    <w:rsid w:val="005255CC"/>
    <w:rsid w:val="00525C83"/>
    <w:rsid w:val="00525DA8"/>
    <w:rsid w:val="005308E5"/>
    <w:rsid w:val="00530A9E"/>
    <w:rsid w:val="00531B51"/>
    <w:rsid w:val="00532013"/>
    <w:rsid w:val="0053236D"/>
    <w:rsid w:val="00532A22"/>
    <w:rsid w:val="00532EBF"/>
    <w:rsid w:val="00533021"/>
    <w:rsid w:val="005335B7"/>
    <w:rsid w:val="00534583"/>
    <w:rsid w:val="00534A78"/>
    <w:rsid w:val="0053502A"/>
    <w:rsid w:val="00535F83"/>
    <w:rsid w:val="005370D8"/>
    <w:rsid w:val="00537C19"/>
    <w:rsid w:val="00537D47"/>
    <w:rsid w:val="0054125B"/>
    <w:rsid w:val="00541B4A"/>
    <w:rsid w:val="00541DAD"/>
    <w:rsid w:val="005423F2"/>
    <w:rsid w:val="00542997"/>
    <w:rsid w:val="00543758"/>
    <w:rsid w:val="00543B8D"/>
    <w:rsid w:val="00543BFD"/>
    <w:rsid w:val="00544673"/>
    <w:rsid w:val="005452ED"/>
    <w:rsid w:val="00545CB1"/>
    <w:rsid w:val="005462E8"/>
    <w:rsid w:val="00546DDB"/>
    <w:rsid w:val="00547F45"/>
    <w:rsid w:val="005503DD"/>
    <w:rsid w:val="00550798"/>
    <w:rsid w:val="00551014"/>
    <w:rsid w:val="005525AC"/>
    <w:rsid w:val="00552BCF"/>
    <w:rsid w:val="005541ED"/>
    <w:rsid w:val="00554270"/>
    <w:rsid w:val="00554349"/>
    <w:rsid w:val="005544A5"/>
    <w:rsid w:val="005545F0"/>
    <w:rsid w:val="00554C5B"/>
    <w:rsid w:val="00555507"/>
    <w:rsid w:val="00555591"/>
    <w:rsid w:val="005556E7"/>
    <w:rsid w:val="005579CF"/>
    <w:rsid w:val="00560A26"/>
    <w:rsid w:val="005615BF"/>
    <w:rsid w:val="005618E5"/>
    <w:rsid w:val="0056200C"/>
    <w:rsid w:val="00562B56"/>
    <w:rsid w:val="00562D43"/>
    <w:rsid w:val="00562D8B"/>
    <w:rsid w:val="005632A9"/>
    <w:rsid w:val="005633FB"/>
    <w:rsid w:val="0056517B"/>
    <w:rsid w:val="00565BC4"/>
    <w:rsid w:val="00566C36"/>
    <w:rsid w:val="00567209"/>
    <w:rsid w:val="005673FF"/>
    <w:rsid w:val="00567538"/>
    <w:rsid w:val="005701D6"/>
    <w:rsid w:val="00570A86"/>
    <w:rsid w:val="00570BF5"/>
    <w:rsid w:val="00570F02"/>
    <w:rsid w:val="00572107"/>
    <w:rsid w:val="00572389"/>
    <w:rsid w:val="005726F7"/>
    <w:rsid w:val="005727B3"/>
    <w:rsid w:val="00573203"/>
    <w:rsid w:val="005732B1"/>
    <w:rsid w:val="00574130"/>
    <w:rsid w:val="00576B7A"/>
    <w:rsid w:val="005771BF"/>
    <w:rsid w:val="00580667"/>
    <w:rsid w:val="005806B9"/>
    <w:rsid w:val="00582B7D"/>
    <w:rsid w:val="005845B6"/>
    <w:rsid w:val="005847FF"/>
    <w:rsid w:val="00584E43"/>
    <w:rsid w:val="005866AA"/>
    <w:rsid w:val="00587528"/>
    <w:rsid w:val="00587598"/>
    <w:rsid w:val="005904DD"/>
    <w:rsid w:val="00590719"/>
    <w:rsid w:val="005909D2"/>
    <w:rsid w:val="00590BC8"/>
    <w:rsid w:val="00590D5E"/>
    <w:rsid w:val="005913BD"/>
    <w:rsid w:val="005918A6"/>
    <w:rsid w:val="00591B49"/>
    <w:rsid w:val="0059289D"/>
    <w:rsid w:val="00593AE5"/>
    <w:rsid w:val="00594839"/>
    <w:rsid w:val="00594A46"/>
    <w:rsid w:val="00594C77"/>
    <w:rsid w:val="00594F81"/>
    <w:rsid w:val="005952EF"/>
    <w:rsid w:val="0059533A"/>
    <w:rsid w:val="005958A4"/>
    <w:rsid w:val="00595D9A"/>
    <w:rsid w:val="00595FE1"/>
    <w:rsid w:val="00597722"/>
    <w:rsid w:val="005A0ABF"/>
    <w:rsid w:val="005A12AE"/>
    <w:rsid w:val="005A13DB"/>
    <w:rsid w:val="005A1695"/>
    <w:rsid w:val="005A1AA9"/>
    <w:rsid w:val="005A1F11"/>
    <w:rsid w:val="005A3372"/>
    <w:rsid w:val="005A33B7"/>
    <w:rsid w:val="005A3464"/>
    <w:rsid w:val="005A352F"/>
    <w:rsid w:val="005A3939"/>
    <w:rsid w:val="005A4DB2"/>
    <w:rsid w:val="005A553F"/>
    <w:rsid w:val="005A6388"/>
    <w:rsid w:val="005B1708"/>
    <w:rsid w:val="005B269D"/>
    <w:rsid w:val="005B60D4"/>
    <w:rsid w:val="005B62CC"/>
    <w:rsid w:val="005B668F"/>
    <w:rsid w:val="005B6BED"/>
    <w:rsid w:val="005B7267"/>
    <w:rsid w:val="005B7980"/>
    <w:rsid w:val="005C1C6D"/>
    <w:rsid w:val="005C1F9F"/>
    <w:rsid w:val="005C2254"/>
    <w:rsid w:val="005C2ADA"/>
    <w:rsid w:val="005C349A"/>
    <w:rsid w:val="005C391A"/>
    <w:rsid w:val="005C4169"/>
    <w:rsid w:val="005C4414"/>
    <w:rsid w:val="005C4453"/>
    <w:rsid w:val="005C4B0C"/>
    <w:rsid w:val="005C4F3C"/>
    <w:rsid w:val="005C5C13"/>
    <w:rsid w:val="005C606C"/>
    <w:rsid w:val="005C627A"/>
    <w:rsid w:val="005C6871"/>
    <w:rsid w:val="005C6985"/>
    <w:rsid w:val="005C762A"/>
    <w:rsid w:val="005D0546"/>
    <w:rsid w:val="005D079B"/>
    <w:rsid w:val="005D0A73"/>
    <w:rsid w:val="005D0DEF"/>
    <w:rsid w:val="005D1C47"/>
    <w:rsid w:val="005D1DD4"/>
    <w:rsid w:val="005D1F22"/>
    <w:rsid w:val="005D20AB"/>
    <w:rsid w:val="005D27FC"/>
    <w:rsid w:val="005D2CB3"/>
    <w:rsid w:val="005D34EE"/>
    <w:rsid w:val="005D3854"/>
    <w:rsid w:val="005D38EA"/>
    <w:rsid w:val="005D3A0E"/>
    <w:rsid w:val="005D46E1"/>
    <w:rsid w:val="005D4ACB"/>
    <w:rsid w:val="005D4BCF"/>
    <w:rsid w:val="005D5C7F"/>
    <w:rsid w:val="005D79F9"/>
    <w:rsid w:val="005D7A46"/>
    <w:rsid w:val="005D7DD6"/>
    <w:rsid w:val="005D7F7C"/>
    <w:rsid w:val="005E037E"/>
    <w:rsid w:val="005E0646"/>
    <w:rsid w:val="005E0B93"/>
    <w:rsid w:val="005E1AE8"/>
    <w:rsid w:val="005E222E"/>
    <w:rsid w:val="005E287E"/>
    <w:rsid w:val="005E3EFE"/>
    <w:rsid w:val="005E5959"/>
    <w:rsid w:val="005E5ABE"/>
    <w:rsid w:val="005E6AAE"/>
    <w:rsid w:val="005E6BF2"/>
    <w:rsid w:val="005E7051"/>
    <w:rsid w:val="005E7650"/>
    <w:rsid w:val="005E7D85"/>
    <w:rsid w:val="005F0611"/>
    <w:rsid w:val="005F0E51"/>
    <w:rsid w:val="005F16A8"/>
    <w:rsid w:val="005F17C1"/>
    <w:rsid w:val="005F1CCE"/>
    <w:rsid w:val="005F2A4B"/>
    <w:rsid w:val="005F2DBD"/>
    <w:rsid w:val="005F32E3"/>
    <w:rsid w:val="005F350D"/>
    <w:rsid w:val="005F35E7"/>
    <w:rsid w:val="005F3A32"/>
    <w:rsid w:val="005F4668"/>
    <w:rsid w:val="005F4B41"/>
    <w:rsid w:val="005F4DCA"/>
    <w:rsid w:val="005F51BB"/>
    <w:rsid w:val="005F51EC"/>
    <w:rsid w:val="005F5AF8"/>
    <w:rsid w:val="005F717A"/>
    <w:rsid w:val="00601B3B"/>
    <w:rsid w:val="00601B99"/>
    <w:rsid w:val="006041A1"/>
    <w:rsid w:val="00604BB7"/>
    <w:rsid w:val="00604E06"/>
    <w:rsid w:val="00604FD3"/>
    <w:rsid w:val="00605422"/>
    <w:rsid w:val="006064A4"/>
    <w:rsid w:val="0060666A"/>
    <w:rsid w:val="00606DF5"/>
    <w:rsid w:val="00607193"/>
    <w:rsid w:val="0060752C"/>
    <w:rsid w:val="00607ACF"/>
    <w:rsid w:val="006101B7"/>
    <w:rsid w:val="006104DB"/>
    <w:rsid w:val="006127DF"/>
    <w:rsid w:val="006139D7"/>
    <w:rsid w:val="00613C97"/>
    <w:rsid w:val="00613E05"/>
    <w:rsid w:val="0061431F"/>
    <w:rsid w:val="006143A2"/>
    <w:rsid w:val="006146A6"/>
    <w:rsid w:val="00614EBF"/>
    <w:rsid w:val="006166B5"/>
    <w:rsid w:val="00617137"/>
    <w:rsid w:val="006223CB"/>
    <w:rsid w:val="00622E53"/>
    <w:rsid w:val="006241C8"/>
    <w:rsid w:val="00624B59"/>
    <w:rsid w:val="00624BD0"/>
    <w:rsid w:val="00625500"/>
    <w:rsid w:val="00625913"/>
    <w:rsid w:val="00625969"/>
    <w:rsid w:val="006265B7"/>
    <w:rsid w:val="0062793E"/>
    <w:rsid w:val="00627DA9"/>
    <w:rsid w:val="00631DD9"/>
    <w:rsid w:val="006337D3"/>
    <w:rsid w:val="0063509B"/>
    <w:rsid w:val="00635382"/>
    <w:rsid w:val="00635C3C"/>
    <w:rsid w:val="00636346"/>
    <w:rsid w:val="00636D36"/>
    <w:rsid w:val="00637D45"/>
    <w:rsid w:val="00637F0C"/>
    <w:rsid w:val="006400FB"/>
    <w:rsid w:val="00640566"/>
    <w:rsid w:val="00640B13"/>
    <w:rsid w:val="0064188C"/>
    <w:rsid w:val="00642663"/>
    <w:rsid w:val="00642770"/>
    <w:rsid w:val="006432BB"/>
    <w:rsid w:val="00643725"/>
    <w:rsid w:val="0064378F"/>
    <w:rsid w:val="0064381A"/>
    <w:rsid w:val="006439B0"/>
    <w:rsid w:val="00643F39"/>
    <w:rsid w:val="006469E6"/>
    <w:rsid w:val="00646EEA"/>
    <w:rsid w:val="006471A4"/>
    <w:rsid w:val="006513DD"/>
    <w:rsid w:val="00653694"/>
    <w:rsid w:val="006537BB"/>
    <w:rsid w:val="00654AF5"/>
    <w:rsid w:val="006559B6"/>
    <w:rsid w:val="00655C51"/>
    <w:rsid w:val="00655D4B"/>
    <w:rsid w:val="00656222"/>
    <w:rsid w:val="00657352"/>
    <w:rsid w:val="006606B3"/>
    <w:rsid w:val="00661FB0"/>
    <w:rsid w:val="00662D92"/>
    <w:rsid w:val="00664148"/>
    <w:rsid w:val="00665A45"/>
    <w:rsid w:val="00665A52"/>
    <w:rsid w:val="00665BB3"/>
    <w:rsid w:val="0067340E"/>
    <w:rsid w:val="00674AE5"/>
    <w:rsid w:val="00674B6D"/>
    <w:rsid w:val="00675581"/>
    <w:rsid w:val="00677F61"/>
    <w:rsid w:val="00680E18"/>
    <w:rsid w:val="0068177F"/>
    <w:rsid w:val="00681D25"/>
    <w:rsid w:val="00682347"/>
    <w:rsid w:val="006823AA"/>
    <w:rsid w:val="00682581"/>
    <w:rsid w:val="00682BF1"/>
    <w:rsid w:val="00682CF2"/>
    <w:rsid w:val="006835CD"/>
    <w:rsid w:val="0068382E"/>
    <w:rsid w:val="00683E31"/>
    <w:rsid w:val="00685C25"/>
    <w:rsid w:val="006867A1"/>
    <w:rsid w:val="00686FF2"/>
    <w:rsid w:val="0068735E"/>
    <w:rsid w:val="006874BB"/>
    <w:rsid w:val="00691E51"/>
    <w:rsid w:val="006924E7"/>
    <w:rsid w:val="00693359"/>
    <w:rsid w:val="0069348C"/>
    <w:rsid w:val="006941BB"/>
    <w:rsid w:val="00695A96"/>
    <w:rsid w:val="00695FBC"/>
    <w:rsid w:val="00696654"/>
    <w:rsid w:val="006969DA"/>
    <w:rsid w:val="006975DB"/>
    <w:rsid w:val="006A0D8D"/>
    <w:rsid w:val="006A2A25"/>
    <w:rsid w:val="006A2F80"/>
    <w:rsid w:val="006A389A"/>
    <w:rsid w:val="006A3975"/>
    <w:rsid w:val="006A3FCC"/>
    <w:rsid w:val="006A4B3E"/>
    <w:rsid w:val="006A4CB3"/>
    <w:rsid w:val="006A4EF1"/>
    <w:rsid w:val="006A55FD"/>
    <w:rsid w:val="006A61E5"/>
    <w:rsid w:val="006A6C87"/>
    <w:rsid w:val="006A6FBA"/>
    <w:rsid w:val="006B182C"/>
    <w:rsid w:val="006B2154"/>
    <w:rsid w:val="006B24AA"/>
    <w:rsid w:val="006B2E83"/>
    <w:rsid w:val="006B3645"/>
    <w:rsid w:val="006B3FF4"/>
    <w:rsid w:val="006B41D3"/>
    <w:rsid w:val="006B57B5"/>
    <w:rsid w:val="006B6B94"/>
    <w:rsid w:val="006B773F"/>
    <w:rsid w:val="006B7B56"/>
    <w:rsid w:val="006C0155"/>
    <w:rsid w:val="006C0704"/>
    <w:rsid w:val="006C07BB"/>
    <w:rsid w:val="006C0E5C"/>
    <w:rsid w:val="006C1823"/>
    <w:rsid w:val="006C1877"/>
    <w:rsid w:val="006C2532"/>
    <w:rsid w:val="006C2A73"/>
    <w:rsid w:val="006C2B36"/>
    <w:rsid w:val="006C2EDB"/>
    <w:rsid w:val="006C31D8"/>
    <w:rsid w:val="006C3864"/>
    <w:rsid w:val="006C5569"/>
    <w:rsid w:val="006C59F0"/>
    <w:rsid w:val="006C6CA9"/>
    <w:rsid w:val="006C6CBE"/>
    <w:rsid w:val="006C702B"/>
    <w:rsid w:val="006C731F"/>
    <w:rsid w:val="006D0806"/>
    <w:rsid w:val="006D0AED"/>
    <w:rsid w:val="006D0F63"/>
    <w:rsid w:val="006D12C9"/>
    <w:rsid w:val="006D4727"/>
    <w:rsid w:val="006D4861"/>
    <w:rsid w:val="006D4C7E"/>
    <w:rsid w:val="006D4DD1"/>
    <w:rsid w:val="006D5CFD"/>
    <w:rsid w:val="006D5E2F"/>
    <w:rsid w:val="006D7BE3"/>
    <w:rsid w:val="006E0C8D"/>
    <w:rsid w:val="006E175E"/>
    <w:rsid w:val="006E29E8"/>
    <w:rsid w:val="006E301B"/>
    <w:rsid w:val="006E3532"/>
    <w:rsid w:val="006E4CD6"/>
    <w:rsid w:val="006E4D10"/>
    <w:rsid w:val="006E6ACA"/>
    <w:rsid w:val="006F00E8"/>
    <w:rsid w:val="006F0D8A"/>
    <w:rsid w:val="006F1CCD"/>
    <w:rsid w:val="006F1EB0"/>
    <w:rsid w:val="006F2359"/>
    <w:rsid w:val="006F3D29"/>
    <w:rsid w:val="006F405C"/>
    <w:rsid w:val="006F4362"/>
    <w:rsid w:val="006F45DF"/>
    <w:rsid w:val="006F5057"/>
    <w:rsid w:val="006F5631"/>
    <w:rsid w:val="006F607E"/>
    <w:rsid w:val="006F6CFB"/>
    <w:rsid w:val="006F70CD"/>
    <w:rsid w:val="006F71AE"/>
    <w:rsid w:val="006F768F"/>
    <w:rsid w:val="0070092C"/>
    <w:rsid w:val="00701619"/>
    <w:rsid w:val="00702DA9"/>
    <w:rsid w:val="00703435"/>
    <w:rsid w:val="00703923"/>
    <w:rsid w:val="00704B61"/>
    <w:rsid w:val="00704CE3"/>
    <w:rsid w:val="0070564B"/>
    <w:rsid w:val="00705C8F"/>
    <w:rsid w:val="00705D75"/>
    <w:rsid w:val="00706D47"/>
    <w:rsid w:val="0070746A"/>
    <w:rsid w:val="00710E99"/>
    <w:rsid w:val="00710F47"/>
    <w:rsid w:val="0071287C"/>
    <w:rsid w:val="00715069"/>
    <w:rsid w:val="0071573E"/>
    <w:rsid w:val="00715ADD"/>
    <w:rsid w:val="007168F3"/>
    <w:rsid w:val="007175D0"/>
    <w:rsid w:val="00717729"/>
    <w:rsid w:val="00720D77"/>
    <w:rsid w:val="00722BB0"/>
    <w:rsid w:val="0072374E"/>
    <w:rsid w:val="00724055"/>
    <w:rsid w:val="00724A6C"/>
    <w:rsid w:val="00725284"/>
    <w:rsid w:val="0072567F"/>
    <w:rsid w:val="00725C86"/>
    <w:rsid w:val="00725F78"/>
    <w:rsid w:val="0072625D"/>
    <w:rsid w:val="00726289"/>
    <w:rsid w:val="007269F2"/>
    <w:rsid w:val="0072790E"/>
    <w:rsid w:val="007279AD"/>
    <w:rsid w:val="00727E64"/>
    <w:rsid w:val="007305BD"/>
    <w:rsid w:val="007316B1"/>
    <w:rsid w:val="007331D7"/>
    <w:rsid w:val="007334DE"/>
    <w:rsid w:val="0073362F"/>
    <w:rsid w:val="00733872"/>
    <w:rsid w:val="0073427C"/>
    <w:rsid w:val="00735141"/>
    <w:rsid w:val="00735284"/>
    <w:rsid w:val="007359EF"/>
    <w:rsid w:val="00735AB8"/>
    <w:rsid w:val="00735B65"/>
    <w:rsid w:val="007373BB"/>
    <w:rsid w:val="0074051D"/>
    <w:rsid w:val="00740EB9"/>
    <w:rsid w:val="00741D38"/>
    <w:rsid w:val="007432C4"/>
    <w:rsid w:val="007432F5"/>
    <w:rsid w:val="00743CAA"/>
    <w:rsid w:val="00743DFC"/>
    <w:rsid w:val="007441EC"/>
    <w:rsid w:val="00747034"/>
    <w:rsid w:val="00747A27"/>
    <w:rsid w:val="00747A55"/>
    <w:rsid w:val="007503DB"/>
    <w:rsid w:val="00750C0B"/>
    <w:rsid w:val="00750D69"/>
    <w:rsid w:val="00751A68"/>
    <w:rsid w:val="0075214F"/>
    <w:rsid w:val="007524E1"/>
    <w:rsid w:val="00752786"/>
    <w:rsid w:val="00752A21"/>
    <w:rsid w:val="00752A3F"/>
    <w:rsid w:val="00753588"/>
    <w:rsid w:val="00753F8C"/>
    <w:rsid w:val="00754131"/>
    <w:rsid w:val="007549A1"/>
    <w:rsid w:val="00754BFB"/>
    <w:rsid w:val="00754DF4"/>
    <w:rsid w:val="0075681A"/>
    <w:rsid w:val="00757CE6"/>
    <w:rsid w:val="00757F6F"/>
    <w:rsid w:val="007614DF"/>
    <w:rsid w:val="00762074"/>
    <w:rsid w:val="00762385"/>
    <w:rsid w:val="00762863"/>
    <w:rsid w:val="0076295D"/>
    <w:rsid w:val="00762A90"/>
    <w:rsid w:val="007636FE"/>
    <w:rsid w:val="007642C6"/>
    <w:rsid w:val="0076581C"/>
    <w:rsid w:val="00766A4B"/>
    <w:rsid w:val="00767209"/>
    <w:rsid w:val="00767645"/>
    <w:rsid w:val="00770060"/>
    <w:rsid w:val="00770259"/>
    <w:rsid w:val="0077031C"/>
    <w:rsid w:val="007711E9"/>
    <w:rsid w:val="00771732"/>
    <w:rsid w:val="00771F11"/>
    <w:rsid w:val="00773191"/>
    <w:rsid w:val="0077330B"/>
    <w:rsid w:val="00773915"/>
    <w:rsid w:val="007750EC"/>
    <w:rsid w:val="007752EB"/>
    <w:rsid w:val="00775431"/>
    <w:rsid w:val="00775636"/>
    <w:rsid w:val="00775797"/>
    <w:rsid w:val="00776B3D"/>
    <w:rsid w:val="00776C44"/>
    <w:rsid w:val="00780B7D"/>
    <w:rsid w:val="00780ED5"/>
    <w:rsid w:val="007813E2"/>
    <w:rsid w:val="00781771"/>
    <w:rsid w:val="00781E66"/>
    <w:rsid w:val="007829D9"/>
    <w:rsid w:val="00783A03"/>
    <w:rsid w:val="007843CD"/>
    <w:rsid w:val="00787CA4"/>
    <w:rsid w:val="00790410"/>
    <w:rsid w:val="007909A7"/>
    <w:rsid w:val="00790ABC"/>
    <w:rsid w:val="00790C70"/>
    <w:rsid w:val="00790C7A"/>
    <w:rsid w:val="0079164D"/>
    <w:rsid w:val="007916CC"/>
    <w:rsid w:val="00792EAE"/>
    <w:rsid w:val="00792EC1"/>
    <w:rsid w:val="00793278"/>
    <w:rsid w:val="00793707"/>
    <w:rsid w:val="00794F08"/>
    <w:rsid w:val="007958F5"/>
    <w:rsid w:val="00795C3D"/>
    <w:rsid w:val="00797052"/>
    <w:rsid w:val="007970E5"/>
    <w:rsid w:val="007A03A5"/>
    <w:rsid w:val="007A3B51"/>
    <w:rsid w:val="007A4ACF"/>
    <w:rsid w:val="007A54D0"/>
    <w:rsid w:val="007A5CAB"/>
    <w:rsid w:val="007A704C"/>
    <w:rsid w:val="007A7BD2"/>
    <w:rsid w:val="007B08AA"/>
    <w:rsid w:val="007B08FE"/>
    <w:rsid w:val="007B1B9F"/>
    <w:rsid w:val="007B22F9"/>
    <w:rsid w:val="007B3EA8"/>
    <w:rsid w:val="007B5224"/>
    <w:rsid w:val="007B586E"/>
    <w:rsid w:val="007B7849"/>
    <w:rsid w:val="007C0759"/>
    <w:rsid w:val="007C216C"/>
    <w:rsid w:val="007C225A"/>
    <w:rsid w:val="007C262C"/>
    <w:rsid w:val="007C2EB5"/>
    <w:rsid w:val="007C31CE"/>
    <w:rsid w:val="007C38CB"/>
    <w:rsid w:val="007C3A9D"/>
    <w:rsid w:val="007C4487"/>
    <w:rsid w:val="007C5617"/>
    <w:rsid w:val="007C57C4"/>
    <w:rsid w:val="007C62D9"/>
    <w:rsid w:val="007C64C6"/>
    <w:rsid w:val="007C661F"/>
    <w:rsid w:val="007C6948"/>
    <w:rsid w:val="007C6FD7"/>
    <w:rsid w:val="007C7075"/>
    <w:rsid w:val="007D165D"/>
    <w:rsid w:val="007D190F"/>
    <w:rsid w:val="007D1AF4"/>
    <w:rsid w:val="007D27ED"/>
    <w:rsid w:val="007D2AAF"/>
    <w:rsid w:val="007D2CA0"/>
    <w:rsid w:val="007D2E11"/>
    <w:rsid w:val="007D3488"/>
    <w:rsid w:val="007D366F"/>
    <w:rsid w:val="007D406B"/>
    <w:rsid w:val="007D44AD"/>
    <w:rsid w:val="007D44BC"/>
    <w:rsid w:val="007D5683"/>
    <w:rsid w:val="007D6446"/>
    <w:rsid w:val="007D6C4F"/>
    <w:rsid w:val="007D73AE"/>
    <w:rsid w:val="007D7F7B"/>
    <w:rsid w:val="007E08E9"/>
    <w:rsid w:val="007E1113"/>
    <w:rsid w:val="007E1F7D"/>
    <w:rsid w:val="007E2F6C"/>
    <w:rsid w:val="007E3A1F"/>
    <w:rsid w:val="007E3EDB"/>
    <w:rsid w:val="007E4496"/>
    <w:rsid w:val="007E4532"/>
    <w:rsid w:val="007E57B9"/>
    <w:rsid w:val="007E68AD"/>
    <w:rsid w:val="007E6C08"/>
    <w:rsid w:val="007E6F04"/>
    <w:rsid w:val="007E7288"/>
    <w:rsid w:val="007E73D1"/>
    <w:rsid w:val="007E7C6D"/>
    <w:rsid w:val="007F0E73"/>
    <w:rsid w:val="007F27E6"/>
    <w:rsid w:val="007F2FC2"/>
    <w:rsid w:val="007F379A"/>
    <w:rsid w:val="007F4FD7"/>
    <w:rsid w:val="007F503F"/>
    <w:rsid w:val="007F519F"/>
    <w:rsid w:val="007F5293"/>
    <w:rsid w:val="007F5F7C"/>
    <w:rsid w:val="007F639F"/>
    <w:rsid w:val="007F6AB7"/>
    <w:rsid w:val="007F70CD"/>
    <w:rsid w:val="007F75E6"/>
    <w:rsid w:val="007F762D"/>
    <w:rsid w:val="007F7710"/>
    <w:rsid w:val="007F7DE4"/>
    <w:rsid w:val="0080187F"/>
    <w:rsid w:val="0080190A"/>
    <w:rsid w:val="00801FB4"/>
    <w:rsid w:val="00802F4C"/>
    <w:rsid w:val="00803170"/>
    <w:rsid w:val="0080454F"/>
    <w:rsid w:val="0080528F"/>
    <w:rsid w:val="008064E8"/>
    <w:rsid w:val="008069D9"/>
    <w:rsid w:val="00807214"/>
    <w:rsid w:val="00807344"/>
    <w:rsid w:val="0080752F"/>
    <w:rsid w:val="00807994"/>
    <w:rsid w:val="00807C9C"/>
    <w:rsid w:val="00807F01"/>
    <w:rsid w:val="00810873"/>
    <w:rsid w:val="00812080"/>
    <w:rsid w:val="00812A31"/>
    <w:rsid w:val="00813A7B"/>
    <w:rsid w:val="00814443"/>
    <w:rsid w:val="00815264"/>
    <w:rsid w:val="00816058"/>
    <w:rsid w:val="00816250"/>
    <w:rsid w:val="0081681C"/>
    <w:rsid w:val="00817426"/>
    <w:rsid w:val="0081764D"/>
    <w:rsid w:val="0082013D"/>
    <w:rsid w:val="0082140E"/>
    <w:rsid w:val="008217F3"/>
    <w:rsid w:val="00821B0E"/>
    <w:rsid w:val="00823E49"/>
    <w:rsid w:val="0082448D"/>
    <w:rsid w:val="00824FCB"/>
    <w:rsid w:val="00825E69"/>
    <w:rsid w:val="0082609E"/>
    <w:rsid w:val="0082610F"/>
    <w:rsid w:val="00826111"/>
    <w:rsid w:val="008266E1"/>
    <w:rsid w:val="00826AF1"/>
    <w:rsid w:val="00830D3D"/>
    <w:rsid w:val="00830D67"/>
    <w:rsid w:val="00831C51"/>
    <w:rsid w:val="00831FD7"/>
    <w:rsid w:val="008333AA"/>
    <w:rsid w:val="00833BAD"/>
    <w:rsid w:val="00833BBD"/>
    <w:rsid w:val="00833D04"/>
    <w:rsid w:val="008366F9"/>
    <w:rsid w:val="008376E8"/>
    <w:rsid w:val="00837AA0"/>
    <w:rsid w:val="00837CB3"/>
    <w:rsid w:val="00837EAC"/>
    <w:rsid w:val="0084047D"/>
    <w:rsid w:val="008419BB"/>
    <w:rsid w:val="00841EC4"/>
    <w:rsid w:val="00841FE4"/>
    <w:rsid w:val="008424C7"/>
    <w:rsid w:val="008428F4"/>
    <w:rsid w:val="008447B6"/>
    <w:rsid w:val="00844ABC"/>
    <w:rsid w:val="008453DD"/>
    <w:rsid w:val="00845E5D"/>
    <w:rsid w:val="0084613E"/>
    <w:rsid w:val="008463E5"/>
    <w:rsid w:val="00846576"/>
    <w:rsid w:val="008476BB"/>
    <w:rsid w:val="00847837"/>
    <w:rsid w:val="0085064F"/>
    <w:rsid w:val="0085079E"/>
    <w:rsid w:val="0085095F"/>
    <w:rsid w:val="00850E68"/>
    <w:rsid w:val="00850EF7"/>
    <w:rsid w:val="00852819"/>
    <w:rsid w:val="00853430"/>
    <w:rsid w:val="008534A2"/>
    <w:rsid w:val="00854892"/>
    <w:rsid w:val="008548CE"/>
    <w:rsid w:val="00854AF6"/>
    <w:rsid w:val="00854EA8"/>
    <w:rsid w:val="00856454"/>
    <w:rsid w:val="00856731"/>
    <w:rsid w:val="00857346"/>
    <w:rsid w:val="00857570"/>
    <w:rsid w:val="008575B4"/>
    <w:rsid w:val="00862998"/>
    <w:rsid w:val="00862D91"/>
    <w:rsid w:val="00863B8E"/>
    <w:rsid w:val="00864AB6"/>
    <w:rsid w:val="00865AF7"/>
    <w:rsid w:val="00865B97"/>
    <w:rsid w:val="00865BB7"/>
    <w:rsid w:val="00866807"/>
    <w:rsid w:val="00867695"/>
    <w:rsid w:val="00870438"/>
    <w:rsid w:val="00870978"/>
    <w:rsid w:val="0087098E"/>
    <w:rsid w:val="00870AAC"/>
    <w:rsid w:val="0087131B"/>
    <w:rsid w:val="008715FE"/>
    <w:rsid w:val="00871F82"/>
    <w:rsid w:val="00872177"/>
    <w:rsid w:val="00872664"/>
    <w:rsid w:val="008730F9"/>
    <w:rsid w:val="00874BAC"/>
    <w:rsid w:val="00875963"/>
    <w:rsid w:val="00875A63"/>
    <w:rsid w:val="00875DE1"/>
    <w:rsid w:val="00877123"/>
    <w:rsid w:val="00877A52"/>
    <w:rsid w:val="00877B6E"/>
    <w:rsid w:val="00880114"/>
    <w:rsid w:val="008804C5"/>
    <w:rsid w:val="00880C49"/>
    <w:rsid w:val="00880EDC"/>
    <w:rsid w:val="00882CDF"/>
    <w:rsid w:val="0088343D"/>
    <w:rsid w:val="00883D88"/>
    <w:rsid w:val="0088459D"/>
    <w:rsid w:val="00884DDE"/>
    <w:rsid w:val="00885090"/>
    <w:rsid w:val="00885B1D"/>
    <w:rsid w:val="00885D1C"/>
    <w:rsid w:val="008861CF"/>
    <w:rsid w:val="008868C5"/>
    <w:rsid w:val="00887366"/>
    <w:rsid w:val="008875FE"/>
    <w:rsid w:val="008879F3"/>
    <w:rsid w:val="00890FF7"/>
    <w:rsid w:val="00891010"/>
    <w:rsid w:val="0089191B"/>
    <w:rsid w:val="00892045"/>
    <w:rsid w:val="00892711"/>
    <w:rsid w:val="00892B65"/>
    <w:rsid w:val="0089372A"/>
    <w:rsid w:val="0089511A"/>
    <w:rsid w:val="00896079"/>
    <w:rsid w:val="0089615A"/>
    <w:rsid w:val="008961D2"/>
    <w:rsid w:val="00896EA2"/>
    <w:rsid w:val="008A01DC"/>
    <w:rsid w:val="008A06A2"/>
    <w:rsid w:val="008A1277"/>
    <w:rsid w:val="008A3AF9"/>
    <w:rsid w:val="008A4DD2"/>
    <w:rsid w:val="008A5252"/>
    <w:rsid w:val="008A61E4"/>
    <w:rsid w:val="008A62C3"/>
    <w:rsid w:val="008A775B"/>
    <w:rsid w:val="008B03CA"/>
    <w:rsid w:val="008B0801"/>
    <w:rsid w:val="008B0CB0"/>
    <w:rsid w:val="008B3760"/>
    <w:rsid w:val="008B41E2"/>
    <w:rsid w:val="008B4806"/>
    <w:rsid w:val="008B490A"/>
    <w:rsid w:val="008B4B1B"/>
    <w:rsid w:val="008B4E87"/>
    <w:rsid w:val="008B5B2A"/>
    <w:rsid w:val="008B6A8F"/>
    <w:rsid w:val="008B7097"/>
    <w:rsid w:val="008C0100"/>
    <w:rsid w:val="008C0D12"/>
    <w:rsid w:val="008C1002"/>
    <w:rsid w:val="008C1003"/>
    <w:rsid w:val="008C1C47"/>
    <w:rsid w:val="008C2119"/>
    <w:rsid w:val="008C287B"/>
    <w:rsid w:val="008C2ADD"/>
    <w:rsid w:val="008C326A"/>
    <w:rsid w:val="008C394E"/>
    <w:rsid w:val="008C3D9F"/>
    <w:rsid w:val="008C43BD"/>
    <w:rsid w:val="008C4641"/>
    <w:rsid w:val="008C4E47"/>
    <w:rsid w:val="008C6D4F"/>
    <w:rsid w:val="008C7F4C"/>
    <w:rsid w:val="008D095A"/>
    <w:rsid w:val="008D0AEC"/>
    <w:rsid w:val="008D1FDD"/>
    <w:rsid w:val="008D29DE"/>
    <w:rsid w:val="008D2ABC"/>
    <w:rsid w:val="008D2DA1"/>
    <w:rsid w:val="008D3707"/>
    <w:rsid w:val="008D37F5"/>
    <w:rsid w:val="008D3C4D"/>
    <w:rsid w:val="008D3FAF"/>
    <w:rsid w:val="008D4362"/>
    <w:rsid w:val="008D4B24"/>
    <w:rsid w:val="008D4C9F"/>
    <w:rsid w:val="008D548E"/>
    <w:rsid w:val="008D5492"/>
    <w:rsid w:val="008D6EE7"/>
    <w:rsid w:val="008D71D3"/>
    <w:rsid w:val="008D7520"/>
    <w:rsid w:val="008E0EE4"/>
    <w:rsid w:val="008E11DF"/>
    <w:rsid w:val="008E1249"/>
    <w:rsid w:val="008E24C1"/>
    <w:rsid w:val="008E2F36"/>
    <w:rsid w:val="008E3F92"/>
    <w:rsid w:val="008E450F"/>
    <w:rsid w:val="008E4744"/>
    <w:rsid w:val="008E63C6"/>
    <w:rsid w:val="008E6A6E"/>
    <w:rsid w:val="008E6E02"/>
    <w:rsid w:val="008E743B"/>
    <w:rsid w:val="008F26E9"/>
    <w:rsid w:val="008F3A31"/>
    <w:rsid w:val="008F44D1"/>
    <w:rsid w:val="008F4538"/>
    <w:rsid w:val="008F468B"/>
    <w:rsid w:val="008F4C98"/>
    <w:rsid w:val="008F56ED"/>
    <w:rsid w:val="008F5D0C"/>
    <w:rsid w:val="008F7265"/>
    <w:rsid w:val="008F7C66"/>
    <w:rsid w:val="00900339"/>
    <w:rsid w:val="00900FC9"/>
    <w:rsid w:val="00901274"/>
    <w:rsid w:val="00901331"/>
    <w:rsid w:val="00901D79"/>
    <w:rsid w:val="009024E8"/>
    <w:rsid w:val="009028AD"/>
    <w:rsid w:val="009034E1"/>
    <w:rsid w:val="00903641"/>
    <w:rsid w:val="009039D5"/>
    <w:rsid w:val="00903C96"/>
    <w:rsid w:val="00903E57"/>
    <w:rsid w:val="009048B1"/>
    <w:rsid w:val="00905349"/>
    <w:rsid w:val="00905989"/>
    <w:rsid w:val="00907753"/>
    <w:rsid w:val="00911D21"/>
    <w:rsid w:val="00912BB0"/>
    <w:rsid w:val="00912F37"/>
    <w:rsid w:val="00913BBF"/>
    <w:rsid w:val="00913D16"/>
    <w:rsid w:val="00913E27"/>
    <w:rsid w:val="009157AB"/>
    <w:rsid w:val="0091662E"/>
    <w:rsid w:val="009167BF"/>
    <w:rsid w:val="0092094F"/>
    <w:rsid w:val="00920AE9"/>
    <w:rsid w:val="00921EC5"/>
    <w:rsid w:val="00921F11"/>
    <w:rsid w:val="009224ED"/>
    <w:rsid w:val="009225F1"/>
    <w:rsid w:val="009229E1"/>
    <w:rsid w:val="00922A94"/>
    <w:rsid w:val="00922CBA"/>
    <w:rsid w:val="009235A6"/>
    <w:rsid w:val="0092545B"/>
    <w:rsid w:val="00926197"/>
    <w:rsid w:val="00930ADE"/>
    <w:rsid w:val="00930BCB"/>
    <w:rsid w:val="00931288"/>
    <w:rsid w:val="00932171"/>
    <w:rsid w:val="009328CD"/>
    <w:rsid w:val="0093412A"/>
    <w:rsid w:val="0093427C"/>
    <w:rsid w:val="00934501"/>
    <w:rsid w:val="00934E61"/>
    <w:rsid w:val="00935184"/>
    <w:rsid w:val="0093599D"/>
    <w:rsid w:val="00937DC6"/>
    <w:rsid w:val="00937EA1"/>
    <w:rsid w:val="0094163C"/>
    <w:rsid w:val="00944743"/>
    <w:rsid w:val="009452E0"/>
    <w:rsid w:val="00945D2A"/>
    <w:rsid w:val="0094683D"/>
    <w:rsid w:val="00947870"/>
    <w:rsid w:val="009478BC"/>
    <w:rsid w:val="00947A9E"/>
    <w:rsid w:val="00951BAC"/>
    <w:rsid w:val="0095217D"/>
    <w:rsid w:val="009521D7"/>
    <w:rsid w:val="00952967"/>
    <w:rsid w:val="00953912"/>
    <w:rsid w:val="00953AE5"/>
    <w:rsid w:val="00953AFB"/>
    <w:rsid w:val="009543AF"/>
    <w:rsid w:val="00955525"/>
    <w:rsid w:val="00955AB5"/>
    <w:rsid w:val="009561FC"/>
    <w:rsid w:val="00956A01"/>
    <w:rsid w:val="00960331"/>
    <w:rsid w:val="00960F4A"/>
    <w:rsid w:val="009619FA"/>
    <w:rsid w:val="0096411A"/>
    <w:rsid w:val="0096440F"/>
    <w:rsid w:val="00964E4E"/>
    <w:rsid w:val="0096594D"/>
    <w:rsid w:val="00966101"/>
    <w:rsid w:val="00967733"/>
    <w:rsid w:val="00967DB3"/>
    <w:rsid w:val="0097175C"/>
    <w:rsid w:val="00972996"/>
    <w:rsid w:val="00972A70"/>
    <w:rsid w:val="009738ED"/>
    <w:rsid w:val="00973FD1"/>
    <w:rsid w:val="0097400F"/>
    <w:rsid w:val="009743C2"/>
    <w:rsid w:val="00974D52"/>
    <w:rsid w:val="00975080"/>
    <w:rsid w:val="009754B9"/>
    <w:rsid w:val="0097610D"/>
    <w:rsid w:val="00977C8A"/>
    <w:rsid w:val="00980296"/>
    <w:rsid w:val="00980773"/>
    <w:rsid w:val="00980938"/>
    <w:rsid w:val="00980E84"/>
    <w:rsid w:val="0098117E"/>
    <w:rsid w:val="0098303E"/>
    <w:rsid w:val="00983970"/>
    <w:rsid w:val="00983D3F"/>
    <w:rsid w:val="0098497A"/>
    <w:rsid w:val="00984FA6"/>
    <w:rsid w:val="009857E3"/>
    <w:rsid w:val="00985936"/>
    <w:rsid w:val="00985F9C"/>
    <w:rsid w:val="00987913"/>
    <w:rsid w:val="00987B99"/>
    <w:rsid w:val="00990979"/>
    <w:rsid w:val="0099137C"/>
    <w:rsid w:val="0099173D"/>
    <w:rsid w:val="00991A35"/>
    <w:rsid w:val="00992384"/>
    <w:rsid w:val="009929EB"/>
    <w:rsid w:val="00992B28"/>
    <w:rsid w:val="00992B37"/>
    <w:rsid w:val="00993BDA"/>
    <w:rsid w:val="00995087"/>
    <w:rsid w:val="00995616"/>
    <w:rsid w:val="009961B8"/>
    <w:rsid w:val="009965C3"/>
    <w:rsid w:val="00997F0B"/>
    <w:rsid w:val="009A1197"/>
    <w:rsid w:val="009A1DCC"/>
    <w:rsid w:val="009A23EB"/>
    <w:rsid w:val="009A24B3"/>
    <w:rsid w:val="009A2BA9"/>
    <w:rsid w:val="009A35C1"/>
    <w:rsid w:val="009A4522"/>
    <w:rsid w:val="009A6603"/>
    <w:rsid w:val="009A7A6B"/>
    <w:rsid w:val="009B0421"/>
    <w:rsid w:val="009B14E9"/>
    <w:rsid w:val="009B2B8E"/>
    <w:rsid w:val="009B2BB7"/>
    <w:rsid w:val="009B2D0B"/>
    <w:rsid w:val="009B32A5"/>
    <w:rsid w:val="009B3C33"/>
    <w:rsid w:val="009B3F63"/>
    <w:rsid w:val="009B4B35"/>
    <w:rsid w:val="009B5AB4"/>
    <w:rsid w:val="009B71A3"/>
    <w:rsid w:val="009B77AA"/>
    <w:rsid w:val="009C0128"/>
    <w:rsid w:val="009C08EC"/>
    <w:rsid w:val="009C0F18"/>
    <w:rsid w:val="009C1FBE"/>
    <w:rsid w:val="009C3D55"/>
    <w:rsid w:val="009C3ED0"/>
    <w:rsid w:val="009C4409"/>
    <w:rsid w:val="009C4515"/>
    <w:rsid w:val="009C522A"/>
    <w:rsid w:val="009C5F8D"/>
    <w:rsid w:val="009C6777"/>
    <w:rsid w:val="009C7060"/>
    <w:rsid w:val="009C7297"/>
    <w:rsid w:val="009C7A19"/>
    <w:rsid w:val="009D130C"/>
    <w:rsid w:val="009D138A"/>
    <w:rsid w:val="009D1C36"/>
    <w:rsid w:val="009D3264"/>
    <w:rsid w:val="009D4BF2"/>
    <w:rsid w:val="009D522F"/>
    <w:rsid w:val="009D52E1"/>
    <w:rsid w:val="009D5785"/>
    <w:rsid w:val="009D5DA4"/>
    <w:rsid w:val="009D64C4"/>
    <w:rsid w:val="009D6905"/>
    <w:rsid w:val="009D69A3"/>
    <w:rsid w:val="009D7320"/>
    <w:rsid w:val="009D7DBF"/>
    <w:rsid w:val="009D7DC1"/>
    <w:rsid w:val="009E08FC"/>
    <w:rsid w:val="009E1271"/>
    <w:rsid w:val="009E421E"/>
    <w:rsid w:val="009E5E39"/>
    <w:rsid w:val="009E6158"/>
    <w:rsid w:val="009E7137"/>
    <w:rsid w:val="009E752F"/>
    <w:rsid w:val="009F069C"/>
    <w:rsid w:val="009F0E85"/>
    <w:rsid w:val="009F1341"/>
    <w:rsid w:val="009F13B5"/>
    <w:rsid w:val="009F143D"/>
    <w:rsid w:val="009F3FC0"/>
    <w:rsid w:val="009F4BB3"/>
    <w:rsid w:val="009F4C9D"/>
    <w:rsid w:val="009F5AC0"/>
    <w:rsid w:val="009F630E"/>
    <w:rsid w:val="009F6C54"/>
    <w:rsid w:val="009F70C4"/>
    <w:rsid w:val="009F7171"/>
    <w:rsid w:val="00A0693F"/>
    <w:rsid w:val="00A071C0"/>
    <w:rsid w:val="00A07E12"/>
    <w:rsid w:val="00A1013C"/>
    <w:rsid w:val="00A11547"/>
    <w:rsid w:val="00A118AB"/>
    <w:rsid w:val="00A11FC3"/>
    <w:rsid w:val="00A12D0D"/>
    <w:rsid w:val="00A136DF"/>
    <w:rsid w:val="00A158A6"/>
    <w:rsid w:val="00A161E8"/>
    <w:rsid w:val="00A16904"/>
    <w:rsid w:val="00A16EC2"/>
    <w:rsid w:val="00A20A82"/>
    <w:rsid w:val="00A20E16"/>
    <w:rsid w:val="00A21223"/>
    <w:rsid w:val="00A218BF"/>
    <w:rsid w:val="00A21C6C"/>
    <w:rsid w:val="00A21F58"/>
    <w:rsid w:val="00A21F84"/>
    <w:rsid w:val="00A23762"/>
    <w:rsid w:val="00A23E0C"/>
    <w:rsid w:val="00A24041"/>
    <w:rsid w:val="00A240DF"/>
    <w:rsid w:val="00A241BF"/>
    <w:rsid w:val="00A2420C"/>
    <w:rsid w:val="00A24DC4"/>
    <w:rsid w:val="00A258D2"/>
    <w:rsid w:val="00A25B78"/>
    <w:rsid w:val="00A25D87"/>
    <w:rsid w:val="00A26A7B"/>
    <w:rsid w:val="00A26F2B"/>
    <w:rsid w:val="00A2762B"/>
    <w:rsid w:val="00A27806"/>
    <w:rsid w:val="00A305B5"/>
    <w:rsid w:val="00A3081F"/>
    <w:rsid w:val="00A31867"/>
    <w:rsid w:val="00A31A01"/>
    <w:rsid w:val="00A3279C"/>
    <w:rsid w:val="00A33177"/>
    <w:rsid w:val="00A3339A"/>
    <w:rsid w:val="00A33649"/>
    <w:rsid w:val="00A337BA"/>
    <w:rsid w:val="00A33B68"/>
    <w:rsid w:val="00A347EE"/>
    <w:rsid w:val="00A358BA"/>
    <w:rsid w:val="00A360BA"/>
    <w:rsid w:val="00A36483"/>
    <w:rsid w:val="00A36B8E"/>
    <w:rsid w:val="00A37454"/>
    <w:rsid w:val="00A37BC2"/>
    <w:rsid w:val="00A4000B"/>
    <w:rsid w:val="00A4029E"/>
    <w:rsid w:val="00A409CD"/>
    <w:rsid w:val="00A40DE1"/>
    <w:rsid w:val="00A41192"/>
    <w:rsid w:val="00A4135D"/>
    <w:rsid w:val="00A41A81"/>
    <w:rsid w:val="00A420A5"/>
    <w:rsid w:val="00A430A4"/>
    <w:rsid w:val="00A43BC0"/>
    <w:rsid w:val="00A44330"/>
    <w:rsid w:val="00A44783"/>
    <w:rsid w:val="00A44E46"/>
    <w:rsid w:val="00A46441"/>
    <w:rsid w:val="00A46A1B"/>
    <w:rsid w:val="00A46A41"/>
    <w:rsid w:val="00A46C65"/>
    <w:rsid w:val="00A46D56"/>
    <w:rsid w:val="00A47ADD"/>
    <w:rsid w:val="00A47BDE"/>
    <w:rsid w:val="00A50688"/>
    <w:rsid w:val="00A50C58"/>
    <w:rsid w:val="00A510AD"/>
    <w:rsid w:val="00A51C0F"/>
    <w:rsid w:val="00A51C5E"/>
    <w:rsid w:val="00A524B2"/>
    <w:rsid w:val="00A52D31"/>
    <w:rsid w:val="00A53664"/>
    <w:rsid w:val="00A538CC"/>
    <w:rsid w:val="00A53C46"/>
    <w:rsid w:val="00A541AE"/>
    <w:rsid w:val="00A54B58"/>
    <w:rsid w:val="00A55238"/>
    <w:rsid w:val="00A559D4"/>
    <w:rsid w:val="00A55CB6"/>
    <w:rsid w:val="00A56773"/>
    <w:rsid w:val="00A573C7"/>
    <w:rsid w:val="00A57E58"/>
    <w:rsid w:val="00A60211"/>
    <w:rsid w:val="00A60E12"/>
    <w:rsid w:val="00A60F9A"/>
    <w:rsid w:val="00A63403"/>
    <w:rsid w:val="00A63533"/>
    <w:rsid w:val="00A637E8"/>
    <w:rsid w:val="00A643F9"/>
    <w:rsid w:val="00A64AC9"/>
    <w:rsid w:val="00A64DA1"/>
    <w:rsid w:val="00A650EE"/>
    <w:rsid w:val="00A65549"/>
    <w:rsid w:val="00A669B0"/>
    <w:rsid w:val="00A67C0C"/>
    <w:rsid w:val="00A67FCB"/>
    <w:rsid w:val="00A700AC"/>
    <w:rsid w:val="00A7035B"/>
    <w:rsid w:val="00A70364"/>
    <w:rsid w:val="00A7057A"/>
    <w:rsid w:val="00A71BB2"/>
    <w:rsid w:val="00A71C20"/>
    <w:rsid w:val="00A724B7"/>
    <w:rsid w:val="00A72BA3"/>
    <w:rsid w:val="00A73720"/>
    <w:rsid w:val="00A73CBF"/>
    <w:rsid w:val="00A73E8D"/>
    <w:rsid w:val="00A73F96"/>
    <w:rsid w:val="00A742AB"/>
    <w:rsid w:val="00A7511A"/>
    <w:rsid w:val="00A753BD"/>
    <w:rsid w:val="00A75A9F"/>
    <w:rsid w:val="00A7617E"/>
    <w:rsid w:val="00A76386"/>
    <w:rsid w:val="00A765AC"/>
    <w:rsid w:val="00A76645"/>
    <w:rsid w:val="00A768CA"/>
    <w:rsid w:val="00A76C43"/>
    <w:rsid w:val="00A76F26"/>
    <w:rsid w:val="00A77F1E"/>
    <w:rsid w:val="00A8041A"/>
    <w:rsid w:val="00A8344B"/>
    <w:rsid w:val="00A83619"/>
    <w:rsid w:val="00A83646"/>
    <w:rsid w:val="00A837E6"/>
    <w:rsid w:val="00A83ABB"/>
    <w:rsid w:val="00A8443E"/>
    <w:rsid w:val="00A84978"/>
    <w:rsid w:val="00A84F0B"/>
    <w:rsid w:val="00A86304"/>
    <w:rsid w:val="00A86333"/>
    <w:rsid w:val="00A863F9"/>
    <w:rsid w:val="00A864EB"/>
    <w:rsid w:val="00A879D3"/>
    <w:rsid w:val="00A87B9C"/>
    <w:rsid w:val="00A90B35"/>
    <w:rsid w:val="00A90F9B"/>
    <w:rsid w:val="00A9240F"/>
    <w:rsid w:val="00A926D2"/>
    <w:rsid w:val="00A92E56"/>
    <w:rsid w:val="00A92F1D"/>
    <w:rsid w:val="00A93357"/>
    <w:rsid w:val="00A93672"/>
    <w:rsid w:val="00A93B1B"/>
    <w:rsid w:val="00A9475E"/>
    <w:rsid w:val="00A95DA3"/>
    <w:rsid w:val="00A95EC4"/>
    <w:rsid w:val="00A965D4"/>
    <w:rsid w:val="00A96A0D"/>
    <w:rsid w:val="00A97B63"/>
    <w:rsid w:val="00A97D43"/>
    <w:rsid w:val="00AA0C0F"/>
    <w:rsid w:val="00AA1366"/>
    <w:rsid w:val="00AA1C71"/>
    <w:rsid w:val="00AA1CC7"/>
    <w:rsid w:val="00AA22F4"/>
    <w:rsid w:val="00AA2C31"/>
    <w:rsid w:val="00AA2D6D"/>
    <w:rsid w:val="00AA45D8"/>
    <w:rsid w:val="00AA4A1A"/>
    <w:rsid w:val="00AA4FCA"/>
    <w:rsid w:val="00AA6001"/>
    <w:rsid w:val="00AA6066"/>
    <w:rsid w:val="00AA6763"/>
    <w:rsid w:val="00AA7004"/>
    <w:rsid w:val="00AB013E"/>
    <w:rsid w:val="00AB12BC"/>
    <w:rsid w:val="00AB1838"/>
    <w:rsid w:val="00AB1AE1"/>
    <w:rsid w:val="00AB28D5"/>
    <w:rsid w:val="00AB3139"/>
    <w:rsid w:val="00AB366D"/>
    <w:rsid w:val="00AB41AD"/>
    <w:rsid w:val="00AB4310"/>
    <w:rsid w:val="00AB4E6E"/>
    <w:rsid w:val="00AB551E"/>
    <w:rsid w:val="00AB57F9"/>
    <w:rsid w:val="00AB60DB"/>
    <w:rsid w:val="00AB6678"/>
    <w:rsid w:val="00AB6D8D"/>
    <w:rsid w:val="00AC087A"/>
    <w:rsid w:val="00AC0D18"/>
    <w:rsid w:val="00AC13CD"/>
    <w:rsid w:val="00AC1603"/>
    <w:rsid w:val="00AC3499"/>
    <w:rsid w:val="00AC3F39"/>
    <w:rsid w:val="00AC501F"/>
    <w:rsid w:val="00AC5551"/>
    <w:rsid w:val="00AC5607"/>
    <w:rsid w:val="00AC5644"/>
    <w:rsid w:val="00AC579B"/>
    <w:rsid w:val="00AC5BA9"/>
    <w:rsid w:val="00AC69AD"/>
    <w:rsid w:val="00AC7272"/>
    <w:rsid w:val="00AC79A2"/>
    <w:rsid w:val="00AC7A27"/>
    <w:rsid w:val="00AC7C6D"/>
    <w:rsid w:val="00AD0303"/>
    <w:rsid w:val="00AD078A"/>
    <w:rsid w:val="00AD15E3"/>
    <w:rsid w:val="00AD1D3B"/>
    <w:rsid w:val="00AD1D8B"/>
    <w:rsid w:val="00AD1E3C"/>
    <w:rsid w:val="00AD29ED"/>
    <w:rsid w:val="00AD2BCD"/>
    <w:rsid w:val="00AD3F37"/>
    <w:rsid w:val="00AD4B91"/>
    <w:rsid w:val="00AD6D64"/>
    <w:rsid w:val="00AD7087"/>
    <w:rsid w:val="00AE04C3"/>
    <w:rsid w:val="00AE0A08"/>
    <w:rsid w:val="00AE0CDF"/>
    <w:rsid w:val="00AE1299"/>
    <w:rsid w:val="00AE1E76"/>
    <w:rsid w:val="00AE230D"/>
    <w:rsid w:val="00AE2A0F"/>
    <w:rsid w:val="00AE38F5"/>
    <w:rsid w:val="00AE39BA"/>
    <w:rsid w:val="00AE42A3"/>
    <w:rsid w:val="00AE52F0"/>
    <w:rsid w:val="00AE5D4E"/>
    <w:rsid w:val="00AE6980"/>
    <w:rsid w:val="00AE6F4F"/>
    <w:rsid w:val="00AE7B99"/>
    <w:rsid w:val="00AF0D45"/>
    <w:rsid w:val="00AF0F68"/>
    <w:rsid w:val="00AF1628"/>
    <w:rsid w:val="00AF391C"/>
    <w:rsid w:val="00AF3F6D"/>
    <w:rsid w:val="00AF403C"/>
    <w:rsid w:val="00AF4C11"/>
    <w:rsid w:val="00AF4CA7"/>
    <w:rsid w:val="00AF52A0"/>
    <w:rsid w:val="00AF5407"/>
    <w:rsid w:val="00AF54B5"/>
    <w:rsid w:val="00AF7D7F"/>
    <w:rsid w:val="00AF7F9E"/>
    <w:rsid w:val="00B00847"/>
    <w:rsid w:val="00B0119C"/>
    <w:rsid w:val="00B0125A"/>
    <w:rsid w:val="00B03879"/>
    <w:rsid w:val="00B03B9F"/>
    <w:rsid w:val="00B03EDB"/>
    <w:rsid w:val="00B04326"/>
    <w:rsid w:val="00B04B78"/>
    <w:rsid w:val="00B05EBB"/>
    <w:rsid w:val="00B07388"/>
    <w:rsid w:val="00B073DF"/>
    <w:rsid w:val="00B07D1B"/>
    <w:rsid w:val="00B10A68"/>
    <w:rsid w:val="00B10F73"/>
    <w:rsid w:val="00B11C9C"/>
    <w:rsid w:val="00B12336"/>
    <w:rsid w:val="00B12F8B"/>
    <w:rsid w:val="00B14C9F"/>
    <w:rsid w:val="00B14E81"/>
    <w:rsid w:val="00B156F9"/>
    <w:rsid w:val="00B15A32"/>
    <w:rsid w:val="00B15CD1"/>
    <w:rsid w:val="00B16B84"/>
    <w:rsid w:val="00B1773A"/>
    <w:rsid w:val="00B17DC1"/>
    <w:rsid w:val="00B22FD3"/>
    <w:rsid w:val="00B230AB"/>
    <w:rsid w:val="00B23455"/>
    <w:rsid w:val="00B2372F"/>
    <w:rsid w:val="00B23BFF"/>
    <w:rsid w:val="00B2522A"/>
    <w:rsid w:val="00B26380"/>
    <w:rsid w:val="00B2656F"/>
    <w:rsid w:val="00B26E99"/>
    <w:rsid w:val="00B27457"/>
    <w:rsid w:val="00B30AED"/>
    <w:rsid w:val="00B323AB"/>
    <w:rsid w:val="00B32DBA"/>
    <w:rsid w:val="00B3373A"/>
    <w:rsid w:val="00B33938"/>
    <w:rsid w:val="00B3408D"/>
    <w:rsid w:val="00B341CC"/>
    <w:rsid w:val="00B34E86"/>
    <w:rsid w:val="00B36904"/>
    <w:rsid w:val="00B37417"/>
    <w:rsid w:val="00B40344"/>
    <w:rsid w:val="00B4133F"/>
    <w:rsid w:val="00B41670"/>
    <w:rsid w:val="00B41E95"/>
    <w:rsid w:val="00B4209D"/>
    <w:rsid w:val="00B428FC"/>
    <w:rsid w:val="00B42A24"/>
    <w:rsid w:val="00B42F99"/>
    <w:rsid w:val="00B43342"/>
    <w:rsid w:val="00B43F1C"/>
    <w:rsid w:val="00B4493D"/>
    <w:rsid w:val="00B44FF0"/>
    <w:rsid w:val="00B4534E"/>
    <w:rsid w:val="00B45B3B"/>
    <w:rsid w:val="00B45F95"/>
    <w:rsid w:val="00B467C6"/>
    <w:rsid w:val="00B47492"/>
    <w:rsid w:val="00B474E6"/>
    <w:rsid w:val="00B47C2A"/>
    <w:rsid w:val="00B50411"/>
    <w:rsid w:val="00B50A86"/>
    <w:rsid w:val="00B50F75"/>
    <w:rsid w:val="00B50F86"/>
    <w:rsid w:val="00B5233A"/>
    <w:rsid w:val="00B5508C"/>
    <w:rsid w:val="00B55598"/>
    <w:rsid w:val="00B55B10"/>
    <w:rsid w:val="00B55CE3"/>
    <w:rsid w:val="00B5623E"/>
    <w:rsid w:val="00B6077F"/>
    <w:rsid w:val="00B60A90"/>
    <w:rsid w:val="00B60F41"/>
    <w:rsid w:val="00B6128A"/>
    <w:rsid w:val="00B6190B"/>
    <w:rsid w:val="00B6223F"/>
    <w:rsid w:val="00B62E91"/>
    <w:rsid w:val="00B6331D"/>
    <w:rsid w:val="00B64E3A"/>
    <w:rsid w:val="00B65068"/>
    <w:rsid w:val="00B658D0"/>
    <w:rsid w:val="00B65B9F"/>
    <w:rsid w:val="00B6611F"/>
    <w:rsid w:val="00B661AB"/>
    <w:rsid w:val="00B66956"/>
    <w:rsid w:val="00B67B1C"/>
    <w:rsid w:val="00B71287"/>
    <w:rsid w:val="00B7136C"/>
    <w:rsid w:val="00B71601"/>
    <w:rsid w:val="00B71EC9"/>
    <w:rsid w:val="00B72C9A"/>
    <w:rsid w:val="00B72F36"/>
    <w:rsid w:val="00B743F2"/>
    <w:rsid w:val="00B74A4E"/>
    <w:rsid w:val="00B75418"/>
    <w:rsid w:val="00B761B6"/>
    <w:rsid w:val="00B763B5"/>
    <w:rsid w:val="00B7641D"/>
    <w:rsid w:val="00B766E2"/>
    <w:rsid w:val="00B770BD"/>
    <w:rsid w:val="00B77F61"/>
    <w:rsid w:val="00B8124B"/>
    <w:rsid w:val="00B81BEB"/>
    <w:rsid w:val="00B824B8"/>
    <w:rsid w:val="00B836B0"/>
    <w:rsid w:val="00B83C42"/>
    <w:rsid w:val="00B83FC6"/>
    <w:rsid w:val="00B843E8"/>
    <w:rsid w:val="00B848F2"/>
    <w:rsid w:val="00B85231"/>
    <w:rsid w:val="00B855BA"/>
    <w:rsid w:val="00B85B78"/>
    <w:rsid w:val="00B862D1"/>
    <w:rsid w:val="00B86B67"/>
    <w:rsid w:val="00B87435"/>
    <w:rsid w:val="00B87A00"/>
    <w:rsid w:val="00B9020D"/>
    <w:rsid w:val="00B919FD"/>
    <w:rsid w:val="00B92F95"/>
    <w:rsid w:val="00B94283"/>
    <w:rsid w:val="00B94883"/>
    <w:rsid w:val="00B94999"/>
    <w:rsid w:val="00B95160"/>
    <w:rsid w:val="00B95D42"/>
    <w:rsid w:val="00B9614E"/>
    <w:rsid w:val="00B96675"/>
    <w:rsid w:val="00B968C3"/>
    <w:rsid w:val="00B96EA8"/>
    <w:rsid w:val="00B97CA6"/>
    <w:rsid w:val="00B97FE8"/>
    <w:rsid w:val="00BA08FF"/>
    <w:rsid w:val="00BA1736"/>
    <w:rsid w:val="00BA1B46"/>
    <w:rsid w:val="00BA21FA"/>
    <w:rsid w:val="00BA2FCF"/>
    <w:rsid w:val="00BA33FA"/>
    <w:rsid w:val="00BA3512"/>
    <w:rsid w:val="00BA38D5"/>
    <w:rsid w:val="00BA3FAD"/>
    <w:rsid w:val="00BA4B33"/>
    <w:rsid w:val="00BA4E18"/>
    <w:rsid w:val="00BA5C10"/>
    <w:rsid w:val="00BA5C26"/>
    <w:rsid w:val="00BA69A9"/>
    <w:rsid w:val="00BA764A"/>
    <w:rsid w:val="00BA7ED0"/>
    <w:rsid w:val="00BA7ED4"/>
    <w:rsid w:val="00BB2450"/>
    <w:rsid w:val="00BB2F53"/>
    <w:rsid w:val="00BB3212"/>
    <w:rsid w:val="00BB350C"/>
    <w:rsid w:val="00BB52C6"/>
    <w:rsid w:val="00BB55EB"/>
    <w:rsid w:val="00BB5A5F"/>
    <w:rsid w:val="00BB634F"/>
    <w:rsid w:val="00BB67B9"/>
    <w:rsid w:val="00BB73C6"/>
    <w:rsid w:val="00BB76E3"/>
    <w:rsid w:val="00BB77F5"/>
    <w:rsid w:val="00BC0279"/>
    <w:rsid w:val="00BC2D68"/>
    <w:rsid w:val="00BC4140"/>
    <w:rsid w:val="00BC4CDD"/>
    <w:rsid w:val="00BC6448"/>
    <w:rsid w:val="00BC66D2"/>
    <w:rsid w:val="00BC7150"/>
    <w:rsid w:val="00BD0F2D"/>
    <w:rsid w:val="00BD18AE"/>
    <w:rsid w:val="00BD1FA7"/>
    <w:rsid w:val="00BD264E"/>
    <w:rsid w:val="00BD26DB"/>
    <w:rsid w:val="00BD3516"/>
    <w:rsid w:val="00BD3A35"/>
    <w:rsid w:val="00BD4718"/>
    <w:rsid w:val="00BD4A95"/>
    <w:rsid w:val="00BD519D"/>
    <w:rsid w:val="00BD7AE6"/>
    <w:rsid w:val="00BE0271"/>
    <w:rsid w:val="00BE02C7"/>
    <w:rsid w:val="00BE05E8"/>
    <w:rsid w:val="00BE1A0D"/>
    <w:rsid w:val="00BE1EC4"/>
    <w:rsid w:val="00BE38D6"/>
    <w:rsid w:val="00BE3D19"/>
    <w:rsid w:val="00BE473D"/>
    <w:rsid w:val="00BE540C"/>
    <w:rsid w:val="00BE5C1D"/>
    <w:rsid w:val="00BE603E"/>
    <w:rsid w:val="00BE670C"/>
    <w:rsid w:val="00BE6BF1"/>
    <w:rsid w:val="00BE6EEA"/>
    <w:rsid w:val="00BE76F6"/>
    <w:rsid w:val="00BE7CC8"/>
    <w:rsid w:val="00BF06F4"/>
    <w:rsid w:val="00BF0CAA"/>
    <w:rsid w:val="00BF0E73"/>
    <w:rsid w:val="00BF1563"/>
    <w:rsid w:val="00BF1D3B"/>
    <w:rsid w:val="00BF1EC9"/>
    <w:rsid w:val="00BF2305"/>
    <w:rsid w:val="00BF24D0"/>
    <w:rsid w:val="00BF269E"/>
    <w:rsid w:val="00BF4B13"/>
    <w:rsid w:val="00BF6EB4"/>
    <w:rsid w:val="00BF72FB"/>
    <w:rsid w:val="00BF7505"/>
    <w:rsid w:val="00BF7A6D"/>
    <w:rsid w:val="00BF7D3A"/>
    <w:rsid w:val="00C0000E"/>
    <w:rsid w:val="00C005FF"/>
    <w:rsid w:val="00C00E51"/>
    <w:rsid w:val="00C010EE"/>
    <w:rsid w:val="00C01F71"/>
    <w:rsid w:val="00C0227D"/>
    <w:rsid w:val="00C023C6"/>
    <w:rsid w:val="00C02819"/>
    <w:rsid w:val="00C03150"/>
    <w:rsid w:val="00C0347F"/>
    <w:rsid w:val="00C03B86"/>
    <w:rsid w:val="00C0467F"/>
    <w:rsid w:val="00C049D9"/>
    <w:rsid w:val="00C04F51"/>
    <w:rsid w:val="00C05049"/>
    <w:rsid w:val="00C050E4"/>
    <w:rsid w:val="00C06160"/>
    <w:rsid w:val="00C06C2E"/>
    <w:rsid w:val="00C06D3E"/>
    <w:rsid w:val="00C10381"/>
    <w:rsid w:val="00C10A5F"/>
    <w:rsid w:val="00C10F47"/>
    <w:rsid w:val="00C113CD"/>
    <w:rsid w:val="00C11697"/>
    <w:rsid w:val="00C1268F"/>
    <w:rsid w:val="00C1286D"/>
    <w:rsid w:val="00C12B73"/>
    <w:rsid w:val="00C132F7"/>
    <w:rsid w:val="00C13C8D"/>
    <w:rsid w:val="00C13D1B"/>
    <w:rsid w:val="00C14302"/>
    <w:rsid w:val="00C16016"/>
    <w:rsid w:val="00C16C63"/>
    <w:rsid w:val="00C17DD0"/>
    <w:rsid w:val="00C17DE8"/>
    <w:rsid w:val="00C202A4"/>
    <w:rsid w:val="00C203B5"/>
    <w:rsid w:val="00C208D7"/>
    <w:rsid w:val="00C221B6"/>
    <w:rsid w:val="00C2231D"/>
    <w:rsid w:val="00C22B41"/>
    <w:rsid w:val="00C2386F"/>
    <w:rsid w:val="00C24459"/>
    <w:rsid w:val="00C24DE9"/>
    <w:rsid w:val="00C24F9F"/>
    <w:rsid w:val="00C257B7"/>
    <w:rsid w:val="00C25F31"/>
    <w:rsid w:val="00C2611E"/>
    <w:rsid w:val="00C26DF6"/>
    <w:rsid w:val="00C27267"/>
    <w:rsid w:val="00C2765A"/>
    <w:rsid w:val="00C27B28"/>
    <w:rsid w:val="00C30039"/>
    <w:rsid w:val="00C31BD4"/>
    <w:rsid w:val="00C3201C"/>
    <w:rsid w:val="00C325C9"/>
    <w:rsid w:val="00C34169"/>
    <w:rsid w:val="00C35825"/>
    <w:rsid w:val="00C36771"/>
    <w:rsid w:val="00C36C58"/>
    <w:rsid w:val="00C36F72"/>
    <w:rsid w:val="00C372B4"/>
    <w:rsid w:val="00C37918"/>
    <w:rsid w:val="00C37E0A"/>
    <w:rsid w:val="00C42936"/>
    <w:rsid w:val="00C42CEA"/>
    <w:rsid w:val="00C43494"/>
    <w:rsid w:val="00C438C8"/>
    <w:rsid w:val="00C4472E"/>
    <w:rsid w:val="00C44B04"/>
    <w:rsid w:val="00C454BC"/>
    <w:rsid w:val="00C45FF2"/>
    <w:rsid w:val="00C465E0"/>
    <w:rsid w:val="00C4774E"/>
    <w:rsid w:val="00C47B30"/>
    <w:rsid w:val="00C47DFE"/>
    <w:rsid w:val="00C47ECF"/>
    <w:rsid w:val="00C50319"/>
    <w:rsid w:val="00C508B3"/>
    <w:rsid w:val="00C51015"/>
    <w:rsid w:val="00C51359"/>
    <w:rsid w:val="00C51D7B"/>
    <w:rsid w:val="00C5204F"/>
    <w:rsid w:val="00C52368"/>
    <w:rsid w:val="00C526E4"/>
    <w:rsid w:val="00C52C17"/>
    <w:rsid w:val="00C52C7D"/>
    <w:rsid w:val="00C52DEF"/>
    <w:rsid w:val="00C5321E"/>
    <w:rsid w:val="00C53402"/>
    <w:rsid w:val="00C53856"/>
    <w:rsid w:val="00C5394D"/>
    <w:rsid w:val="00C539F7"/>
    <w:rsid w:val="00C53B16"/>
    <w:rsid w:val="00C54606"/>
    <w:rsid w:val="00C5480B"/>
    <w:rsid w:val="00C54DA1"/>
    <w:rsid w:val="00C55EDB"/>
    <w:rsid w:val="00C565F9"/>
    <w:rsid w:val="00C57C99"/>
    <w:rsid w:val="00C60CFB"/>
    <w:rsid w:val="00C6289A"/>
    <w:rsid w:val="00C63D61"/>
    <w:rsid w:val="00C640A7"/>
    <w:rsid w:val="00C651F9"/>
    <w:rsid w:val="00C6567F"/>
    <w:rsid w:val="00C66B1E"/>
    <w:rsid w:val="00C67679"/>
    <w:rsid w:val="00C67B85"/>
    <w:rsid w:val="00C67C0A"/>
    <w:rsid w:val="00C700E3"/>
    <w:rsid w:val="00C701A2"/>
    <w:rsid w:val="00C706FD"/>
    <w:rsid w:val="00C70889"/>
    <w:rsid w:val="00C71120"/>
    <w:rsid w:val="00C713A2"/>
    <w:rsid w:val="00C71BAE"/>
    <w:rsid w:val="00C735C4"/>
    <w:rsid w:val="00C74ACD"/>
    <w:rsid w:val="00C752CF"/>
    <w:rsid w:val="00C752F5"/>
    <w:rsid w:val="00C76865"/>
    <w:rsid w:val="00C76867"/>
    <w:rsid w:val="00C76C8D"/>
    <w:rsid w:val="00C76D71"/>
    <w:rsid w:val="00C80905"/>
    <w:rsid w:val="00C80D89"/>
    <w:rsid w:val="00C84313"/>
    <w:rsid w:val="00C85026"/>
    <w:rsid w:val="00C86ACC"/>
    <w:rsid w:val="00C86B85"/>
    <w:rsid w:val="00C86E86"/>
    <w:rsid w:val="00C871CC"/>
    <w:rsid w:val="00C873E4"/>
    <w:rsid w:val="00C87E20"/>
    <w:rsid w:val="00C90158"/>
    <w:rsid w:val="00C90666"/>
    <w:rsid w:val="00C9085A"/>
    <w:rsid w:val="00C909A5"/>
    <w:rsid w:val="00C928D0"/>
    <w:rsid w:val="00C940DC"/>
    <w:rsid w:val="00C9413E"/>
    <w:rsid w:val="00C94CCA"/>
    <w:rsid w:val="00C96096"/>
    <w:rsid w:val="00C97795"/>
    <w:rsid w:val="00CA0CCC"/>
    <w:rsid w:val="00CA155B"/>
    <w:rsid w:val="00CA2638"/>
    <w:rsid w:val="00CA2990"/>
    <w:rsid w:val="00CA365E"/>
    <w:rsid w:val="00CA3C75"/>
    <w:rsid w:val="00CA3FFB"/>
    <w:rsid w:val="00CA5263"/>
    <w:rsid w:val="00CA66B3"/>
    <w:rsid w:val="00CA68B9"/>
    <w:rsid w:val="00CA7204"/>
    <w:rsid w:val="00CA7219"/>
    <w:rsid w:val="00CA7817"/>
    <w:rsid w:val="00CB0966"/>
    <w:rsid w:val="00CB1548"/>
    <w:rsid w:val="00CB264E"/>
    <w:rsid w:val="00CB28FC"/>
    <w:rsid w:val="00CB2CA5"/>
    <w:rsid w:val="00CB3444"/>
    <w:rsid w:val="00CB4368"/>
    <w:rsid w:val="00CB43EA"/>
    <w:rsid w:val="00CB4C2A"/>
    <w:rsid w:val="00CB5191"/>
    <w:rsid w:val="00CB556D"/>
    <w:rsid w:val="00CB5A1E"/>
    <w:rsid w:val="00CB6027"/>
    <w:rsid w:val="00CB6087"/>
    <w:rsid w:val="00CB68E7"/>
    <w:rsid w:val="00CB6A2A"/>
    <w:rsid w:val="00CB6B31"/>
    <w:rsid w:val="00CB7D66"/>
    <w:rsid w:val="00CC187F"/>
    <w:rsid w:val="00CC1CB2"/>
    <w:rsid w:val="00CC1CEA"/>
    <w:rsid w:val="00CC2E58"/>
    <w:rsid w:val="00CC2E93"/>
    <w:rsid w:val="00CC2EB9"/>
    <w:rsid w:val="00CC2EEC"/>
    <w:rsid w:val="00CC2F39"/>
    <w:rsid w:val="00CC34FF"/>
    <w:rsid w:val="00CC399B"/>
    <w:rsid w:val="00CC3E58"/>
    <w:rsid w:val="00CC4ECB"/>
    <w:rsid w:val="00CC56AC"/>
    <w:rsid w:val="00CC5908"/>
    <w:rsid w:val="00CC5A2B"/>
    <w:rsid w:val="00CC625B"/>
    <w:rsid w:val="00CC6E19"/>
    <w:rsid w:val="00CC75A2"/>
    <w:rsid w:val="00CD005B"/>
    <w:rsid w:val="00CD2199"/>
    <w:rsid w:val="00CD2739"/>
    <w:rsid w:val="00CD3DBB"/>
    <w:rsid w:val="00CD4128"/>
    <w:rsid w:val="00CD6BF3"/>
    <w:rsid w:val="00CD7ACA"/>
    <w:rsid w:val="00CE003F"/>
    <w:rsid w:val="00CE09BB"/>
    <w:rsid w:val="00CE1C98"/>
    <w:rsid w:val="00CE3806"/>
    <w:rsid w:val="00CE3C1C"/>
    <w:rsid w:val="00CE40B6"/>
    <w:rsid w:val="00CE4708"/>
    <w:rsid w:val="00CE470D"/>
    <w:rsid w:val="00CE5665"/>
    <w:rsid w:val="00CE6C10"/>
    <w:rsid w:val="00CE6E5D"/>
    <w:rsid w:val="00CE6F21"/>
    <w:rsid w:val="00CE7616"/>
    <w:rsid w:val="00CE7AC5"/>
    <w:rsid w:val="00CF0166"/>
    <w:rsid w:val="00CF02B2"/>
    <w:rsid w:val="00CF0571"/>
    <w:rsid w:val="00CF1976"/>
    <w:rsid w:val="00CF37FD"/>
    <w:rsid w:val="00CF3B46"/>
    <w:rsid w:val="00CF5529"/>
    <w:rsid w:val="00CF5C89"/>
    <w:rsid w:val="00CF60FF"/>
    <w:rsid w:val="00CF619D"/>
    <w:rsid w:val="00CF65C1"/>
    <w:rsid w:val="00CF6F13"/>
    <w:rsid w:val="00CF70C9"/>
    <w:rsid w:val="00CF7A4B"/>
    <w:rsid w:val="00CF7EF1"/>
    <w:rsid w:val="00D001E3"/>
    <w:rsid w:val="00D0068F"/>
    <w:rsid w:val="00D012AB"/>
    <w:rsid w:val="00D017C0"/>
    <w:rsid w:val="00D018CE"/>
    <w:rsid w:val="00D01FE0"/>
    <w:rsid w:val="00D041F8"/>
    <w:rsid w:val="00D04C05"/>
    <w:rsid w:val="00D04CCE"/>
    <w:rsid w:val="00D0506D"/>
    <w:rsid w:val="00D05946"/>
    <w:rsid w:val="00D059D6"/>
    <w:rsid w:val="00D05AFA"/>
    <w:rsid w:val="00D05BF1"/>
    <w:rsid w:val="00D05E9C"/>
    <w:rsid w:val="00D0701F"/>
    <w:rsid w:val="00D07F9C"/>
    <w:rsid w:val="00D108F5"/>
    <w:rsid w:val="00D10AE2"/>
    <w:rsid w:val="00D122AA"/>
    <w:rsid w:val="00D12A1F"/>
    <w:rsid w:val="00D12B95"/>
    <w:rsid w:val="00D130FF"/>
    <w:rsid w:val="00D13681"/>
    <w:rsid w:val="00D13737"/>
    <w:rsid w:val="00D142C6"/>
    <w:rsid w:val="00D15C49"/>
    <w:rsid w:val="00D1628D"/>
    <w:rsid w:val="00D17140"/>
    <w:rsid w:val="00D20C6A"/>
    <w:rsid w:val="00D20C71"/>
    <w:rsid w:val="00D21D09"/>
    <w:rsid w:val="00D21DFE"/>
    <w:rsid w:val="00D22156"/>
    <w:rsid w:val="00D221AD"/>
    <w:rsid w:val="00D227A5"/>
    <w:rsid w:val="00D237C4"/>
    <w:rsid w:val="00D241A6"/>
    <w:rsid w:val="00D24378"/>
    <w:rsid w:val="00D24B0F"/>
    <w:rsid w:val="00D25467"/>
    <w:rsid w:val="00D255B5"/>
    <w:rsid w:val="00D25748"/>
    <w:rsid w:val="00D25974"/>
    <w:rsid w:val="00D25A31"/>
    <w:rsid w:val="00D25E98"/>
    <w:rsid w:val="00D2716D"/>
    <w:rsid w:val="00D27CE9"/>
    <w:rsid w:val="00D27ED1"/>
    <w:rsid w:val="00D3131A"/>
    <w:rsid w:val="00D31C1B"/>
    <w:rsid w:val="00D322BB"/>
    <w:rsid w:val="00D32A0A"/>
    <w:rsid w:val="00D332F0"/>
    <w:rsid w:val="00D37403"/>
    <w:rsid w:val="00D409AB"/>
    <w:rsid w:val="00D40E6E"/>
    <w:rsid w:val="00D42D27"/>
    <w:rsid w:val="00D42E51"/>
    <w:rsid w:val="00D43308"/>
    <w:rsid w:val="00D43CC1"/>
    <w:rsid w:val="00D446ED"/>
    <w:rsid w:val="00D45512"/>
    <w:rsid w:val="00D4658F"/>
    <w:rsid w:val="00D46AA9"/>
    <w:rsid w:val="00D478DB"/>
    <w:rsid w:val="00D47A7C"/>
    <w:rsid w:val="00D50B44"/>
    <w:rsid w:val="00D51BFE"/>
    <w:rsid w:val="00D51EAD"/>
    <w:rsid w:val="00D53703"/>
    <w:rsid w:val="00D53872"/>
    <w:rsid w:val="00D55499"/>
    <w:rsid w:val="00D55533"/>
    <w:rsid w:val="00D5566E"/>
    <w:rsid w:val="00D57258"/>
    <w:rsid w:val="00D57A7F"/>
    <w:rsid w:val="00D60B84"/>
    <w:rsid w:val="00D62989"/>
    <w:rsid w:val="00D62C26"/>
    <w:rsid w:val="00D6310B"/>
    <w:rsid w:val="00D6470F"/>
    <w:rsid w:val="00D65B47"/>
    <w:rsid w:val="00D669D1"/>
    <w:rsid w:val="00D66C8A"/>
    <w:rsid w:val="00D66D3E"/>
    <w:rsid w:val="00D670E2"/>
    <w:rsid w:val="00D677C9"/>
    <w:rsid w:val="00D70172"/>
    <w:rsid w:val="00D70B0E"/>
    <w:rsid w:val="00D728AD"/>
    <w:rsid w:val="00D72FF8"/>
    <w:rsid w:val="00D73986"/>
    <w:rsid w:val="00D745A8"/>
    <w:rsid w:val="00D74FFB"/>
    <w:rsid w:val="00D75FE4"/>
    <w:rsid w:val="00D7700A"/>
    <w:rsid w:val="00D7770D"/>
    <w:rsid w:val="00D7792E"/>
    <w:rsid w:val="00D80B2D"/>
    <w:rsid w:val="00D8140C"/>
    <w:rsid w:val="00D81DAA"/>
    <w:rsid w:val="00D828EA"/>
    <w:rsid w:val="00D8341B"/>
    <w:rsid w:val="00D83CBB"/>
    <w:rsid w:val="00D85119"/>
    <w:rsid w:val="00D85241"/>
    <w:rsid w:val="00D85796"/>
    <w:rsid w:val="00D85EAF"/>
    <w:rsid w:val="00D865D0"/>
    <w:rsid w:val="00D86AC8"/>
    <w:rsid w:val="00D87013"/>
    <w:rsid w:val="00D876FF"/>
    <w:rsid w:val="00D87B73"/>
    <w:rsid w:val="00D9038B"/>
    <w:rsid w:val="00D90A54"/>
    <w:rsid w:val="00D90DF5"/>
    <w:rsid w:val="00D91004"/>
    <w:rsid w:val="00D92404"/>
    <w:rsid w:val="00D92591"/>
    <w:rsid w:val="00D931F8"/>
    <w:rsid w:val="00D9421F"/>
    <w:rsid w:val="00D94CB1"/>
    <w:rsid w:val="00D95397"/>
    <w:rsid w:val="00D95A03"/>
    <w:rsid w:val="00D962AA"/>
    <w:rsid w:val="00D96D7F"/>
    <w:rsid w:val="00D96DD2"/>
    <w:rsid w:val="00D972EF"/>
    <w:rsid w:val="00DA0E97"/>
    <w:rsid w:val="00DA0FF4"/>
    <w:rsid w:val="00DA1C7D"/>
    <w:rsid w:val="00DA25FF"/>
    <w:rsid w:val="00DA2A14"/>
    <w:rsid w:val="00DA347D"/>
    <w:rsid w:val="00DA3FEF"/>
    <w:rsid w:val="00DA4195"/>
    <w:rsid w:val="00DA49C9"/>
    <w:rsid w:val="00DA4B86"/>
    <w:rsid w:val="00DA4BDD"/>
    <w:rsid w:val="00DA5E4B"/>
    <w:rsid w:val="00DA5FBB"/>
    <w:rsid w:val="00DA70F6"/>
    <w:rsid w:val="00DA7A4C"/>
    <w:rsid w:val="00DB00C7"/>
    <w:rsid w:val="00DB0633"/>
    <w:rsid w:val="00DB144A"/>
    <w:rsid w:val="00DB1A46"/>
    <w:rsid w:val="00DB311A"/>
    <w:rsid w:val="00DB33EC"/>
    <w:rsid w:val="00DB3548"/>
    <w:rsid w:val="00DB381E"/>
    <w:rsid w:val="00DB3C62"/>
    <w:rsid w:val="00DB3CA9"/>
    <w:rsid w:val="00DB3EB8"/>
    <w:rsid w:val="00DB418C"/>
    <w:rsid w:val="00DB516C"/>
    <w:rsid w:val="00DB641A"/>
    <w:rsid w:val="00DB64DB"/>
    <w:rsid w:val="00DB6B8B"/>
    <w:rsid w:val="00DB72BD"/>
    <w:rsid w:val="00DB78C5"/>
    <w:rsid w:val="00DB7E03"/>
    <w:rsid w:val="00DC01E1"/>
    <w:rsid w:val="00DC122D"/>
    <w:rsid w:val="00DC20B2"/>
    <w:rsid w:val="00DC21F6"/>
    <w:rsid w:val="00DC43DF"/>
    <w:rsid w:val="00DC4F63"/>
    <w:rsid w:val="00DC59AC"/>
    <w:rsid w:val="00DC5C95"/>
    <w:rsid w:val="00DC7E7A"/>
    <w:rsid w:val="00DD04B1"/>
    <w:rsid w:val="00DD0CD9"/>
    <w:rsid w:val="00DD12C9"/>
    <w:rsid w:val="00DD17A0"/>
    <w:rsid w:val="00DD2191"/>
    <w:rsid w:val="00DD300A"/>
    <w:rsid w:val="00DD3354"/>
    <w:rsid w:val="00DD5BCA"/>
    <w:rsid w:val="00DD5CEC"/>
    <w:rsid w:val="00DD5E40"/>
    <w:rsid w:val="00DD65FE"/>
    <w:rsid w:val="00DD6BF9"/>
    <w:rsid w:val="00DD6DB1"/>
    <w:rsid w:val="00DD7764"/>
    <w:rsid w:val="00DE0793"/>
    <w:rsid w:val="00DE0F78"/>
    <w:rsid w:val="00DE14A8"/>
    <w:rsid w:val="00DE2ED6"/>
    <w:rsid w:val="00DE3DF4"/>
    <w:rsid w:val="00DE3E16"/>
    <w:rsid w:val="00DE4449"/>
    <w:rsid w:val="00DE449C"/>
    <w:rsid w:val="00DE4894"/>
    <w:rsid w:val="00DE4C10"/>
    <w:rsid w:val="00DE4D84"/>
    <w:rsid w:val="00DE4D91"/>
    <w:rsid w:val="00DE78AD"/>
    <w:rsid w:val="00DF0F7B"/>
    <w:rsid w:val="00DF111B"/>
    <w:rsid w:val="00DF1222"/>
    <w:rsid w:val="00DF433C"/>
    <w:rsid w:val="00DF4C34"/>
    <w:rsid w:val="00DF59DD"/>
    <w:rsid w:val="00DF5A3F"/>
    <w:rsid w:val="00DF5F04"/>
    <w:rsid w:val="00DF70EC"/>
    <w:rsid w:val="00DF7A4F"/>
    <w:rsid w:val="00E00A50"/>
    <w:rsid w:val="00E01031"/>
    <w:rsid w:val="00E01865"/>
    <w:rsid w:val="00E018AE"/>
    <w:rsid w:val="00E01978"/>
    <w:rsid w:val="00E02F8E"/>
    <w:rsid w:val="00E0456A"/>
    <w:rsid w:val="00E04891"/>
    <w:rsid w:val="00E04CEE"/>
    <w:rsid w:val="00E05746"/>
    <w:rsid w:val="00E05FAD"/>
    <w:rsid w:val="00E06130"/>
    <w:rsid w:val="00E06A04"/>
    <w:rsid w:val="00E06FB0"/>
    <w:rsid w:val="00E07899"/>
    <w:rsid w:val="00E10016"/>
    <w:rsid w:val="00E10E57"/>
    <w:rsid w:val="00E11009"/>
    <w:rsid w:val="00E12984"/>
    <w:rsid w:val="00E12DBC"/>
    <w:rsid w:val="00E13A99"/>
    <w:rsid w:val="00E15A82"/>
    <w:rsid w:val="00E16925"/>
    <w:rsid w:val="00E17654"/>
    <w:rsid w:val="00E17FC8"/>
    <w:rsid w:val="00E207FE"/>
    <w:rsid w:val="00E20B97"/>
    <w:rsid w:val="00E20E6D"/>
    <w:rsid w:val="00E215B6"/>
    <w:rsid w:val="00E22184"/>
    <w:rsid w:val="00E225B6"/>
    <w:rsid w:val="00E232B3"/>
    <w:rsid w:val="00E25FC7"/>
    <w:rsid w:val="00E26532"/>
    <w:rsid w:val="00E268EB"/>
    <w:rsid w:val="00E26F4B"/>
    <w:rsid w:val="00E26FED"/>
    <w:rsid w:val="00E27C2A"/>
    <w:rsid w:val="00E30762"/>
    <w:rsid w:val="00E31EE2"/>
    <w:rsid w:val="00E33AD4"/>
    <w:rsid w:val="00E33C5A"/>
    <w:rsid w:val="00E33E73"/>
    <w:rsid w:val="00E34013"/>
    <w:rsid w:val="00E3425F"/>
    <w:rsid w:val="00E34360"/>
    <w:rsid w:val="00E3449E"/>
    <w:rsid w:val="00E34B3E"/>
    <w:rsid w:val="00E34C96"/>
    <w:rsid w:val="00E34EC9"/>
    <w:rsid w:val="00E3501F"/>
    <w:rsid w:val="00E3709A"/>
    <w:rsid w:val="00E3729F"/>
    <w:rsid w:val="00E37C95"/>
    <w:rsid w:val="00E4123D"/>
    <w:rsid w:val="00E420DA"/>
    <w:rsid w:val="00E42E3B"/>
    <w:rsid w:val="00E43684"/>
    <w:rsid w:val="00E44B0D"/>
    <w:rsid w:val="00E45336"/>
    <w:rsid w:val="00E46117"/>
    <w:rsid w:val="00E46A86"/>
    <w:rsid w:val="00E4742C"/>
    <w:rsid w:val="00E47699"/>
    <w:rsid w:val="00E50472"/>
    <w:rsid w:val="00E50C0E"/>
    <w:rsid w:val="00E50EC6"/>
    <w:rsid w:val="00E517FC"/>
    <w:rsid w:val="00E51D8E"/>
    <w:rsid w:val="00E52101"/>
    <w:rsid w:val="00E52605"/>
    <w:rsid w:val="00E52BB4"/>
    <w:rsid w:val="00E52CE7"/>
    <w:rsid w:val="00E52F47"/>
    <w:rsid w:val="00E5307D"/>
    <w:rsid w:val="00E53C87"/>
    <w:rsid w:val="00E54549"/>
    <w:rsid w:val="00E54958"/>
    <w:rsid w:val="00E54997"/>
    <w:rsid w:val="00E54AE0"/>
    <w:rsid w:val="00E54AF6"/>
    <w:rsid w:val="00E5589A"/>
    <w:rsid w:val="00E56D33"/>
    <w:rsid w:val="00E600E5"/>
    <w:rsid w:val="00E60555"/>
    <w:rsid w:val="00E60B13"/>
    <w:rsid w:val="00E61280"/>
    <w:rsid w:val="00E637B8"/>
    <w:rsid w:val="00E638E1"/>
    <w:rsid w:val="00E643A0"/>
    <w:rsid w:val="00E656BD"/>
    <w:rsid w:val="00E65785"/>
    <w:rsid w:val="00E65D90"/>
    <w:rsid w:val="00E65E6C"/>
    <w:rsid w:val="00E662E8"/>
    <w:rsid w:val="00E67458"/>
    <w:rsid w:val="00E67D4C"/>
    <w:rsid w:val="00E701FC"/>
    <w:rsid w:val="00E70760"/>
    <w:rsid w:val="00E71AB3"/>
    <w:rsid w:val="00E745BF"/>
    <w:rsid w:val="00E758A3"/>
    <w:rsid w:val="00E77422"/>
    <w:rsid w:val="00E774A5"/>
    <w:rsid w:val="00E81CCC"/>
    <w:rsid w:val="00E8215F"/>
    <w:rsid w:val="00E8218A"/>
    <w:rsid w:val="00E832A1"/>
    <w:rsid w:val="00E83DB7"/>
    <w:rsid w:val="00E84557"/>
    <w:rsid w:val="00E8562B"/>
    <w:rsid w:val="00E8592D"/>
    <w:rsid w:val="00E86467"/>
    <w:rsid w:val="00E86A03"/>
    <w:rsid w:val="00E86DE6"/>
    <w:rsid w:val="00E87830"/>
    <w:rsid w:val="00E87A2D"/>
    <w:rsid w:val="00E87FE6"/>
    <w:rsid w:val="00E9090B"/>
    <w:rsid w:val="00E920CD"/>
    <w:rsid w:val="00E925B6"/>
    <w:rsid w:val="00E93469"/>
    <w:rsid w:val="00E94C2E"/>
    <w:rsid w:val="00E954BA"/>
    <w:rsid w:val="00E95A1D"/>
    <w:rsid w:val="00E95EA5"/>
    <w:rsid w:val="00E970F9"/>
    <w:rsid w:val="00E9727F"/>
    <w:rsid w:val="00EA2ABA"/>
    <w:rsid w:val="00EA325A"/>
    <w:rsid w:val="00EA3409"/>
    <w:rsid w:val="00EA3665"/>
    <w:rsid w:val="00EA3C19"/>
    <w:rsid w:val="00EA465A"/>
    <w:rsid w:val="00EA4B33"/>
    <w:rsid w:val="00EA530F"/>
    <w:rsid w:val="00EA6A3A"/>
    <w:rsid w:val="00EA6B69"/>
    <w:rsid w:val="00EA746D"/>
    <w:rsid w:val="00EB029C"/>
    <w:rsid w:val="00EB2A4D"/>
    <w:rsid w:val="00EB2DCF"/>
    <w:rsid w:val="00EB3167"/>
    <w:rsid w:val="00EB3FEC"/>
    <w:rsid w:val="00EB424F"/>
    <w:rsid w:val="00EB45D1"/>
    <w:rsid w:val="00EB4BD3"/>
    <w:rsid w:val="00EB5157"/>
    <w:rsid w:val="00EB5762"/>
    <w:rsid w:val="00EB611A"/>
    <w:rsid w:val="00EB6369"/>
    <w:rsid w:val="00EC060B"/>
    <w:rsid w:val="00EC0E3C"/>
    <w:rsid w:val="00EC1CAE"/>
    <w:rsid w:val="00EC1D4C"/>
    <w:rsid w:val="00EC1E8A"/>
    <w:rsid w:val="00EC1F51"/>
    <w:rsid w:val="00EC34EB"/>
    <w:rsid w:val="00EC47A2"/>
    <w:rsid w:val="00EC5E79"/>
    <w:rsid w:val="00EC7589"/>
    <w:rsid w:val="00EC78AC"/>
    <w:rsid w:val="00ED0831"/>
    <w:rsid w:val="00ED1ACC"/>
    <w:rsid w:val="00ED1F9E"/>
    <w:rsid w:val="00ED2686"/>
    <w:rsid w:val="00ED321A"/>
    <w:rsid w:val="00ED4126"/>
    <w:rsid w:val="00ED4997"/>
    <w:rsid w:val="00ED4A73"/>
    <w:rsid w:val="00ED4BD9"/>
    <w:rsid w:val="00ED5368"/>
    <w:rsid w:val="00ED56FF"/>
    <w:rsid w:val="00ED5D8B"/>
    <w:rsid w:val="00ED747C"/>
    <w:rsid w:val="00EE0092"/>
    <w:rsid w:val="00EE00D0"/>
    <w:rsid w:val="00EE01A7"/>
    <w:rsid w:val="00EE0DD4"/>
    <w:rsid w:val="00EE1A81"/>
    <w:rsid w:val="00EE1DC1"/>
    <w:rsid w:val="00EE25AA"/>
    <w:rsid w:val="00EE2B3A"/>
    <w:rsid w:val="00EE3EFB"/>
    <w:rsid w:val="00EE470C"/>
    <w:rsid w:val="00EE4B76"/>
    <w:rsid w:val="00EE4DED"/>
    <w:rsid w:val="00EE54D1"/>
    <w:rsid w:val="00EE68EA"/>
    <w:rsid w:val="00EE6DCE"/>
    <w:rsid w:val="00EE6FCE"/>
    <w:rsid w:val="00EE7BEF"/>
    <w:rsid w:val="00EF0D2C"/>
    <w:rsid w:val="00EF0DFE"/>
    <w:rsid w:val="00EF12EE"/>
    <w:rsid w:val="00EF2846"/>
    <w:rsid w:val="00EF2F3C"/>
    <w:rsid w:val="00EF3769"/>
    <w:rsid w:val="00EF3FB4"/>
    <w:rsid w:val="00EF4584"/>
    <w:rsid w:val="00EF507D"/>
    <w:rsid w:val="00EF5372"/>
    <w:rsid w:val="00EF5909"/>
    <w:rsid w:val="00EF5B45"/>
    <w:rsid w:val="00F004D9"/>
    <w:rsid w:val="00F007CF"/>
    <w:rsid w:val="00F00EE1"/>
    <w:rsid w:val="00F01813"/>
    <w:rsid w:val="00F01B3D"/>
    <w:rsid w:val="00F01F49"/>
    <w:rsid w:val="00F0257F"/>
    <w:rsid w:val="00F025B0"/>
    <w:rsid w:val="00F02959"/>
    <w:rsid w:val="00F03B87"/>
    <w:rsid w:val="00F05A66"/>
    <w:rsid w:val="00F068A4"/>
    <w:rsid w:val="00F07752"/>
    <w:rsid w:val="00F0775E"/>
    <w:rsid w:val="00F0783D"/>
    <w:rsid w:val="00F07DD9"/>
    <w:rsid w:val="00F12830"/>
    <w:rsid w:val="00F128D7"/>
    <w:rsid w:val="00F12ECF"/>
    <w:rsid w:val="00F16B1B"/>
    <w:rsid w:val="00F174E2"/>
    <w:rsid w:val="00F201C0"/>
    <w:rsid w:val="00F204DE"/>
    <w:rsid w:val="00F20CC2"/>
    <w:rsid w:val="00F23762"/>
    <w:rsid w:val="00F23BED"/>
    <w:rsid w:val="00F24693"/>
    <w:rsid w:val="00F2478E"/>
    <w:rsid w:val="00F24D80"/>
    <w:rsid w:val="00F24E92"/>
    <w:rsid w:val="00F25374"/>
    <w:rsid w:val="00F25718"/>
    <w:rsid w:val="00F257B5"/>
    <w:rsid w:val="00F25F70"/>
    <w:rsid w:val="00F26098"/>
    <w:rsid w:val="00F301CC"/>
    <w:rsid w:val="00F30967"/>
    <w:rsid w:val="00F3263A"/>
    <w:rsid w:val="00F34D81"/>
    <w:rsid w:val="00F35847"/>
    <w:rsid w:val="00F35BC3"/>
    <w:rsid w:val="00F35C46"/>
    <w:rsid w:val="00F35DCB"/>
    <w:rsid w:val="00F3624D"/>
    <w:rsid w:val="00F3717D"/>
    <w:rsid w:val="00F37595"/>
    <w:rsid w:val="00F37689"/>
    <w:rsid w:val="00F37DC2"/>
    <w:rsid w:val="00F37FC2"/>
    <w:rsid w:val="00F40CB7"/>
    <w:rsid w:val="00F422E0"/>
    <w:rsid w:val="00F42D78"/>
    <w:rsid w:val="00F42FC7"/>
    <w:rsid w:val="00F44190"/>
    <w:rsid w:val="00F44225"/>
    <w:rsid w:val="00F447BE"/>
    <w:rsid w:val="00F44D47"/>
    <w:rsid w:val="00F44E88"/>
    <w:rsid w:val="00F45626"/>
    <w:rsid w:val="00F46AD9"/>
    <w:rsid w:val="00F46EA8"/>
    <w:rsid w:val="00F47122"/>
    <w:rsid w:val="00F47E45"/>
    <w:rsid w:val="00F50839"/>
    <w:rsid w:val="00F51212"/>
    <w:rsid w:val="00F52902"/>
    <w:rsid w:val="00F53E67"/>
    <w:rsid w:val="00F53EF2"/>
    <w:rsid w:val="00F5470F"/>
    <w:rsid w:val="00F5644D"/>
    <w:rsid w:val="00F56749"/>
    <w:rsid w:val="00F568C2"/>
    <w:rsid w:val="00F569C0"/>
    <w:rsid w:val="00F573F7"/>
    <w:rsid w:val="00F57625"/>
    <w:rsid w:val="00F57A2C"/>
    <w:rsid w:val="00F6006E"/>
    <w:rsid w:val="00F60FC6"/>
    <w:rsid w:val="00F616A1"/>
    <w:rsid w:val="00F61B3F"/>
    <w:rsid w:val="00F61D5B"/>
    <w:rsid w:val="00F62810"/>
    <w:rsid w:val="00F631E2"/>
    <w:rsid w:val="00F633F3"/>
    <w:rsid w:val="00F63612"/>
    <w:rsid w:val="00F6386C"/>
    <w:rsid w:val="00F64784"/>
    <w:rsid w:val="00F64FD9"/>
    <w:rsid w:val="00F67779"/>
    <w:rsid w:val="00F7045D"/>
    <w:rsid w:val="00F710B9"/>
    <w:rsid w:val="00F71182"/>
    <w:rsid w:val="00F725D3"/>
    <w:rsid w:val="00F72BE4"/>
    <w:rsid w:val="00F7305A"/>
    <w:rsid w:val="00F73C7A"/>
    <w:rsid w:val="00F73D27"/>
    <w:rsid w:val="00F75EAB"/>
    <w:rsid w:val="00F76321"/>
    <w:rsid w:val="00F77162"/>
    <w:rsid w:val="00F77DCB"/>
    <w:rsid w:val="00F77EEB"/>
    <w:rsid w:val="00F8002E"/>
    <w:rsid w:val="00F80030"/>
    <w:rsid w:val="00F80C3E"/>
    <w:rsid w:val="00F80DD9"/>
    <w:rsid w:val="00F81645"/>
    <w:rsid w:val="00F81716"/>
    <w:rsid w:val="00F8249A"/>
    <w:rsid w:val="00F82BFF"/>
    <w:rsid w:val="00F82EF8"/>
    <w:rsid w:val="00F830F3"/>
    <w:rsid w:val="00F841FB"/>
    <w:rsid w:val="00F853C8"/>
    <w:rsid w:val="00F86E1C"/>
    <w:rsid w:val="00F9055F"/>
    <w:rsid w:val="00F91D68"/>
    <w:rsid w:val="00F92EA5"/>
    <w:rsid w:val="00F95C0E"/>
    <w:rsid w:val="00F96B01"/>
    <w:rsid w:val="00F96F0A"/>
    <w:rsid w:val="00FA0069"/>
    <w:rsid w:val="00FA01C9"/>
    <w:rsid w:val="00FA135F"/>
    <w:rsid w:val="00FA2BB2"/>
    <w:rsid w:val="00FA2F0D"/>
    <w:rsid w:val="00FA34ED"/>
    <w:rsid w:val="00FA4096"/>
    <w:rsid w:val="00FA5249"/>
    <w:rsid w:val="00FA5D89"/>
    <w:rsid w:val="00FA5F1E"/>
    <w:rsid w:val="00FA6149"/>
    <w:rsid w:val="00FB1308"/>
    <w:rsid w:val="00FB1494"/>
    <w:rsid w:val="00FB19EA"/>
    <w:rsid w:val="00FB1B91"/>
    <w:rsid w:val="00FB209F"/>
    <w:rsid w:val="00FB2443"/>
    <w:rsid w:val="00FB28BC"/>
    <w:rsid w:val="00FB28DE"/>
    <w:rsid w:val="00FB3249"/>
    <w:rsid w:val="00FB46A3"/>
    <w:rsid w:val="00FB4727"/>
    <w:rsid w:val="00FB5428"/>
    <w:rsid w:val="00FB5E04"/>
    <w:rsid w:val="00FB65B7"/>
    <w:rsid w:val="00FB6F19"/>
    <w:rsid w:val="00FB711E"/>
    <w:rsid w:val="00FB78A1"/>
    <w:rsid w:val="00FC0273"/>
    <w:rsid w:val="00FC08F5"/>
    <w:rsid w:val="00FC0916"/>
    <w:rsid w:val="00FC0E97"/>
    <w:rsid w:val="00FC1044"/>
    <w:rsid w:val="00FC156B"/>
    <w:rsid w:val="00FC19C2"/>
    <w:rsid w:val="00FC1B4B"/>
    <w:rsid w:val="00FC2865"/>
    <w:rsid w:val="00FC2F8E"/>
    <w:rsid w:val="00FC3363"/>
    <w:rsid w:val="00FC3E95"/>
    <w:rsid w:val="00FC4235"/>
    <w:rsid w:val="00FC424D"/>
    <w:rsid w:val="00FC4575"/>
    <w:rsid w:val="00FC4596"/>
    <w:rsid w:val="00FC5F12"/>
    <w:rsid w:val="00FC6092"/>
    <w:rsid w:val="00FC6225"/>
    <w:rsid w:val="00FC7F27"/>
    <w:rsid w:val="00FD018C"/>
    <w:rsid w:val="00FD065A"/>
    <w:rsid w:val="00FD07B4"/>
    <w:rsid w:val="00FD0CCA"/>
    <w:rsid w:val="00FD0D2D"/>
    <w:rsid w:val="00FD13FC"/>
    <w:rsid w:val="00FD173F"/>
    <w:rsid w:val="00FD217C"/>
    <w:rsid w:val="00FD2628"/>
    <w:rsid w:val="00FD2748"/>
    <w:rsid w:val="00FD3D42"/>
    <w:rsid w:val="00FD53E7"/>
    <w:rsid w:val="00FD6FBE"/>
    <w:rsid w:val="00FD7E20"/>
    <w:rsid w:val="00FE0972"/>
    <w:rsid w:val="00FE0CBE"/>
    <w:rsid w:val="00FE173B"/>
    <w:rsid w:val="00FE1959"/>
    <w:rsid w:val="00FE3020"/>
    <w:rsid w:val="00FE42E0"/>
    <w:rsid w:val="00FE488F"/>
    <w:rsid w:val="00FE5F2B"/>
    <w:rsid w:val="00FE6505"/>
    <w:rsid w:val="00FE6CF4"/>
    <w:rsid w:val="00FE6D16"/>
    <w:rsid w:val="00FE743A"/>
    <w:rsid w:val="00FE76B9"/>
    <w:rsid w:val="00FF048D"/>
    <w:rsid w:val="00FF11FD"/>
    <w:rsid w:val="00FF15B5"/>
    <w:rsid w:val="00FF36D5"/>
    <w:rsid w:val="00FF425A"/>
    <w:rsid w:val="00FF5493"/>
    <w:rsid w:val="00FF5AFD"/>
    <w:rsid w:val="00FF5EBB"/>
    <w:rsid w:val="00FF6EEF"/>
    <w:rsid w:val="017F2246"/>
    <w:rsid w:val="019229FB"/>
    <w:rsid w:val="01B1742D"/>
    <w:rsid w:val="01DD7663"/>
    <w:rsid w:val="022328B4"/>
    <w:rsid w:val="025B449E"/>
    <w:rsid w:val="03B14B69"/>
    <w:rsid w:val="03CE3D3F"/>
    <w:rsid w:val="03F26B15"/>
    <w:rsid w:val="03F66997"/>
    <w:rsid w:val="048377E4"/>
    <w:rsid w:val="04B9310B"/>
    <w:rsid w:val="064B18D5"/>
    <w:rsid w:val="0678173A"/>
    <w:rsid w:val="067C5624"/>
    <w:rsid w:val="079A5D7C"/>
    <w:rsid w:val="07A75FF5"/>
    <w:rsid w:val="07F37C03"/>
    <w:rsid w:val="083803C7"/>
    <w:rsid w:val="08710AC1"/>
    <w:rsid w:val="09CC2B42"/>
    <w:rsid w:val="0A672C50"/>
    <w:rsid w:val="0AAB7CBA"/>
    <w:rsid w:val="0ABD286D"/>
    <w:rsid w:val="0ABD37FC"/>
    <w:rsid w:val="0B05708D"/>
    <w:rsid w:val="0B6C2A07"/>
    <w:rsid w:val="0B94573F"/>
    <w:rsid w:val="0BB8633A"/>
    <w:rsid w:val="0C40282F"/>
    <w:rsid w:val="0C9C792C"/>
    <w:rsid w:val="0E8F14FD"/>
    <w:rsid w:val="0EC768F3"/>
    <w:rsid w:val="0EC84B84"/>
    <w:rsid w:val="0EDE7DA2"/>
    <w:rsid w:val="0FF606EA"/>
    <w:rsid w:val="10667A5A"/>
    <w:rsid w:val="10704279"/>
    <w:rsid w:val="11184D82"/>
    <w:rsid w:val="1129768C"/>
    <w:rsid w:val="11CC524E"/>
    <w:rsid w:val="121E10CA"/>
    <w:rsid w:val="12A93E5A"/>
    <w:rsid w:val="12B97C28"/>
    <w:rsid w:val="132A0ED4"/>
    <w:rsid w:val="13D156AF"/>
    <w:rsid w:val="140173A8"/>
    <w:rsid w:val="147D59E9"/>
    <w:rsid w:val="148D469E"/>
    <w:rsid w:val="14E17B43"/>
    <w:rsid w:val="15611FB2"/>
    <w:rsid w:val="15D637C3"/>
    <w:rsid w:val="161E1500"/>
    <w:rsid w:val="16B20381"/>
    <w:rsid w:val="16BB5CA1"/>
    <w:rsid w:val="16F06203"/>
    <w:rsid w:val="16FD48DD"/>
    <w:rsid w:val="175758CC"/>
    <w:rsid w:val="179B53B0"/>
    <w:rsid w:val="180B2047"/>
    <w:rsid w:val="182D10D5"/>
    <w:rsid w:val="18544B50"/>
    <w:rsid w:val="18D94AD5"/>
    <w:rsid w:val="1905580D"/>
    <w:rsid w:val="1A291AC4"/>
    <w:rsid w:val="1A77037E"/>
    <w:rsid w:val="1C191541"/>
    <w:rsid w:val="1C5723E3"/>
    <w:rsid w:val="1CAB7FD9"/>
    <w:rsid w:val="1F466295"/>
    <w:rsid w:val="1F7E41D0"/>
    <w:rsid w:val="1F8E4D9D"/>
    <w:rsid w:val="1FC05EC9"/>
    <w:rsid w:val="1FD80409"/>
    <w:rsid w:val="206A74D8"/>
    <w:rsid w:val="2074311D"/>
    <w:rsid w:val="20D807B8"/>
    <w:rsid w:val="218F30B7"/>
    <w:rsid w:val="21D71128"/>
    <w:rsid w:val="21F575A3"/>
    <w:rsid w:val="226A3F5E"/>
    <w:rsid w:val="229F00BA"/>
    <w:rsid w:val="247E2B2D"/>
    <w:rsid w:val="24834B5E"/>
    <w:rsid w:val="24975C4C"/>
    <w:rsid w:val="24B66F8C"/>
    <w:rsid w:val="250927D2"/>
    <w:rsid w:val="25143AE8"/>
    <w:rsid w:val="251A49F3"/>
    <w:rsid w:val="2548277C"/>
    <w:rsid w:val="256F4B74"/>
    <w:rsid w:val="258678C4"/>
    <w:rsid w:val="26027439"/>
    <w:rsid w:val="26835AB9"/>
    <w:rsid w:val="27D37FD9"/>
    <w:rsid w:val="287607AE"/>
    <w:rsid w:val="28974331"/>
    <w:rsid w:val="289A5702"/>
    <w:rsid w:val="28F8566F"/>
    <w:rsid w:val="29302264"/>
    <w:rsid w:val="29867781"/>
    <w:rsid w:val="29B470E8"/>
    <w:rsid w:val="29C46D18"/>
    <w:rsid w:val="29DD1E23"/>
    <w:rsid w:val="2A2730CC"/>
    <w:rsid w:val="2A640A8F"/>
    <w:rsid w:val="2A7458AD"/>
    <w:rsid w:val="2B512F77"/>
    <w:rsid w:val="2B8E784B"/>
    <w:rsid w:val="2BDD2D4F"/>
    <w:rsid w:val="2BE369EB"/>
    <w:rsid w:val="2C30227E"/>
    <w:rsid w:val="2CA24CAF"/>
    <w:rsid w:val="2CC634AC"/>
    <w:rsid w:val="2D8C782D"/>
    <w:rsid w:val="2DC76D6B"/>
    <w:rsid w:val="2E5C750D"/>
    <w:rsid w:val="2EA2563D"/>
    <w:rsid w:val="2FDB7E55"/>
    <w:rsid w:val="2FF21F33"/>
    <w:rsid w:val="306763C4"/>
    <w:rsid w:val="30715FA6"/>
    <w:rsid w:val="30B948D0"/>
    <w:rsid w:val="30F129AC"/>
    <w:rsid w:val="32716DEE"/>
    <w:rsid w:val="32AB7888"/>
    <w:rsid w:val="334A764F"/>
    <w:rsid w:val="33825E47"/>
    <w:rsid w:val="34F7714F"/>
    <w:rsid w:val="35196709"/>
    <w:rsid w:val="35A57569"/>
    <w:rsid w:val="35AC3C93"/>
    <w:rsid w:val="35B50655"/>
    <w:rsid w:val="36194FDE"/>
    <w:rsid w:val="363B7358"/>
    <w:rsid w:val="3673251E"/>
    <w:rsid w:val="36E2575D"/>
    <w:rsid w:val="37437575"/>
    <w:rsid w:val="37B50FB4"/>
    <w:rsid w:val="37D83779"/>
    <w:rsid w:val="38085549"/>
    <w:rsid w:val="383D738E"/>
    <w:rsid w:val="38B015CF"/>
    <w:rsid w:val="38F0142F"/>
    <w:rsid w:val="390653AE"/>
    <w:rsid w:val="390D092C"/>
    <w:rsid w:val="397E7DF1"/>
    <w:rsid w:val="3A466EA3"/>
    <w:rsid w:val="3B230C00"/>
    <w:rsid w:val="3C195E0C"/>
    <w:rsid w:val="3C274333"/>
    <w:rsid w:val="3C6B5DF7"/>
    <w:rsid w:val="3C9A3422"/>
    <w:rsid w:val="3CED52CE"/>
    <w:rsid w:val="3D304DD3"/>
    <w:rsid w:val="3DCD1478"/>
    <w:rsid w:val="3DD82093"/>
    <w:rsid w:val="3E3D4519"/>
    <w:rsid w:val="3E7F4056"/>
    <w:rsid w:val="3EE2202C"/>
    <w:rsid w:val="3EE75FAA"/>
    <w:rsid w:val="3F972B15"/>
    <w:rsid w:val="3FD42A0A"/>
    <w:rsid w:val="400B6AAF"/>
    <w:rsid w:val="40242E3F"/>
    <w:rsid w:val="408E176B"/>
    <w:rsid w:val="40DF4668"/>
    <w:rsid w:val="41175139"/>
    <w:rsid w:val="41B227F1"/>
    <w:rsid w:val="41EC7657"/>
    <w:rsid w:val="422B0322"/>
    <w:rsid w:val="42B85D1D"/>
    <w:rsid w:val="43870994"/>
    <w:rsid w:val="439C7ABB"/>
    <w:rsid w:val="43E17FAC"/>
    <w:rsid w:val="44500731"/>
    <w:rsid w:val="4452733B"/>
    <w:rsid w:val="44E56FA9"/>
    <w:rsid w:val="46D7753F"/>
    <w:rsid w:val="475A19DD"/>
    <w:rsid w:val="48187A45"/>
    <w:rsid w:val="484A74DE"/>
    <w:rsid w:val="489569FC"/>
    <w:rsid w:val="48B60F0E"/>
    <w:rsid w:val="48C572E3"/>
    <w:rsid w:val="49AB60E1"/>
    <w:rsid w:val="49CB6085"/>
    <w:rsid w:val="4AD2791E"/>
    <w:rsid w:val="4B087CF0"/>
    <w:rsid w:val="4B404106"/>
    <w:rsid w:val="4B4572C5"/>
    <w:rsid w:val="4B9443CD"/>
    <w:rsid w:val="4BDB7231"/>
    <w:rsid w:val="4BDB79AB"/>
    <w:rsid w:val="4D7E4BFB"/>
    <w:rsid w:val="4D8B3802"/>
    <w:rsid w:val="4DAA0D84"/>
    <w:rsid w:val="4E0F52C1"/>
    <w:rsid w:val="4E936BD5"/>
    <w:rsid w:val="4E956036"/>
    <w:rsid w:val="4E975B79"/>
    <w:rsid w:val="4ECD04A5"/>
    <w:rsid w:val="4FBE5F25"/>
    <w:rsid w:val="50270961"/>
    <w:rsid w:val="50964DFD"/>
    <w:rsid w:val="51075274"/>
    <w:rsid w:val="52AF0904"/>
    <w:rsid w:val="52C84D14"/>
    <w:rsid w:val="539A4F46"/>
    <w:rsid w:val="550137C9"/>
    <w:rsid w:val="551075A3"/>
    <w:rsid w:val="557E39D4"/>
    <w:rsid w:val="557F12A1"/>
    <w:rsid w:val="5637048F"/>
    <w:rsid w:val="566C1953"/>
    <w:rsid w:val="56B77F57"/>
    <w:rsid w:val="571D0E6C"/>
    <w:rsid w:val="578B7770"/>
    <w:rsid w:val="58350BD3"/>
    <w:rsid w:val="584D5FD2"/>
    <w:rsid w:val="58C35B13"/>
    <w:rsid w:val="58F91BD3"/>
    <w:rsid w:val="5924691C"/>
    <w:rsid w:val="59283983"/>
    <w:rsid w:val="592C7D46"/>
    <w:rsid w:val="59E26190"/>
    <w:rsid w:val="5A813A1F"/>
    <w:rsid w:val="5A9E4500"/>
    <w:rsid w:val="5ADD5F2B"/>
    <w:rsid w:val="5B006A38"/>
    <w:rsid w:val="5BB5154F"/>
    <w:rsid w:val="5C273598"/>
    <w:rsid w:val="5C2A4124"/>
    <w:rsid w:val="5C705601"/>
    <w:rsid w:val="5CE03DDE"/>
    <w:rsid w:val="5D1405FB"/>
    <w:rsid w:val="5D7C729A"/>
    <w:rsid w:val="5DD21C59"/>
    <w:rsid w:val="5DE15753"/>
    <w:rsid w:val="5E1660B0"/>
    <w:rsid w:val="5E1917C5"/>
    <w:rsid w:val="5E344659"/>
    <w:rsid w:val="5E4A6357"/>
    <w:rsid w:val="5ECC7A6C"/>
    <w:rsid w:val="5F7D5B90"/>
    <w:rsid w:val="5FAF5CA7"/>
    <w:rsid w:val="60271D9D"/>
    <w:rsid w:val="604560B7"/>
    <w:rsid w:val="60E6547C"/>
    <w:rsid w:val="616D4D59"/>
    <w:rsid w:val="616E09D0"/>
    <w:rsid w:val="61A41D5B"/>
    <w:rsid w:val="621A7C7B"/>
    <w:rsid w:val="628E03A1"/>
    <w:rsid w:val="637A01AE"/>
    <w:rsid w:val="63C43086"/>
    <w:rsid w:val="65087BA5"/>
    <w:rsid w:val="65F12890"/>
    <w:rsid w:val="65F16F1A"/>
    <w:rsid w:val="66364011"/>
    <w:rsid w:val="66AA6D9D"/>
    <w:rsid w:val="66BE6F99"/>
    <w:rsid w:val="66FD4ED7"/>
    <w:rsid w:val="6740449D"/>
    <w:rsid w:val="67576687"/>
    <w:rsid w:val="676D19E2"/>
    <w:rsid w:val="67BB57F5"/>
    <w:rsid w:val="68316391"/>
    <w:rsid w:val="68D059B9"/>
    <w:rsid w:val="69316374"/>
    <w:rsid w:val="696A5047"/>
    <w:rsid w:val="6A367D68"/>
    <w:rsid w:val="6AA03E0D"/>
    <w:rsid w:val="6AE76D27"/>
    <w:rsid w:val="6AFE6371"/>
    <w:rsid w:val="6B8118D2"/>
    <w:rsid w:val="6BDC2582"/>
    <w:rsid w:val="6C3631A6"/>
    <w:rsid w:val="6C7F18CC"/>
    <w:rsid w:val="6D5B7573"/>
    <w:rsid w:val="6D6033B0"/>
    <w:rsid w:val="6D6B1A57"/>
    <w:rsid w:val="6E703506"/>
    <w:rsid w:val="6F0C414D"/>
    <w:rsid w:val="6F1834A7"/>
    <w:rsid w:val="6FC92316"/>
    <w:rsid w:val="700865CC"/>
    <w:rsid w:val="704C626B"/>
    <w:rsid w:val="70DB4155"/>
    <w:rsid w:val="7117693E"/>
    <w:rsid w:val="715933DA"/>
    <w:rsid w:val="7163707D"/>
    <w:rsid w:val="73C56913"/>
    <w:rsid w:val="73E723A6"/>
    <w:rsid w:val="74144F55"/>
    <w:rsid w:val="753634D8"/>
    <w:rsid w:val="75700D68"/>
    <w:rsid w:val="75A24603"/>
    <w:rsid w:val="774E1209"/>
    <w:rsid w:val="7770595F"/>
    <w:rsid w:val="77AA2581"/>
    <w:rsid w:val="78E3016D"/>
    <w:rsid w:val="79257BDD"/>
    <w:rsid w:val="7A23304F"/>
    <w:rsid w:val="7A761E45"/>
    <w:rsid w:val="7B277E8B"/>
    <w:rsid w:val="7BEE654F"/>
    <w:rsid w:val="7C0A31DD"/>
    <w:rsid w:val="7D333C37"/>
    <w:rsid w:val="7D7226FE"/>
    <w:rsid w:val="7DB64951"/>
    <w:rsid w:val="7DCA135F"/>
    <w:rsid w:val="7DEF4383"/>
    <w:rsid w:val="7E433BCA"/>
    <w:rsid w:val="7F151BF0"/>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qFormat="1" w:unhideWhenUsed="0" w:uiPriority="99" w:semiHidden="0" w:name="index 5"/>
    <w:lsdException w:qFormat="1" w:unhideWhenUsed="0" w:uiPriority="99" w:semiHidden="0" w:name="index 6"/>
    <w:lsdException w:qFormat="1" w:unhideWhenUsed="0" w:uiPriority="99" w:semiHidden="0" w:name="index 7"/>
    <w:lsdException w:qFormat="1" w:unhideWhenUsed="0" w:uiPriority="99" w:semiHidden="0" w:name="index 8"/>
    <w:lsdException w:qFormat="1" w:unhideWhenUsed="0" w:uiPriority="99"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99"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99" w:semiHidden="0" w:name="index heading"/>
    <w:lsdException w:qFormat="1" w:uiPriority="0" w:name="caption"/>
    <w:lsdException w:qFormat="1" w:unhideWhenUsed="0" w:uiPriority="99" w:semiHidden="0" w:name="table of figures"/>
    <w:lsdException w:uiPriority="0" w:name="envelope address"/>
    <w:lsdException w:qFormat="1" w:unhideWhenUsed="0" w:uiPriority="99" w:semiHidden="0" w:name="envelope return"/>
    <w:lsdException w:qFormat="1" w:unhideWhenUsed="0" w:uiPriority="99" w:semiHidden="0" w:name="footnote reference"/>
    <w:lsdException w:qFormat="1" w:unhideWhenUsed="0" w:uiPriority="0" w:semiHidden="0" w:name="annotation reference"/>
    <w:lsdException w:uiPriority="0"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qFormat="1" w:unhideWhenUsed="0" w:uiPriority="99" w:semiHidden="0" w:name="table of authorities"/>
    <w:lsdException w:uiPriority="0" w:name="macro"/>
    <w:lsdException w:qFormat="1" w:unhideWhenUsed="0" w:uiPriority="0" w:semiHidden="0" w:name="toa heading"/>
    <w:lsdException w:qFormat="1" w:unhideWhenUsed="0" w:uiPriority="99" w:semiHidden="0" w:name="List"/>
    <w:lsdException w:qFormat="1" w:unhideWhenUsed="0" w:uiPriority="99" w:semiHidden="0" w:name="List Bullet"/>
    <w:lsdException w:qFormat="1" w:unhideWhenUsed="0" w:uiPriority="0" w:semiHidden="0" w:name="List Number"/>
    <w:lsdException w:qFormat="1" w:unhideWhenUsed="0" w:uiPriority="99" w:semiHidden="0" w:name="List 2"/>
    <w:lsdException w:qFormat="1" w:unhideWhenUsed="0" w:uiPriority="99" w:semiHidden="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qFormat="1" w:unhideWhenUsed="0" w:uiPriority="99"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qFormat="1" w:unhideWhenUsed="0" w:uiPriority="99" w:semiHidden="0"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0" w:name="Note Heading"/>
    <w:lsdException w:qFormat="1" w:unhideWhenUsed="0" w:uiPriority="0" w:semiHidden="0" w:name="Body Text 2"/>
    <w:lsdException w:qFormat="1" w:unhideWhenUsed="0" w:uiPriority="99"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qFormat="1" w:unhideWhenUsed="0" w:uiPriority="0" w:semiHidden="0" w:name="HTML Preformatted"/>
    <w:lsdException w:qFormat="1" w:unhideWhenUsed="0" w:uiPriority="99" w:semiHidden="0" w:name="HTML Sample"/>
    <w:lsdException w:uiPriority="0" w:name="HTML Typewriter"/>
    <w:lsdException w:qFormat="1" w:unhideWhenUsed="0" w:uiPriority="99"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qFormat="1"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90"/>
    <w:qFormat/>
    <w:uiPriority w:val="0"/>
    <w:pPr>
      <w:widowControl/>
      <w:spacing w:beforeLines="100" w:afterLines="100" w:line="500" w:lineRule="exact"/>
      <w:jc w:val="center"/>
      <w:outlineLvl w:val="0"/>
    </w:pPr>
    <w:rPr>
      <w:b/>
      <w:color w:val="000000"/>
      <w:kern w:val="0"/>
      <w:sz w:val="52"/>
    </w:rPr>
  </w:style>
  <w:style w:type="paragraph" w:styleId="4">
    <w:name w:val="heading 2"/>
    <w:basedOn w:val="1"/>
    <w:next w:val="1"/>
    <w:qFormat/>
    <w:uiPriority w:val="9"/>
    <w:pPr>
      <w:keepNext/>
      <w:keepLines/>
      <w:spacing w:line="360" w:lineRule="auto"/>
      <w:jc w:val="center"/>
      <w:outlineLvl w:val="1"/>
    </w:pPr>
    <w:rPr>
      <w:b/>
      <w:kern w:val="0"/>
      <w:sz w:val="32"/>
    </w:rPr>
  </w:style>
  <w:style w:type="paragraph" w:styleId="5">
    <w:name w:val="heading 3"/>
    <w:basedOn w:val="1"/>
    <w:next w:val="1"/>
    <w:qFormat/>
    <w:uiPriority w:val="9"/>
    <w:pPr>
      <w:keepNext/>
      <w:keepLines/>
      <w:spacing w:line="360" w:lineRule="auto"/>
      <w:ind w:firstLine="200" w:firstLineChars="200"/>
      <w:jc w:val="left"/>
      <w:outlineLvl w:val="2"/>
    </w:pPr>
    <w:rPr>
      <w:b/>
      <w:bCs/>
      <w:kern w:val="0"/>
      <w:sz w:val="24"/>
      <w:szCs w:val="32"/>
    </w:rPr>
  </w:style>
  <w:style w:type="paragraph" w:styleId="6">
    <w:name w:val="heading 4"/>
    <w:basedOn w:val="1"/>
    <w:next w:val="1"/>
    <w:link w:val="430"/>
    <w:qFormat/>
    <w:uiPriority w:val="9"/>
    <w:pPr>
      <w:keepNext/>
      <w:keepLines/>
      <w:spacing w:before="280" w:after="290" w:line="372" w:lineRule="auto"/>
      <w:outlineLvl w:val="3"/>
    </w:pPr>
    <w:rPr>
      <w:rFonts w:ascii="Arial" w:hAnsi="Arial" w:eastAsia="黑体"/>
      <w:b/>
      <w:bCs/>
      <w:sz w:val="28"/>
      <w:szCs w:val="28"/>
    </w:rPr>
  </w:style>
  <w:style w:type="paragraph" w:styleId="7">
    <w:name w:val="heading 5"/>
    <w:basedOn w:val="1"/>
    <w:next w:val="1"/>
    <w:link w:val="431"/>
    <w:qFormat/>
    <w:uiPriority w:val="0"/>
    <w:pPr>
      <w:widowControl/>
      <w:tabs>
        <w:tab w:val="left" w:pos="1008"/>
      </w:tabs>
      <w:adjustRightInd w:val="0"/>
      <w:snapToGrid w:val="0"/>
      <w:spacing w:line="400" w:lineRule="exact"/>
      <w:ind w:left="1008" w:firstLine="200" w:firstLineChars="200"/>
      <w:outlineLvl w:val="4"/>
    </w:pPr>
    <w:rPr>
      <w:rFonts w:ascii="Arial" w:hAnsi="Arial"/>
      <w:bCs/>
      <w:szCs w:val="28"/>
    </w:rPr>
  </w:style>
  <w:style w:type="paragraph" w:styleId="8">
    <w:name w:val="heading 6"/>
    <w:basedOn w:val="1"/>
    <w:next w:val="1"/>
    <w:link w:val="432"/>
    <w:qFormat/>
    <w:uiPriority w:val="0"/>
    <w:pPr>
      <w:widowControl/>
      <w:adjustRightInd w:val="0"/>
      <w:snapToGrid w:val="0"/>
      <w:spacing w:line="400" w:lineRule="exact"/>
      <w:ind w:left="-200" w:firstLine="200" w:firstLineChars="200"/>
      <w:outlineLvl w:val="5"/>
    </w:pPr>
    <w:rPr>
      <w:rFonts w:ascii="Arial" w:hAnsi="Arial"/>
      <w:bCs/>
    </w:rPr>
  </w:style>
  <w:style w:type="paragraph" w:styleId="9">
    <w:name w:val="heading 7"/>
    <w:basedOn w:val="1"/>
    <w:next w:val="1"/>
    <w:link w:val="433"/>
    <w:qFormat/>
    <w:uiPriority w:val="0"/>
    <w:pPr>
      <w:keepNext/>
      <w:keepLines/>
      <w:widowControl/>
      <w:tabs>
        <w:tab w:val="left" w:pos="1296"/>
      </w:tabs>
      <w:spacing w:before="240" w:after="64" w:line="317" w:lineRule="auto"/>
      <w:ind w:left="1296" w:firstLine="200" w:firstLineChars="200"/>
      <w:outlineLvl w:val="6"/>
    </w:pPr>
    <w:rPr>
      <w:rFonts w:ascii="Arial" w:hAnsi="Arial"/>
      <w:b/>
      <w:bCs/>
      <w:sz w:val="24"/>
    </w:rPr>
  </w:style>
  <w:style w:type="paragraph" w:styleId="10">
    <w:name w:val="heading 8"/>
    <w:basedOn w:val="1"/>
    <w:next w:val="1"/>
    <w:link w:val="434"/>
    <w:qFormat/>
    <w:uiPriority w:val="0"/>
    <w:pPr>
      <w:keepNext/>
      <w:keepLines/>
      <w:widowControl/>
      <w:tabs>
        <w:tab w:val="left" w:pos="1440"/>
      </w:tabs>
      <w:spacing w:before="240" w:after="64" w:line="317" w:lineRule="auto"/>
      <w:ind w:left="1440" w:firstLine="200" w:firstLineChars="200"/>
      <w:outlineLvl w:val="7"/>
    </w:pPr>
    <w:rPr>
      <w:rFonts w:ascii="Arial" w:hAnsi="Arial" w:eastAsia="黑体"/>
      <w:sz w:val="24"/>
    </w:rPr>
  </w:style>
  <w:style w:type="paragraph" w:styleId="11">
    <w:name w:val="heading 9"/>
    <w:basedOn w:val="1"/>
    <w:next w:val="1"/>
    <w:link w:val="435"/>
    <w:qFormat/>
    <w:uiPriority w:val="0"/>
    <w:pPr>
      <w:keepNext/>
      <w:keepLines/>
      <w:widowControl/>
      <w:tabs>
        <w:tab w:val="left" w:pos="1584"/>
      </w:tabs>
      <w:spacing w:before="240" w:after="64" w:line="317" w:lineRule="auto"/>
      <w:ind w:left="1584" w:firstLine="200" w:firstLineChars="200"/>
      <w:outlineLvl w:val="8"/>
    </w:pPr>
    <w:rPr>
      <w:rFonts w:ascii="Arial" w:hAnsi="Arial" w:eastAsia="黑体"/>
      <w:szCs w:val="21"/>
    </w:rPr>
  </w:style>
  <w:style w:type="character" w:default="1" w:styleId="68">
    <w:name w:val="Default Paragraph Font"/>
    <w:semiHidden/>
    <w:unhideWhenUsed/>
    <w:uiPriority w:val="1"/>
  </w:style>
  <w:style w:type="table" w:default="1" w:styleId="65">
    <w:name w:val="Normal Table"/>
    <w:semiHidden/>
    <w:unhideWhenUsed/>
    <w:uiPriority w:val="99"/>
    <w:tblPr>
      <w:tblCellMar>
        <w:top w:w="0" w:type="dxa"/>
        <w:left w:w="108" w:type="dxa"/>
        <w:bottom w:w="0" w:type="dxa"/>
        <w:right w:w="108" w:type="dxa"/>
      </w:tblCellMar>
    </w:tblPr>
  </w:style>
  <w:style w:type="paragraph" w:styleId="2">
    <w:name w:val="Body Text"/>
    <w:basedOn w:val="1"/>
    <w:next w:val="1"/>
    <w:link w:val="127"/>
    <w:qFormat/>
    <w:uiPriority w:val="0"/>
    <w:pPr>
      <w:snapToGrid w:val="0"/>
      <w:spacing w:line="360" w:lineRule="auto"/>
    </w:pPr>
    <w:rPr>
      <w:sz w:val="24"/>
      <w:szCs w:val="20"/>
    </w:rPr>
  </w:style>
  <w:style w:type="paragraph" w:styleId="12">
    <w:name w:val="List 3"/>
    <w:basedOn w:val="1"/>
    <w:qFormat/>
    <w:uiPriority w:val="99"/>
    <w:pPr>
      <w:ind w:left="100" w:leftChars="400" w:hanging="200" w:hangingChars="200"/>
    </w:pPr>
  </w:style>
  <w:style w:type="paragraph" w:styleId="13">
    <w:name w:val="toc 7"/>
    <w:basedOn w:val="1"/>
    <w:next w:val="1"/>
    <w:qFormat/>
    <w:uiPriority w:val="39"/>
    <w:pPr>
      <w:ind w:left="1050"/>
      <w:jc w:val="left"/>
    </w:pPr>
  </w:style>
  <w:style w:type="paragraph" w:styleId="14">
    <w:name w:val="List Number 2"/>
    <w:basedOn w:val="1"/>
    <w:qFormat/>
    <w:uiPriority w:val="99"/>
    <w:pPr>
      <w:tabs>
        <w:tab w:val="left" w:pos="780"/>
      </w:tabs>
      <w:autoSpaceDE w:val="0"/>
      <w:autoSpaceDN w:val="0"/>
      <w:adjustRightInd w:val="0"/>
      <w:spacing w:line="360" w:lineRule="auto"/>
      <w:ind w:left="780" w:hanging="360"/>
      <w:textAlignment w:val="baseline"/>
    </w:pPr>
    <w:rPr>
      <w:sz w:val="28"/>
      <w:szCs w:val="20"/>
    </w:rPr>
  </w:style>
  <w:style w:type="paragraph" w:styleId="15">
    <w:name w:val="table of authorities"/>
    <w:basedOn w:val="1"/>
    <w:next w:val="1"/>
    <w:qFormat/>
    <w:uiPriority w:val="99"/>
    <w:pPr>
      <w:spacing w:line="500" w:lineRule="exact"/>
      <w:ind w:left="420" w:leftChars="200"/>
    </w:pPr>
    <w:rPr>
      <w:kern w:val="0"/>
    </w:rPr>
  </w:style>
  <w:style w:type="paragraph" w:styleId="16">
    <w:name w:val="index 8"/>
    <w:basedOn w:val="1"/>
    <w:next w:val="1"/>
    <w:qFormat/>
    <w:uiPriority w:val="99"/>
    <w:pPr>
      <w:ind w:left="1400" w:leftChars="1400"/>
    </w:pPr>
    <w:rPr>
      <w:szCs w:val="21"/>
    </w:rPr>
  </w:style>
  <w:style w:type="paragraph" w:styleId="17">
    <w:name w:val="List Number"/>
    <w:basedOn w:val="1"/>
    <w:qFormat/>
    <w:uiPriority w:val="0"/>
    <w:pPr>
      <w:widowControl/>
      <w:tabs>
        <w:tab w:val="left" w:pos="720"/>
      </w:tabs>
      <w:spacing w:afterLines="50"/>
      <w:ind w:left="720" w:hanging="720"/>
      <w:jc w:val="left"/>
    </w:pPr>
    <w:rPr>
      <w:kern w:val="0"/>
      <w:sz w:val="24"/>
      <w:szCs w:val="20"/>
    </w:rPr>
  </w:style>
  <w:style w:type="paragraph" w:styleId="18">
    <w:name w:val="Normal Indent"/>
    <w:basedOn w:val="1"/>
    <w:link w:val="135"/>
    <w:qFormat/>
    <w:uiPriority w:val="0"/>
    <w:pPr>
      <w:ind w:firstLine="420"/>
    </w:pPr>
  </w:style>
  <w:style w:type="paragraph" w:styleId="19">
    <w:name w:val="index 5"/>
    <w:basedOn w:val="1"/>
    <w:next w:val="1"/>
    <w:qFormat/>
    <w:uiPriority w:val="99"/>
    <w:pPr>
      <w:ind w:left="800" w:leftChars="800"/>
    </w:pPr>
    <w:rPr>
      <w:szCs w:val="21"/>
    </w:rPr>
  </w:style>
  <w:style w:type="paragraph" w:styleId="20">
    <w:name w:val="List Bullet"/>
    <w:basedOn w:val="1"/>
    <w:qFormat/>
    <w:uiPriority w:val="99"/>
    <w:pPr>
      <w:tabs>
        <w:tab w:val="left" w:pos="360"/>
      </w:tabs>
      <w:ind w:left="360" w:hanging="360"/>
    </w:pPr>
    <w:rPr>
      <w:rFonts w:ascii="Helvetica" w:hAnsi="Helvetica" w:eastAsia="Times New Roman"/>
      <w:sz w:val="20"/>
    </w:rPr>
  </w:style>
  <w:style w:type="paragraph" w:styleId="21">
    <w:name w:val="Document Map"/>
    <w:basedOn w:val="1"/>
    <w:link w:val="436"/>
    <w:qFormat/>
    <w:uiPriority w:val="0"/>
    <w:pPr>
      <w:shd w:val="clear" w:color="auto" w:fill="000080"/>
    </w:pPr>
  </w:style>
  <w:style w:type="paragraph" w:styleId="22">
    <w:name w:val="toa heading"/>
    <w:basedOn w:val="1"/>
    <w:next w:val="1"/>
    <w:qFormat/>
    <w:uiPriority w:val="0"/>
    <w:pPr>
      <w:autoSpaceDE w:val="0"/>
      <w:autoSpaceDN w:val="0"/>
      <w:adjustRightInd w:val="0"/>
      <w:spacing w:before="120" w:line="500" w:lineRule="exact"/>
      <w:ind w:right="113" w:firstLine="2"/>
    </w:pPr>
    <w:rPr>
      <w:rFonts w:ascii="Arial" w:hAnsi="Arial"/>
      <w:sz w:val="24"/>
      <w:szCs w:val="20"/>
    </w:rPr>
  </w:style>
  <w:style w:type="paragraph" w:styleId="23">
    <w:name w:val="annotation text"/>
    <w:basedOn w:val="1"/>
    <w:link w:val="115"/>
    <w:qFormat/>
    <w:uiPriority w:val="99"/>
    <w:pPr>
      <w:jc w:val="left"/>
    </w:pPr>
  </w:style>
  <w:style w:type="paragraph" w:styleId="24">
    <w:name w:val="index 6"/>
    <w:basedOn w:val="1"/>
    <w:next w:val="1"/>
    <w:qFormat/>
    <w:uiPriority w:val="99"/>
    <w:pPr>
      <w:ind w:left="1000" w:leftChars="1000"/>
    </w:pPr>
    <w:rPr>
      <w:szCs w:val="21"/>
    </w:rPr>
  </w:style>
  <w:style w:type="paragraph" w:styleId="25">
    <w:name w:val="Salutation"/>
    <w:basedOn w:val="1"/>
    <w:next w:val="1"/>
    <w:link w:val="437"/>
    <w:qFormat/>
    <w:uiPriority w:val="99"/>
    <w:pPr>
      <w:tabs>
        <w:tab w:val="left" w:pos="2340"/>
      </w:tabs>
      <w:ind w:left="2640" w:hanging="420"/>
    </w:pPr>
  </w:style>
  <w:style w:type="paragraph" w:styleId="26">
    <w:name w:val="Body Text 3"/>
    <w:basedOn w:val="1"/>
    <w:link w:val="438"/>
    <w:qFormat/>
    <w:uiPriority w:val="99"/>
    <w:pPr>
      <w:spacing w:after="120"/>
    </w:pPr>
    <w:rPr>
      <w:sz w:val="16"/>
      <w:szCs w:val="16"/>
    </w:rPr>
  </w:style>
  <w:style w:type="paragraph" w:styleId="27">
    <w:name w:val="Body Text Indent"/>
    <w:basedOn w:val="1"/>
    <w:link w:val="439"/>
    <w:qFormat/>
    <w:uiPriority w:val="0"/>
    <w:pPr>
      <w:spacing w:line="500" w:lineRule="exact"/>
      <w:ind w:left="360"/>
    </w:pPr>
    <w:rPr>
      <w:kern w:val="0"/>
    </w:rPr>
  </w:style>
  <w:style w:type="paragraph" w:styleId="28">
    <w:name w:val="List 2"/>
    <w:basedOn w:val="1"/>
    <w:qFormat/>
    <w:uiPriority w:val="99"/>
    <w:pPr>
      <w:adjustRightInd w:val="0"/>
      <w:snapToGrid w:val="0"/>
      <w:spacing w:beforeLines="50" w:afterLines="50" w:line="420" w:lineRule="auto"/>
      <w:ind w:left="100" w:hanging="200"/>
      <w:outlineLvl w:val="1"/>
    </w:pPr>
    <w:rPr>
      <w:rFonts w:ascii="宋体" w:hAnsi="宋体"/>
      <w:snapToGrid w:val="0"/>
      <w:color w:val="000000"/>
      <w:spacing w:val="6"/>
      <w:sz w:val="28"/>
      <w:szCs w:val="20"/>
    </w:rPr>
  </w:style>
  <w:style w:type="paragraph" w:styleId="29">
    <w:name w:val="Block Text"/>
    <w:basedOn w:val="1"/>
    <w:qFormat/>
    <w:uiPriority w:val="99"/>
    <w:pPr>
      <w:widowControl/>
      <w:autoSpaceDE w:val="0"/>
      <w:autoSpaceDN w:val="0"/>
      <w:adjustRightInd w:val="0"/>
      <w:snapToGrid w:val="0"/>
      <w:spacing w:after="120" w:line="400" w:lineRule="atLeast"/>
      <w:ind w:right="720" w:firstLine="567"/>
    </w:pPr>
    <w:rPr>
      <w:rFonts w:ascii="宋体"/>
      <w:sz w:val="24"/>
      <w:szCs w:val="20"/>
    </w:rPr>
  </w:style>
  <w:style w:type="paragraph" w:styleId="30">
    <w:name w:val="index 4"/>
    <w:basedOn w:val="1"/>
    <w:next w:val="1"/>
    <w:qFormat/>
    <w:uiPriority w:val="99"/>
    <w:pPr>
      <w:ind w:left="600" w:leftChars="600"/>
    </w:pPr>
    <w:rPr>
      <w:szCs w:val="21"/>
    </w:rPr>
  </w:style>
  <w:style w:type="paragraph" w:styleId="31">
    <w:name w:val="toc 5"/>
    <w:basedOn w:val="1"/>
    <w:next w:val="1"/>
    <w:qFormat/>
    <w:uiPriority w:val="39"/>
    <w:pPr>
      <w:ind w:left="630"/>
      <w:jc w:val="left"/>
    </w:pPr>
  </w:style>
  <w:style w:type="paragraph" w:styleId="32">
    <w:name w:val="toc 3"/>
    <w:basedOn w:val="1"/>
    <w:next w:val="1"/>
    <w:qFormat/>
    <w:uiPriority w:val="39"/>
    <w:pPr>
      <w:ind w:left="210"/>
      <w:jc w:val="left"/>
    </w:pPr>
  </w:style>
  <w:style w:type="paragraph" w:styleId="33">
    <w:name w:val="Plain Text"/>
    <w:basedOn w:val="1"/>
    <w:link w:val="107"/>
    <w:qFormat/>
    <w:uiPriority w:val="0"/>
    <w:pPr>
      <w:spacing w:line="500" w:lineRule="exact"/>
    </w:pPr>
    <w:rPr>
      <w:rFonts w:ascii="宋体" w:hAnsi="Courier New"/>
      <w:kern w:val="0"/>
      <w:szCs w:val="20"/>
    </w:rPr>
  </w:style>
  <w:style w:type="paragraph" w:styleId="34">
    <w:name w:val="toc 8"/>
    <w:basedOn w:val="1"/>
    <w:next w:val="1"/>
    <w:qFormat/>
    <w:uiPriority w:val="39"/>
    <w:pPr>
      <w:ind w:left="1260"/>
      <w:jc w:val="left"/>
    </w:pPr>
  </w:style>
  <w:style w:type="paragraph" w:styleId="35">
    <w:name w:val="index 3"/>
    <w:basedOn w:val="1"/>
    <w:next w:val="1"/>
    <w:qFormat/>
    <w:uiPriority w:val="99"/>
    <w:pPr>
      <w:ind w:left="400" w:leftChars="400"/>
    </w:pPr>
    <w:rPr>
      <w:szCs w:val="21"/>
    </w:rPr>
  </w:style>
  <w:style w:type="paragraph" w:styleId="36">
    <w:name w:val="Date"/>
    <w:basedOn w:val="1"/>
    <w:next w:val="1"/>
    <w:link w:val="130"/>
    <w:qFormat/>
    <w:uiPriority w:val="99"/>
    <w:pPr>
      <w:spacing w:line="500" w:lineRule="exact"/>
      <w:ind w:left="100" w:leftChars="2500"/>
    </w:pPr>
    <w:rPr>
      <w:rFonts w:ascii="宋体"/>
      <w:kern w:val="0"/>
    </w:rPr>
  </w:style>
  <w:style w:type="paragraph" w:styleId="37">
    <w:name w:val="Body Text Indent 2"/>
    <w:basedOn w:val="1"/>
    <w:link w:val="440"/>
    <w:qFormat/>
    <w:uiPriority w:val="0"/>
    <w:pPr>
      <w:spacing w:line="360" w:lineRule="auto"/>
      <w:ind w:left="1" w:firstLine="538" w:firstLineChars="224"/>
    </w:pPr>
    <w:rPr>
      <w:sz w:val="24"/>
    </w:rPr>
  </w:style>
  <w:style w:type="paragraph" w:styleId="38">
    <w:name w:val="endnote text"/>
    <w:basedOn w:val="1"/>
    <w:link w:val="441"/>
    <w:qFormat/>
    <w:uiPriority w:val="99"/>
    <w:pPr>
      <w:widowControl/>
      <w:snapToGrid w:val="0"/>
      <w:jc w:val="left"/>
    </w:pPr>
    <w:rPr>
      <w:kern w:val="0"/>
      <w:szCs w:val="20"/>
    </w:rPr>
  </w:style>
  <w:style w:type="paragraph" w:styleId="39">
    <w:name w:val="Balloon Text"/>
    <w:basedOn w:val="1"/>
    <w:link w:val="131"/>
    <w:qFormat/>
    <w:uiPriority w:val="0"/>
    <w:rPr>
      <w:sz w:val="18"/>
      <w:szCs w:val="18"/>
    </w:rPr>
  </w:style>
  <w:style w:type="paragraph" w:styleId="40">
    <w:name w:val="footer"/>
    <w:basedOn w:val="1"/>
    <w:link w:val="140"/>
    <w:qFormat/>
    <w:uiPriority w:val="0"/>
    <w:pPr>
      <w:tabs>
        <w:tab w:val="center" w:pos="4153"/>
        <w:tab w:val="right" w:pos="8306"/>
      </w:tabs>
      <w:snapToGrid w:val="0"/>
      <w:spacing w:line="500" w:lineRule="exact"/>
      <w:jc w:val="left"/>
    </w:pPr>
    <w:rPr>
      <w:kern w:val="0"/>
      <w:sz w:val="18"/>
      <w:szCs w:val="18"/>
    </w:rPr>
  </w:style>
  <w:style w:type="paragraph" w:styleId="41">
    <w:name w:val="envelope return"/>
    <w:basedOn w:val="1"/>
    <w:qFormat/>
    <w:uiPriority w:val="99"/>
    <w:pPr>
      <w:widowControl/>
      <w:jc w:val="left"/>
    </w:pPr>
    <w:rPr>
      <w:b/>
      <w:kern w:val="0"/>
      <w:sz w:val="24"/>
      <w:szCs w:val="20"/>
      <w:lang w:val="fr-FR" w:eastAsia="fr-FR"/>
    </w:rPr>
  </w:style>
  <w:style w:type="paragraph" w:styleId="42">
    <w:name w:val="header"/>
    <w:basedOn w:val="1"/>
    <w:link w:val="138"/>
    <w:qFormat/>
    <w:uiPriority w:val="0"/>
    <w:pPr>
      <w:pBdr>
        <w:bottom w:val="single" w:color="auto" w:sz="6" w:space="1"/>
      </w:pBdr>
      <w:tabs>
        <w:tab w:val="center" w:pos="4153"/>
        <w:tab w:val="right" w:pos="8306"/>
      </w:tabs>
      <w:snapToGrid w:val="0"/>
      <w:spacing w:line="500" w:lineRule="exact"/>
      <w:jc w:val="center"/>
    </w:pPr>
    <w:rPr>
      <w:kern w:val="0"/>
      <w:sz w:val="18"/>
      <w:szCs w:val="18"/>
    </w:rPr>
  </w:style>
  <w:style w:type="paragraph" w:styleId="43">
    <w:name w:val="toc 1"/>
    <w:basedOn w:val="1"/>
    <w:next w:val="1"/>
    <w:qFormat/>
    <w:uiPriority w:val="39"/>
    <w:pPr>
      <w:tabs>
        <w:tab w:val="left" w:pos="420"/>
        <w:tab w:val="right" w:leader="dot" w:pos="9061"/>
      </w:tabs>
      <w:spacing w:line="360" w:lineRule="auto"/>
      <w:jc w:val="left"/>
    </w:pPr>
    <w:rPr>
      <w:b/>
      <w:bCs/>
      <w:caps/>
      <w:sz w:val="24"/>
    </w:rPr>
  </w:style>
  <w:style w:type="paragraph" w:styleId="44">
    <w:name w:val="toc 4"/>
    <w:basedOn w:val="1"/>
    <w:next w:val="1"/>
    <w:qFormat/>
    <w:uiPriority w:val="39"/>
    <w:pPr>
      <w:ind w:left="420"/>
      <w:jc w:val="left"/>
    </w:pPr>
  </w:style>
  <w:style w:type="paragraph" w:styleId="45">
    <w:name w:val="index heading"/>
    <w:basedOn w:val="1"/>
    <w:next w:val="46"/>
    <w:qFormat/>
    <w:uiPriority w:val="99"/>
  </w:style>
  <w:style w:type="paragraph" w:styleId="46">
    <w:name w:val="index 1"/>
    <w:basedOn w:val="1"/>
    <w:next w:val="1"/>
    <w:qFormat/>
    <w:uiPriority w:val="99"/>
  </w:style>
  <w:style w:type="paragraph" w:styleId="47">
    <w:name w:val="Subtitle"/>
    <w:basedOn w:val="1"/>
    <w:next w:val="1"/>
    <w:link w:val="129"/>
    <w:qFormat/>
    <w:uiPriority w:val="11"/>
    <w:pPr>
      <w:spacing w:before="240" w:after="60" w:line="312" w:lineRule="auto"/>
      <w:jc w:val="center"/>
      <w:outlineLvl w:val="1"/>
    </w:pPr>
    <w:rPr>
      <w:rFonts w:ascii="Cambria" w:hAnsi="Cambria"/>
      <w:b/>
      <w:bCs/>
      <w:kern w:val="28"/>
      <w:sz w:val="32"/>
      <w:szCs w:val="32"/>
    </w:rPr>
  </w:style>
  <w:style w:type="paragraph" w:styleId="48">
    <w:name w:val="List"/>
    <w:basedOn w:val="2"/>
    <w:qFormat/>
    <w:uiPriority w:val="99"/>
    <w:pPr>
      <w:suppressAutoHyphens/>
      <w:snapToGrid/>
      <w:spacing w:after="120" w:line="240" w:lineRule="auto"/>
    </w:pPr>
    <w:rPr>
      <w:rFonts w:cs="Tahoma"/>
      <w:kern w:val="1"/>
      <w:sz w:val="21"/>
      <w:szCs w:val="24"/>
      <w:lang w:eastAsia="ar-SA"/>
    </w:rPr>
  </w:style>
  <w:style w:type="paragraph" w:styleId="49">
    <w:name w:val="footnote text"/>
    <w:basedOn w:val="1"/>
    <w:link w:val="443"/>
    <w:qFormat/>
    <w:uiPriority w:val="99"/>
    <w:pPr>
      <w:adjustRightInd w:val="0"/>
      <w:spacing w:line="312" w:lineRule="atLeast"/>
      <w:jc w:val="left"/>
      <w:textAlignment w:val="baseline"/>
    </w:pPr>
    <w:rPr>
      <w:sz w:val="18"/>
    </w:rPr>
  </w:style>
  <w:style w:type="paragraph" w:styleId="50">
    <w:name w:val="toc 6"/>
    <w:basedOn w:val="1"/>
    <w:next w:val="1"/>
    <w:qFormat/>
    <w:uiPriority w:val="39"/>
    <w:pPr>
      <w:ind w:left="840"/>
      <w:jc w:val="left"/>
    </w:pPr>
  </w:style>
  <w:style w:type="paragraph" w:styleId="51">
    <w:name w:val="Body Text Indent 3"/>
    <w:basedOn w:val="1"/>
    <w:link w:val="444"/>
    <w:qFormat/>
    <w:uiPriority w:val="0"/>
    <w:pPr>
      <w:tabs>
        <w:tab w:val="left" w:pos="540"/>
      </w:tabs>
      <w:spacing w:line="460" w:lineRule="exact"/>
      <w:ind w:firstLine="480" w:firstLineChars="200"/>
    </w:pPr>
    <w:rPr>
      <w:color w:val="000000"/>
      <w:sz w:val="24"/>
    </w:rPr>
  </w:style>
  <w:style w:type="paragraph" w:styleId="52">
    <w:name w:val="index 7"/>
    <w:basedOn w:val="1"/>
    <w:next w:val="1"/>
    <w:qFormat/>
    <w:uiPriority w:val="99"/>
    <w:pPr>
      <w:ind w:left="1200" w:leftChars="1200"/>
    </w:pPr>
    <w:rPr>
      <w:szCs w:val="21"/>
    </w:rPr>
  </w:style>
  <w:style w:type="paragraph" w:styleId="53">
    <w:name w:val="index 9"/>
    <w:basedOn w:val="1"/>
    <w:next w:val="1"/>
    <w:qFormat/>
    <w:uiPriority w:val="99"/>
    <w:pPr>
      <w:ind w:left="1600" w:leftChars="1600"/>
    </w:pPr>
    <w:rPr>
      <w:szCs w:val="21"/>
    </w:rPr>
  </w:style>
  <w:style w:type="paragraph" w:styleId="54">
    <w:name w:val="table of figures"/>
    <w:basedOn w:val="1"/>
    <w:next w:val="1"/>
    <w:qFormat/>
    <w:uiPriority w:val="99"/>
    <w:pPr>
      <w:ind w:left="840" w:leftChars="200" w:hanging="420" w:hangingChars="200"/>
    </w:pPr>
  </w:style>
  <w:style w:type="paragraph" w:styleId="55">
    <w:name w:val="toc 2"/>
    <w:basedOn w:val="1"/>
    <w:next w:val="1"/>
    <w:qFormat/>
    <w:uiPriority w:val="39"/>
    <w:pPr>
      <w:tabs>
        <w:tab w:val="right" w:leader="dot" w:pos="9060"/>
      </w:tabs>
      <w:spacing w:line="360" w:lineRule="auto"/>
      <w:jc w:val="center"/>
    </w:pPr>
    <w:rPr>
      <w:b/>
      <w:bCs/>
      <w:sz w:val="28"/>
    </w:rPr>
  </w:style>
  <w:style w:type="paragraph" w:styleId="56">
    <w:name w:val="toc 9"/>
    <w:basedOn w:val="1"/>
    <w:next w:val="1"/>
    <w:qFormat/>
    <w:uiPriority w:val="39"/>
    <w:pPr>
      <w:ind w:left="1470"/>
      <w:jc w:val="left"/>
    </w:pPr>
  </w:style>
  <w:style w:type="paragraph" w:styleId="57">
    <w:name w:val="Body Text 2"/>
    <w:basedOn w:val="1"/>
    <w:link w:val="84"/>
    <w:qFormat/>
    <w:uiPriority w:val="0"/>
    <w:pPr>
      <w:spacing w:after="120" w:line="480" w:lineRule="auto"/>
    </w:pPr>
    <w:rPr>
      <w:kern w:val="0"/>
    </w:rPr>
  </w:style>
  <w:style w:type="paragraph" w:styleId="58">
    <w:name w:val="HTML Preformatted"/>
    <w:basedOn w:val="1"/>
    <w:link w:val="42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kern w:val="0"/>
      <w:sz w:val="18"/>
      <w:szCs w:val="18"/>
    </w:rPr>
  </w:style>
  <w:style w:type="paragraph" w:styleId="59">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0">
    <w:name w:val="index 2"/>
    <w:basedOn w:val="1"/>
    <w:next w:val="1"/>
    <w:qFormat/>
    <w:uiPriority w:val="99"/>
    <w:pPr>
      <w:ind w:left="200" w:leftChars="200"/>
    </w:pPr>
  </w:style>
  <w:style w:type="paragraph" w:styleId="61">
    <w:name w:val="Title"/>
    <w:basedOn w:val="1"/>
    <w:link w:val="89"/>
    <w:qFormat/>
    <w:uiPriority w:val="0"/>
    <w:pPr>
      <w:widowControl/>
      <w:jc w:val="center"/>
    </w:pPr>
    <w:rPr>
      <w:rFonts w:ascii="Arial" w:hAnsi="Arial"/>
      <w:b/>
      <w:bCs/>
      <w:kern w:val="0"/>
      <w:sz w:val="30"/>
      <w:lang w:val="de-CH" w:eastAsia="de-DE"/>
    </w:rPr>
  </w:style>
  <w:style w:type="paragraph" w:styleId="62">
    <w:name w:val="annotation subject"/>
    <w:basedOn w:val="23"/>
    <w:next w:val="23"/>
    <w:link w:val="128"/>
    <w:qFormat/>
    <w:uiPriority w:val="0"/>
    <w:rPr>
      <w:b/>
      <w:bCs/>
    </w:rPr>
  </w:style>
  <w:style w:type="paragraph" w:styleId="63">
    <w:name w:val="Body Text First Indent"/>
    <w:basedOn w:val="2"/>
    <w:link w:val="86"/>
    <w:qFormat/>
    <w:uiPriority w:val="99"/>
    <w:pPr>
      <w:snapToGrid/>
      <w:spacing w:after="120" w:line="500" w:lineRule="exact"/>
      <w:ind w:firstLine="420" w:firstLineChars="100"/>
    </w:pPr>
    <w:rPr>
      <w:kern w:val="0"/>
      <w:sz w:val="21"/>
      <w:szCs w:val="24"/>
    </w:rPr>
  </w:style>
  <w:style w:type="paragraph" w:styleId="64">
    <w:name w:val="Body Text First Indent 2"/>
    <w:basedOn w:val="27"/>
    <w:link w:val="442"/>
    <w:qFormat/>
    <w:uiPriority w:val="99"/>
    <w:pPr>
      <w:tabs>
        <w:tab w:val="left" w:pos="780"/>
        <w:tab w:val="left" w:pos="2520"/>
      </w:tabs>
      <w:spacing w:after="120" w:line="360" w:lineRule="auto"/>
      <w:ind w:left="420" w:leftChars="200" w:firstLine="420" w:firstLineChars="200"/>
    </w:pPr>
    <w:rPr>
      <w:kern w:val="2"/>
    </w:rPr>
  </w:style>
  <w:style w:type="table" w:styleId="66">
    <w:name w:val="Table Grid"/>
    <w:basedOn w:val="6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7">
    <w:name w:val="Table Theme"/>
    <w:basedOn w:val="6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9">
    <w:name w:val="Strong"/>
    <w:qFormat/>
    <w:uiPriority w:val="0"/>
    <w:rPr>
      <w:b/>
      <w:bCs/>
    </w:rPr>
  </w:style>
  <w:style w:type="character" w:styleId="70">
    <w:name w:val="endnote reference"/>
    <w:qFormat/>
    <w:uiPriority w:val="99"/>
    <w:rPr>
      <w:rFonts w:cs="Times New Roman"/>
      <w:vertAlign w:val="superscript"/>
    </w:rPr>
  </w:style>
  <w:style w:type="character" w:styleId="71">
    <w:name w:val="page number"/>
    <w:basedOn w:val="68"/>
    <w:qFormat/>
    <w:uiPriority w:val="0"/>
  </w:style>
  <w:style w:type="character" w:styleId="72">
    <w:name w:val="FollowedHyperlink"/>
    <w:basedOn w:val="68"/>
    <w:qFormat/>
    <w:uiPriority w:val="99"/>
    <w:rPr>
      <w:color w:val="800080"/>
      <w:u w:val="none"/>
    </w:rPr>
  </w:style>
  <w:style w:type="character" w:styleId="73">
    <w:name w:val="Emphasis"/>
    <w:qFormat/>
    <w:uiPriority w:val="0"/>
    <w:rPr>
      <w:rFonts w:cs="Times New Roman"/>
      <w:color w:val="auto"/>
    </w:rPr>
  </w:style>
  <w:style w:type="character" w:styleId="74">
    <w:name w:val="HTML Definition"/>
    <w:qFormat/>
    <w:uiPriority w:val="99"/>
    <w:rPr>
      <w:rFonts w:cs="Times New Roman"/>
    </w:rPr>
  </w:style>
  <w:style w:type="character" w:styleId="75">
    <w:name w:val="HTML Variable"/>
    <w:qFormat/>
    <w:uiPriority w:val="99"/>
    <w:rPr>
      <w:rFonts w:cs="Times New Roman"/>
    </w:rPr>
  </w:style>
  <w:style w:type="character" w:styleId="76">
    <w:name w:val="Hyperlink"/>
    <w:basedOn w:val="68"/>
    <w:qFormat/>
    <w:uiPriority w:val="99"/>
    <w:rPr>
      <w:color w:val="0000FF"/>
      <w:u w:val="none"/>
    </w:rPr>
  </w:style>
  <w:style w:type="character" w:styleId="77">
    <w:name w:val="HTML Code"/>
    <w:qFormat/>
    <w:uiPriority w:val="99"/>
    <w:rPr>
      <w:rFonts w:ascii="monospace" w:hAnsi="monospace" w:cs="Times New Roman"/>
      <w:sz w:val="21"/>
    </w:rPr>
  </w:style>
  <w:style w:type="character" w:styleId="78">
    <w:name w:val="annotation reference"/>
    <w:qFormat/>
    <w:uiPriority w:val="0"/>
    <w:rPr>
      <w:sz w:val="21"/>
    </w:rPr>
  </w:style>
  <w:style w:type="character" w:styleId="79">
    <w:name w:val="HTML Cite"/>
    <w:qFormat/>
    <w:uiPriority w:val="99"/>
    <w:rPr>
      <w:rFonts w:cs="Times New Roman"/>
    </w:rPr>
  </w:style>
  <w:style w:type="character" w:styleId="80">
    <w:name w:val="footnote reference"/>
    <w:qFormat/>
    <w:uiPriority w:val="99"/>
    <w:rPr>
      <w:rFonts w:cs="Times New Roman"/>
      <w:vertAlign w:val="superscript"/>
    </w:rPr>
  </w:style>
  <w:style w:type="character" w:styleId="81">
    <w:name w:val="HTML Keyboard"/>
    <w:qFormat/>
    <w:uiPriority w:val="99"/>
    <w:rPr>
      <w:rFonts w:ascii="monospace" w:hAnsi="monospace" w:cs="Times New Roman"/>
      <w:sz w:val="21"/>
    </w:rPr>
  </w:style>
  <w:style w:type="character" w:styleId="82">
    <w:name w:val="HTML Sample"/>
    <w:qFormat/>
    <w:uiPriority w:val="99"/>
    <w:rPr>
      <w:rFonts w:ascii="monospace" w:hAnsi="monospace" w:cs="Times New Roman"/>
      <w:sz w:val="21"/>
    </w:rPr>
  </w:style>
  <w:style w:type="character" w:customStyle="1" w:styleId="83">
    <w:name w:val="Y标4 Char"/>
    <w:qFormat/>
    <w:uiPriority w:val="99"/>
    <w:rPr>
      <w:rFonts w:ascii="宋体" w:hAnsi="宋体" w:eastAsia="宋体"/>
      <w:kern w:val="2"/>
      <w:sz w:val="24"/>
      <w:szCs w:val="24"/>
      <w:lang w:val="en-US" w:eastAsia="zh-CN" w:bidi="ar-SA"/>
    </w:rPr>
  </w:style>
  <w:style w:type="character" w:customStyle="1" w:styleId="84">
    <w:name w:val="正文文本 2 字符"/>
    <w:link w:val="57"/>
    <w:qFormat/>
    <w:uiPriority w:val="0"/>
    <w:rPr>
      <w:sz w:val="21"/>
      <w:szCs w:val="24"/>
    </w:rPr>
  </w:style>
  <w:style w:type="character" w:customStyle="1" w:styleId="85">
    <w:name w:val="页脚 Char Char"/>
    <w:qFormat/>
    <w:uiPriority w:val="0"/>
    <w:rPr>
      <w:rFonts w:cs="Times New Roman"/>
      <w:sz w:val="18"/>
      <w:szCs w:val="18"/>
    </w:rPr>
  </w:style>
  <w:style w:type="character" w:customStyle="1" w:styleId="86">
    <w:name w:val="正文文本首行缩进 字符"/>
    <w:link w:val="63"/>
    <w:qFormat/>
    <w:uiPriority w:val="99"/>
    <w:rPr>
      <w:sz w:val="21"/>
      <w:szCs w:val="24"/>
    </w:rPr>
  </w:style>
  <w:style w:type="character" w:customStyle="1" w:styleId="87">
    <w:name w:val="页眉 Char"/>
    <w:qFormat/>
    <w:uiPriority w:val="0"/>
    <w:rPr>
      <w:kern w:val="2"/>
      <w:sz w:val="18"/>
      <w:szCs w:val="18"/>
    </w:rPr>
  </w:style>
  <w:style w:type="character" w:customStyle="1" w:styleId="88">
    <w:name w:val="正文缩进 Char"/>
    <w:qFormat/>
    <w:uiPriority w:val="99"/>
    <w:rPr>
      <w:rFonts w:eastAsia="宋体"/>
      <w:kern w:val="2"/>
      <w:sz w:val="21"/>
      <w:lang w:val="en-US" w:eastAsia="zh-CN" w:bidi="ar-SA"/>
    </w:rPr>
  </w:style>
  <w:style w:type="character" w:customStyle="1" w:styleId="89">
    <w:name w:val="标题 字符"/>
    <w:link w:val="61"/>
    <w:qFormat/>
    <w:uiPriority w:val="0"/>
    <w:rPr>
      <w:rFonts w:ascii="Arial" w:hAnsi="Arial"/>
      <w:b/>
      <w:bCs/>
      <w:sz w:val="30"/>
      <w:szCs w:val="24"/>
      <w:lang w:val="de-CH" w:eastAsia="de-DE"/>
    </w:rPr>
  </w:style>
  <w:style w:type="character" w:customStyle="1" w:styleId="90">
    <w:name w:val="标题 1 字符"/>
    <w:link w:val="3"/>
    <w:qFormat/>
    <w:uiPriority w:val="0"/>
    <w:rPr>
      <w:b/>
      <w:color w:val="000000"/>
      <w:sz w:val="52"/>
      <w:szCs w:val="24"/>
    </w:rPr>
  </w:style>
  <w:style w:type="character" w:customStyle="1" w:styleId="91">
    <w:name w:val="标题 2 Char"/>
    <w:qFormat/>
    <w:uiPriority w:val="0"/>
    <w:rPr>
      <w:rFonts w:ascii="Arial" w:hAnsi="Arial" w:eastAsia="黑体"/>
      <w:b/>
      <w:sz w:val="21"/>
      <w:szCs w:val="24"/>
      <w:lang w:val="en-US" w:eastAsia="zh-CN" w:bidi="ar-SA"/>
    </w:rPr>
  </w:style>
  <w:style w:type="character" w:customStyle="1" w:styleId="92">
    <w:name w:val="表格文本 Char"/>
    <w:qFormat/>
    <w:uiPriority w:val="99"/>
    <w:rPr>
      <w:rFonts w:ascii="宋体" w:hAnsi="宋体" w:eastAsia="楷体_GB2312" w:cs="Arial"/>
      <w:sz w:val="21"/>
      <w:lang w:val="en-US" w:eastAsia="zh-CN" w:bidi="ar-SA"/>
    </w:rPr>
  </w:style>
  <w:style w:type="character" w:customStyle="1" w:styleId="93">
    <w:name w:val="5 sub-bullet Char"/>
    <w:qFormat/>
    <w:uiPriority w:val="99"/>
    <w:rPr>
      <w:rFonts w:ascii="Arial" w:hAnsi="Arial" w:eastAsia="宋体"/>
      <w:bCs/>
      <w:kern w:val="2"/>
      <w:sz w:val="21"/>
      <w:szCs w:val="28"/>
      <w:lang w:val="en-US" w:eastAsia="zh-CN" w:bidi="ar-SA"/>
    </w:rPr>
  </w:style>
  <w:style w:type="character" w:customStyle="1" w:styleId="94">
    <w:name w:val="Char Char5"/>
    <w:qFormat/>
    <w:uiPriority w:val="99"/>
    <w:rPr>
      <w:rFonts w:eastAsia="宋体"/>
      <w:kern w:val="2"/>
      <w:sz w:val="21"/>
      <w:szCs w:val="24"/>
      <w:lang w:val="en-US" w:eastAsia="zh-CN" w:bidi="ar-SA"/>
    </w:rPr>
  </w:style>
  <w:style w:type="character" w:customStyle="1" w:styleId="95">
    <w:name w:val="Char Char8"/>
    <w:qFormat/>
    <w:uiPriority w:val="0"/>
    <w:rPr>
      <w:rFonts w:eastAsia="宋体"/>
      <w:kern w:val="2"/>
      <w:sz w:val="21"/>
      <w:szCs w:val="24"/>
      <w:lang w:val="en-US" w:eastAsia="zh-CN" w:bidi="ar-SA"/>
    </w:rPr>
  </w:style>
  <w:style w:type="character" w:customStyle="1" w:styleId="96">
    <w:name w:val="表内字体"/>
    <w:qFormat/>
    <w:uiPriority w:val="99"/>
    <w:rPr>
      <w:rFonts w:ascii="宋体" w:hAnsi="宋体" w:eastAsia="宋体"/>
      <w:color w:val="000000"/>
      <w:sz w:val="21"/>
    </w:rPr>
  </w:style>
  <w:style w:type="character" w:customStyle="1" w:styleId="97">
    <w:name w:val="Char Char7"/>
    <w:qFormat/>
    <w:uiPriority w:val="99"/>
    <w:rPr>
      <w:rFonts w:eastAsia="宋体"/>
      <w:color w:val="000000"/>
      <w:kern w:val="2"/>
      <w:sz w:val="24"/>
      <w:szCs w:val="24"/>
      <w:lang w:val="en-US" w:eastAsia="zh-CN" w:bidi="ar-SA"/>
    </w:rPr>
  </w:style>
  <w:style w:type="character" w:customStyle="1" w:styleId="98">
    <w:name w:val="even Char Char"/>
    <w:qFormat/>
    <w:uiPriority w:val="99"/>
    <w:rPr>
      <w:rFonts w:eastAsia="宋体"/>
      <w:sz w:val="18"/>
      <w:szCs w:val="18"/>
      <w:lang w:val="en-US" w:eastAsia="zh-CN" w:bidi="ar-SA"/>
    </w:rPr>
  </w:style>
  <w:style w:type="character" w:customStyle="1" w:styleId="99">
    <w:name w:val="Char Char3"/>
    <w:qFormat/>
    <w:uiPriority w:val="0"/>
    <w:rPr>
      <w:rFonts w:eastAsia="宋体"/>
      <w:sz w:val="21"/>
      <w:szCs w:val="24"/>
      <w:lang w:val="en-US" w:eastAsia="zh-CN" w:bidi="ar-SA"/>
    </w:rPr>
  </w:style>
  <w:style w:type="character" w:customStyle="1" w:styleId="100">
    <w:name w:val="普通文字 Char Char1"/>
    <w:qFormat/>
    <w:uiPriority w:val="99"/>
    <w:rPr>
      <w:rFonts w:ascii="宋体" w:hAnsi="Courier New" w:eastAsia="宋体"/>
      <w:sz w:val="21"/>
      <w:lang w:val="en-US" w:eastAsia="zh-CN" w:bidi="ar-SA"/>
    </w:rPr>
  </w:style>
  <w:style w:type="character" w:customStyle="1" w:styleId="101">
    <w:name w:val="招标文件正文 Char Char"/>
    <w:link w:val="102"/>
    <w:qFormat/>
    <w:uiPriority w:val="99"/>
    <w:rPr>
      <w:rFonts w:ascii="宋体"/>
      <w:spacing w:val="10"/>
      <w:w w:val="95"/>
      <w:sz w:val="21"/>
      <w:lang w:val="en-US" w:eastAsia="zh-CN" w:bidi="ar-SA"/>
    </w:rPr>
  </w:style>
  <w:style w:type="paragraph" w:customStyle="1" w:styleId="102">
    <w:name w:val="招标文件正文"/>
    <w:link w:val="101"/>
    <w:qFormat/>
    <w:uiPriority w:val="99"/>
    <w:pPr>
      <w:tabs>
        <w:tab w:val="left" w:pos="780"/>
        <w:tab w:val="left" w:pos="1680"/>
      </w:tabs>
      <w:spacing w:before="120" w:after="120" w:line="300" w:lineRule="auto"/>
      <w:ind w:left="780" w:firstLine="200" w:firstLineChars="200"/>
    </w:pPr>
    <w:rPr>
      <w:rFonts w:ascii="宋体" w:hAnsi="Times New Roman" w:eastAsia="宋体" w:cs="Times New Roman"/>
      <w:spacing w:val="10"/>
      <w:w w:val="95"/>
      <w:sz w:val="21"/>
      <w:lang w:val="en-US" w:eastAsia="zh-CN" w:bidi="ar-SA"/>
    </w:rPr>
  </w:style>
  <w:style w:type="character" w:customStyle="1" w:styleId="103">
    <w:name w:val="jing41"/>
    <w:qFormat/>
    <w:uiPriority w:val="99"/>
    <w:rPr>
      <w:color w:val="000000"/>
      <w:sz w:val="18"/>
      <w:szCs w:val="18"/>
    </w:rPr>
  </w:style>
  <w:style w:type="character" w:customStyle="1" w:styleId="104">
    <w:name w:val="Char Char2"/>
    <w:qFormat/>
    <w:uiPriority w:val="0"/>
    <w:rPr>
      <w:rFonts w:eastAsia="宋体"/>
      <w:kern w:val="2"/>
      <w:sz w:val="21"/>
      <w:szCs w:val="24"/>
      <w:lang w:val="en-US" w:eastAsia="zh-CN" w:bidi="ar-SA"/>
    </w:rPr>
  </w:style>
  <w:style w:type="character" w:customStyle="1" w:styleId="105">
    <w:name w:val="Char Char4"/>
    <w:qFormat/>
    <w:uiPriority w:val="99"/>
    <w:rPr>
      <w:rFonts w:ascii="宋体" w:eastAsia="宋体"/>
      <w:sz w:val="21"/>
      <w:szCs w:val="24"/>
      <w:lang w:val="en-US" w:eastAsia="zh-CN" w:bidi="ar-SA"/>
    </w:rPr>
  </w:style>
  <w:style w:type="character" w:customStyle="1" w:styleId="106">
    <w:name w:val="Style Heading 22 headlinehheadlinehead:2#S&amp;R2ERMH2Head 2标题 ... Char"/>
    <w:qFormat/>
    <w:uiPriority w:val="99"/>
    <w:rPr>
      <w:rFonts w:ascii="Arial" w:hAnsi="Arial" w:eastAsia="宋体" w:cs="Arial"/>
      <w:b/>
      <w:bCs/>
      <w:color w:val="000080"/>
      <w:sz w:val="24"/>
      <w:szCs w:val="24"/>
      <w:lang w:val="en-GB" w:eastAsia="ar-SA" w:bidi="ar-SA"/>
    </w:rPr>
  </w:style>
  <w:style w:type="character" w:customStyle="1" w:styleId="107">
    <w:name w:val="纯文本 字符"/>
    <w:link w:val="33"/>
    <w:qFormat/>
    <w:uiPriority w:val="0"/>
    <w:rPr>
      <w:rFonts w:ascii="宋体" w:hAnsi="Courier New"/>
      <w:sz w:val="21"/>
    </w:rPr>
  </w:style>
  <w:style w:type="character" w:customStyle="1" w:styleId="108">
    <w:name w:val="列表段落 字符1"/>
    <w:link w:val="109"/>
    <w:qFormat/>
    <w:uiPriority w:val="99"/>
    <w:rPr>
      <w:rFonts w:ascii="Calibri" w:hAnsi="Calibri" w:eastAsia="宋体"/>
      <w:kern w:val="2"/>
      <w:sz w:val="21"/>
      <w:szCs w:val="22"/>
      <w:lang w:val="en-US" w:eastAsia="zh-CN" w:bidi="ar-SA"/>
    </w:rPr>
  </w:style>
  <w:style w:type="paragraph" w:styleId="109">
    <w:name w:val="List Paragraph"/>
    <w:basedOn w:val="1"/>
    <w:link w:val="108"/>
    <w:qFormat/>
    <w:uiPriority w:val="34"/>
    <w:pPr>
      <w:ind w:firstLine="420" w:firstLineChars="200"/>
    </w:pPr>
    <w:rPr>
      <w:rFonts w:ascii="Calibri" w:hAnsi="Calibri"/>
      <w:szCs w:val="22"/>
    </w:rPr>
  </w:style>
  <w:style w:type="character" w:customStyle="1" w:styleId="110">
    <w:name w:val="sub-dash Char"/>
    <w:qFormat/>
    <w:uiPriority w:val="99"/>
    <w:rPr>
      <w:rFonts w:ascii="Arial" w:hAnsi="Arial" w:eastAsia="宋体"/>
      <w:bCs/>
      <w:kern w:val="2"/>
      <w:sz w:val="21"/>
      <w:szCs w:val="24"/>
      <w:lang w:val="en-US" w:eastAsia="zh-CN" w:bidi="ar-SA"/>
    </w:rPr>
  </w:style>
  <w:style w:type="character" w:customStyle="1" w:styleId="111">
    <w:name w:val="PIM 7 Char"/>
    <w:qFormat/>
    <w:uiPriority w:val="99"/>
    <w:rPr>
      <w:rFonts w:ascii="Arial" w:hAnsi="Arial" w:eastAsia="宋体"/>
      <w:b/>
      <w:bCs/>
      <w:kern w:val="2"/>
      <w:sz w:val="24"/>
      <w:szCs w:val="24"/>
      <w:lang w:val="en-US" w:eastAsia="zh-CN" w:bidi="ar-SA"/>
    </w:rPr>
  </w:style>
  <w:style w:type="character" w:customStyle="1" w:styleId="112">
    <w:name w:val="15"/>
    <w:qFormat/>
    <w:uiPriority w:val="99"/>
    <w:rPr>
      <w:rFonts w:hint="default" w:ascii="Times New Roman" w:hAnsi="Times New Roman" w:cs="Times New Roman"/>
      <w:b/>
    </w:rPr>
  </w:style>
  <w:style w:type="character" w:customStyle="1" w:styleId="113">
    <w:name w:val="样式 标题 2Heading 2 Char2 headline Charh Charheadline CharS&amp;R2... Char"/>
    <w:qFormat/>
    <w:uiPriority w:val="99"/>
    <w:rPr>
      <w:rFonts w:ascii="宋体" w:hAnsi="宋体" w:eastAsia="宋体" w:cs="Arial"/>
      <w:b/>
      <w:bCs/>
      <w:color w:val="000080"/>
      <w:sz w:val="28"/>
      <w:szCs w:val="24"/>
      <w:lang w:val="en-GB" w:eastAsia="ar-SA" w:bidi="ar-SA"/>
    </w:rPr>
  </w:style>
  <w:style w:type="character" w:customStyle="1" w:styleId="114">
    <w:name w:val="备注 Char"/>
    <w:qFormat/>
    <w:uiPriority w:val="99"/>
    <w:rPr>
      <w:rFonts w:eastAsia="宋体"/>
      <w:kern w:val="2"/>
      <w:sz w:val="21"/>
      <w:szCs w:val="21"/>
      <w:lang w:val="en-US" w:eastAsia="zh-CN" w:bidi="ar-SA"/>
    </w:rPr>
  </w:style>
  <w:style w:type="character" w:customStyle="1" w:styleId="115">
    <w:name w:val="批注文字 字符"/>
    <w:link w:val="23"/>
    <w:qFormat/>
    <w:locked/>
    <w:uiPriority w:val="99"/>
    <w:rPr>
      <w:rFonts w:eastAsia="宋体"/>
      <w:kern w:val="2"/>
      <w:sz w:val="21"/>
      <w:szCs w:val="24"/>
      <w:lang w:val="en-US" w:eastAsia="zh-CN" w:bidi="ar-SA"/>
    </w:rPr>
  </w:style>
  <w:style w:type="character" w:customStyle="1" w:styleId="116">
    <w:name w:val="标题 3 Char"/>
    <w:qFormat/>
    <w:uiPriority w:val="0"/>
    <w:rPr>
      <w:rFonts w:ascii="黑体" w:eastAsia="黑体"/>
      <w:b/>
      <w:sz w:val="21"/>
      <w:szCs w:val="24"/>
      <w:lang w:val="en-US" w:eastAsia="zh-CN" w:bidi="ar-SA"/>
    </w:rPr>
  </w:style>
  <w:style w:type="character" w:customStyle="1" w:styleId="117">
    <w:name w:val="PIM 9 Char"/>
    <w:qFormat/>
    <w:uiPriority w:val="99"/>
    <w:rPr>
      <w:rFonts w:ascii="Arial" w:hAnsi="Arial" w:eastAsia="黑体"/>
      <w:kern w:val="2"/>
      <w:sz w:val="21"/>
      <w:szCs w:val="21"/>
      <w:lang w:val="en-US" w:eastAsia="zh-CN" w:bidi="ar-SA"/>
    </w:rPr>
  </w:style>
  <w:style w:type="character" w:customStyle="1" w:styleId="118">
    <w:name w:val="Char Char11"/>
    <w:qFormat/>
    <w:uiPriority w:val="99"/>
    <w:rPr>
      <w:rFonts w:eastAsia="宋体"/>
      <w:kern w:val="2"/>
      <w:sz w:val="24"/>
      <w:lang w:val="en-US" w:eastAsia="zh-CN" w:bidi="ar-SA"/>
    </w:rPr>
  </w:style>
  <w:style w:type="character" w:customStyle="1" w:styleId="119">
    <w:name w:val="!四级样式 Char"/>
    <w:link w:val="120"/>
    <w:qFormat/>
    <w:uiPriority w:val="99"/>
    <w:rPr>
      <w:kern w:val="2"/>
      <w:sz w:val="28"/>
      <w:szCs w:val="24"/>
    </w:rPr>
  </w:style>
  <w:style w:type="paragraph" w:customStyle="1" w:styleId="120">
    <w:name w:val="!四级样式"/>
    <w:basedOn w:val="1"/>
    <w:link w:val="119"/>
    <w:qFormat/>
    <w:uiPriority w:val="99"/>
    <w:pPr>
      <w:spacing w:line="400" w:lineRule="atLeast"/>
      <w:ind w:left="737" w:hanging="737"/>
      <w:outlineLvl w:val="3"/>
    </w:pPr>
    <w:rPr>
      <w:sz w:val="28"/>
    </w:rPr>
  </w:style>
  <w:style w:type="character" w:customStyle="1" w:styleId="121">
    <w:name w:val="Char Char9"/>
    <w:qFormat/>
    <w:uiPriority w:val="99"/>
    <w:rPr>
      <w:rFonts w:eastAsia="宋体"/>
      <w:sz w:val="18"/>
      <w:szCs w:val="18"/>
      <w:lang w:val="en-US" w:eastAsia="zh-CN" w:bidi="ar-SA"/>
    </w:rPr>
  </w:style>
  <w:style w:type="character" w:customStyle="1" w:styleId="122">
    <w:name w:val="Char Char"/>
    <w:qFormat/>
    <w:uiPriority w:val="99"/>
    <w:rPr>
      <w:rFonts w:eastAsia="宋体"/>
      <w:kern w:val="2"/>
      <w:sz w:val="24"/>
      <w:szCs w:val="24"/>
      <w:lang w:val="en-US" w:eastAsia="zh-CN" w:bidi="ar-SA"/>
    </w:rPr>
  </w:style>
  <w:style w:type="character" w:customStyle="1" w:styleId="123">
    <w:name w:val="Char Char10"/>
    <w:qFormat/>
    <w:uiPriority w:val="99"/>
    <w:rPr>
      <w:rFonts w:eastAsia="宋体"/>
      <w:sz w:val="21"/>
      <w:szCs w:val="24"/>
      <w:lang w:val="en-US" w:eastAsia="zh-CN" w:bidi="ar-SA"/>
    </w:rPr>
  </w:style>
  <w:style w:type="character" w:customStyle="1" w:styleId="124">
    <w:name w:val="Char Char6"/>
    <w:qFormat/>
    <w:uiPriority w:val="99"/>
    <w:rPr>
      <w:rFonts w:eastAsia="宋体"/>
      <w:kern w:val="2"/>
      <w:sz w:val="18"/>
      <w:szCs w:val="18"/>
      <w:lang w:val="en-US" w:eastAsia="zh-CN" w:bidi="ar-SA"/>
    </w:rPr>
  </w:style>
  <w:style w:type="character" w:customStyle="1" w:styleId="125">
    <w:name w:val="Char Char1"/>
    <w:qFormat/>
    <w:uiPriority w:val="99"/>
    <w:rPr>
      <w:rFonts w:eastAsia="宋体"/>
      <w:sz w:val="18"/>
      <w:lang w:val="en-US" w:eastAsia="zh-CN" w:bidi="ar-SA"/>
    </w:rPr>
  </w:style>
  <w:style w:type="character" w:customStyle="1" w:styleId="126">
    <w:name w:val="日期 Char1"/>
    <w:qFormat/>
    <w:uiPriority w:val="0"/>
    <w:rPr>
      <w:kern w:val="2"/>
      <w:sz w:val="21"/>
      <w:szCs w:val="22"/>
    </w:rPr>
  </w:style>
  <w:style w:type="character" w:customStyle="1" w:styleId="127">
    <w:name w:val="正文文本 字符"/>
    <w:link w:val="2"/>
    <w:qFormat/>
    <w:uiPriority w:val="0"/>
    <w:rPr>
      <w:kern w:val="2"/>
      <w:sz w:val="24"/>
    </w:rPr>
  </w:style>
  <w:style w:type="character" w:customStyle="1" w:styleId="128">
    <w:name w:val="批注主题 字符"/>
    <w:link w:val="62"/>
    <w:qFormat/>
    <w:uiPriority w:val="0"/>
    <w:rPr>
      <w:b/>
      <w:bCs/>
      <w:kern w:val="2"/>
      <w:sz w:val="21"/>
      <w:szCs w:val="24"/>
    </w:rPr>
  </w:style>
  <w:style w:type="character" w:customStyle="1" w:styleId="129">
    <w:name w:val="副标题 字符"/>
    <w:link w:val="47"/>
    <w:qFormat/>
    <w:uiPriority w:val="11"/>
    <w:rPr>
      <w:rFonts w:ascii="Cambria" w:hAnsi="Cambria"/>
      <w:b/>
      <w:bCs/>
      <w:kern w:val="28"/>
      <w:sz w:val="32"/>
      <w:szCs w:val="32"/>
    </w:rPr>
  </w:style>
  <w:style w:type="character" w:customStyle="1" w:styleId="130">
    <w:name w:val="日期 字符"/>
    <w:link w:val="36"/>
    <w:qFormat/>
    <w:locked/>
    <w:uiPriority w:val="99"/>
    <w:rPr>
      <w:rFonts w:ascii="宋体"/>
      <w:sz w:val="21"/>
      <w:szCs w:val="24"/>
    </w:rPr>
  </w:style>
  <w:style w:type="character" w:customStyle="1" w:styleId="131">
    <w:name w:val="批注框文本 字符1"/>
    <w:link w:val="39"/>
    <w:qFormat/>
    <w:uiPriority w:val="0"/>
    <w:rPr>
      <w:kern w:val="2"/>
      <w:sz w:val="18"/>
      <w:szCs w:val="18"/>
    </w:rPr>
  </w:style>
  <w:style w:type="character" w:customStyle="1" w:styleId="132">
    <w:name w:val="List No. Char"/>
    <w:qFormat/>
    <w:uiPriority w:val="99"/>
    <w:rPr>
      <w:rFonts w:ascii="Arial" w:hAnsi="Arial" w:eastAsia="宋体" w:cs="Arial"/>
      <w:sz w:val="24"/>
      <w:lang w:val="en-GB" w:eastAsia="ar-SA" w:bidi="ar-SA"/>
    </w:rPr>
  </w:style>
  <w:style w:type="character" w:customStyle="1" w:styleId="133">
    <w:name w:val="注意框体 Char"/>
    <w:qFormat/>
    <w:uiPriority w:val="99"/>
    <w:rPr>
      <w:rFonts w:ascii="Arial" w:hAnsi="Arial" w:eastAsia="黑体"/>
      <w:kern w:val="2"/>
      <w:sz w:val="24"/>
      <w:szCs w:val="24"/>
      <w:lang w:val="en-US" w:eastAsia="zh-CN" w:bidi="ar-SA"/>
    </w:rPr>
  </w:style>
  <w:style w:type="character" w:customStyle="1" w:styleId="134">
    <w:name w:val="标题 1 1 Char"/>
    <w:qFormat/>
    <w:uiPriority w:val="99"/>
    <w:rPr>
      <w:rFonts w:eastAsia="宋体"/>
      <w:b/>
      <w:color w:val="000000"/>
      <w:sz w:val="52"/>
      <w:szCs w:val="24"/>
      <w:lang w:val="en-US" w:eastAsia="zh-CN" w:bidi="ar-SA"/>
    </w:rPr>
  </w:style>
  <w:style w:type="character" w:customStyle="1" w:styleId="135">
    <w:name w:val="正文缩进 字符"/>
    <w:link w:val="18"/>
    <w:qFormat/>
    <w:uiPriority w:val="99"/>
    <w:rPr>
      <w:rFonts w:eastAsia="宋体"/>
      <w:kern w:val="2"/>
      <w:sz w:val="21"/>
      <w:szCs w:val="24"/>
      <w:lang w:val="en-US" w:eastAsia="zh-CN" w:bidi="ar-SA"/>
    </w:rPr>
  </w:style>
  <w:style w:type="character" w:customStyle="1" w:styleId="136">
    <w:name w:val="font71"/>
    <w:qFormat/>
    <w:uiPriority w:val="99"/>
    <w:rPr>
      <w:rFonts w:hint="eastAsia" w:ascii="宋体" w:hAnsi="宋体" w:eastAsia="宋体" w:cs="宋体"/>
      <w:color w:val="000000"/>
      <w:sz w:val="20"/>
      <w:szCs w:val="20"/>
    </w:rPr>
  </w:style>
  <w:style w:type="character" w:customStyle="1" w:styleId="137">
    <w:name w:val="页眉 Char Char"/>
    <w:qFormat/>
    <w:uiPriority w:val="0"/>
    <w:rPr>
      <w:rFonts w:cs="Times New Roman"/>
      <w:sz w:val="18"/>
      <w:szCs w:val="18"/>
    </w:rPr>
  </w:style>
  <w:style w:type="character" w:customStyle="1" w:styleId="138">
    <w:name w:val="页眉 字符1"/>
    <w:link w:val="42"/>
    <w:qFormat/>
    <w:uiPriority w:val="0"/>
    <w:rPr>
      <w:sz w:val="18"/>
      <w:szCs w:val="18"/>
    </w:rPr>
  </w:style>
  <w:style w:type="character" w:customStyle="1" w:styleId="139">
    <w:name w:val="招标文件正文 Char"/>
    <w:qFormat/>
    <w:locked/>
    <w:uiPriority w:val="0"/>
    <w:rPr>
      <w:rFonts w:ascii="Times New Roman" w:hAnsi="Times New Roman" w:cs="Times New Roman"/>
      <w:sz w:val="32"/>
      <w:szCs w:val="32"/>
    </w:rPr>
  </w:style>
  <w:style w:type="character" w:customStyle="1" w:styleId="140">
    <w:name w:val="页脚 字符1"/>
    <w:link w:val="40"/>
    <w:qFormat/>
    <w:uiPriority w:val="99"/>
    <w:rPr>
      <w:sz w:val="18"/>
      <w:szCs w:val="18"/>
    </w:rPr>
  </w:style>
  <w:style w:type="character" w:customStyle="1" w:styleId="141">
    <w:name w:val="副标题 Char1"/>
    <w:qFormat/>
    <w:uiPriority w:val="0"/>
    <w:rPr>
      <w:rFonts w:ascii="Calibri Light" w:hAnsi="Calibri Light" w:cs="Times New Roman"/>
      <w:b/>
      <w:bCs/>
      <w:kern w:val="28"/>
      <w:sz w:val="32"/>
      <w:szCs w:val="32"/>
    </w:rPr>
  </w:style>
  <w:style w:type="paragraph" w:customStyle="1" w:styleId="142">
    <w:name w:val="texte1"/>
    <w:basedOn w:val="1"/>
    <w:qFormat/>
    <w:uiPriority w:val="99"/>
    <w:pPr>
      <w:widowControl/>
      <w:tabs>
        <w:tab w:val="left" w:pos="851"/>
      </w:tabs>
      <w:ind w:left="567"/>
    </w:pPr>
    <w:rPr>
      <w:rFonts w:ascii="Helv" w:hAnsi="Helv"/>
      <w:kern w:val="0"/>
      <w:sz w:val="20"/>
      <w:szCs w:val="20"/>
      <w:lang w:val="fr-FR" w:eastAsia="fr-FR"/>
    </w:rPr>
  </w:style>
  <w:style w:type="paragraph" w:customStyle="1" w:styleId="143">
    <w:name w:val="xl27"/>
    <w:basedOn w:val="1"/>
    <w:qFormat/>
    <w:uiPriority w:val="99"/>
    <w:pPr>
      <w:widowControl/>
      <w:tabs>
        <w:tab w:val="left" w:pos="840"/>
      </w:tabs>
      <w:spacing w:before="100" w:beforeAutospacing="1" w:after="100" w:afterAutospacing="1"/>
      <w:ind w:left="840" w:hanging="720"/>
      <w:jc w:val="center"/>
    </w:pPr>
    <w:rPr>
      <w:rFonts w:ascii="Arial Unicode MS" w:hAnsi="Arial Unicode MS" w:eastAsia="Arial Unicode MS" w:cs="Arial Unicode MS"/>
      <w:kern w:val="0"/>
      <w:sz w:val="24"/>
      <w:lang w:val="fr-FR" w:eastAsia="fr-FR"/>
    </w:rPr>
  </w:style>
  <w:style w:type="paragraph" w:customStyle="1" w:styleId="144">
    <w:name w:val="Niv2 Puce1"/>
    <w:basedOn w:val="1"/>
    <w:qFormat/>
    <w:uiPriority w:val="99"/>
    <w:pPr>
      <w:widowControl/>
      <w:spacing w:before="60" w:after="60"/>
      <w:ind w:left="908" w:right="454" w:hanging="284"/>
    </w:pPr>
    <w:rPr>
      <w:kern w:val="0"/>
      <w:sz w:val="24"/>
      <w:szCs w:val="20"/>
      <w:lang w:val="fr-FR" w:eastAsia="fr-FR"/>
    </w:rPr>
  </w:style>
  <w:style w:type="paragraph" w:customStyle="1" w:styleId="145">
    <w:name w:val="默认段落字体 Para Char Char Char Char Char Char Char Char Char1 Char Char Char Char Char Char Char"/>
    <w:basedOn w:val="1"/>
    <w:qFormat/>
    <w:uiPriority w:val="99"/>
    <w:pPr>
      <w:keepNext/>
      <w:autoSpaceDE w:val="0"/>
      <w:autoSpaceDN w:val="0"/>
      <w:spacing w:before="40" w:after="40"/>
      <w:jc w:val="center"/>
    </w:pPr>
    <w:rPr>
      <w:rFonts w:eastAsia="仿宋_GB2312"/>
      <w:sz w:val="24"/>
    </w:rPr>
  </w:style>
  <w:style w:type="paragraph" w:customStyle="1" w:styleId="146">
    <w:name w:val="xl26"/>
    <w:basedOn w:val="1"/>
    <w:qFormat/>
    <w:uiPriority w:val="99"/>
    <w:pPr>
      <w:widowControl/>
      <w:spacing w:before="100" w:beforeAutospacing="1" w:after="100" w:afterAutospacing="1"/>
      <w:jc w:val="center"/>
    </w:pPr>
    <w:rPr>
      <w:rFonts w:ascii="Arial" w:hAnsi="Arial" w:eastAsia="Arial Unicode MS" w:cs="Arial"/>
      <w:b/>
      <w:bCs/>
      <w:kern w:val="0"/>
      <w:sz w:val="24"/>
      <w:lang w:val="fr-FR" w:eastAsia="fr-FR"/>
    </w:rPr>
  </w:style>
  <w:style w:type="paragraph" w:customStyle="1" w:styleId="147">
    <w:name w:val="p17"/>
    <w:basedOn w:val="1"/>
    <w:qFormat/>
    <w:uiPriority w:val="99"/>
    <w:pPr>
      <w:spacing w:before="100" w:after="100" w:line="360" w:lineRule="auto"/>
      <w:ind w:firstLine="420" w:firstLineChars="200"/>
      <w:jc w:val="left"/>
    </w:pPr>
    <w:rPr>
      <w:kern w:val="0"/>
      <w:sz w:val="24"/>
    </w:rPr>
  </w:style>
  <w:style w:type="paragraph" w:customStyle="1" w:styleId="148">
    <w:name w:val="纯文本1"/>
    <w:basedOn w:val="1"/>
    <w:qFormat/>
    <w:uiPriority w:val="99"/>
    <w:pPr>
      <w:adjustRightInd w:val="0"/>
      <w:spacing w:line="360" w:lineRule="auto"/>
      <w:ind w:left="1134" w:firstLine="567"/>
      <w:textAlignment w:val="baseline"/>
    </w:pPr>
    <w:rPr>
      <w:rFonts w:ascii="宋体" w:hAnsi="Courier New"/>
      <w:kern w:val="0"/>
      <w:szCs w:val="20"/>
    </w:rPr>
  </w:style>
  <w:style w:type="paragraph" w:customStyle="1" w:styleId="149">
    <w:name w:val="WW-目录"/>
    <w:basedOn w:val="1"/>
    <w:qFormat/>
    <w:uiPriority w:val="99"/>
    <w:pPr>
      <w:suppressLineNumbers/>
      <w:suppressAutoHyphens/>
    </w:pPr>
    <w:rPr>
      <w:rFonts w:cs="Tahoma"/>
      <w:kern w:val="1"/>
      <w:lang w:eastAsia="ar-SA"/>
    </w:rPr>
  </w:style>
  <w:style w:type="paragraph" w:customStyle="1" w:styleId="150">
    <w:name w:val="Paragraphe"/>
    <w:basedOn w:val="1"/>
    <w:qFormat/>
    <w:uiPriority w:val="99"/>
    <w:pPr>
      <w:widowControl/>
      <w:spacing w:before="60" w:after="60"/>
      <w:ind w:left="284"/>
    </w:pPr>
    <w:rPr>
      <w:kern w:val="0"/>
      <w:sz w:val="24"/>
      <w:szCs w:val="20"/>
      <w:lang w:val="fr-FR" w:eastAsia="fr-FR"/>
    </w:rPr>
  </w:style>
  <w:style w:type="paragraph" w:customStyle="1" w:styleId="151">
    <w:name w:val="1）悬挂正文"/>
    <w:basedOn w:val="1"/>
    <w:qFormat/>
    <w:uiPriority w:val="99"/>
    <w:pPr>
      <w:adjustRightInd w:val="0"/>
      <w:snapToGrid w:val="0"/>
      <w:spacing w:beforeLines="50" w:afterLines="50" w:line="420" w:lineRule="auto"/>
      <w:ind w:left="900" w:leftChars="200" w:hanging="420" w:hangingChars="175"/>
      <w:outlineLvl w:val="1"/>
    </w:pPr>
    <w:rPr>
      <w:rFonts w:ascii="宋体" w:hAnsi="宋体"/>
      <w:snapToGrid w:val="0"/>
      <w:color w:val="000000"/>
      <w:spacing w:val="6"/>
      <w:sz w:val="28"/>
      <w:szCs w:val="28"/>
    </w:rPr>
  </w:style>
  <w:style w:type="paragraph" w:customStyle="1" w:styleId="152">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153">
    <w:name w:val="Char Char Char Char Char Char1 Char"/>
    <w:basedOn w:val="1"/>
    <w:qFormat/>
    <w:uiPriority w:val="99"/>
    <w:pPr>
      <w:widowControl/>
      <w:spacing w:after="160" w:line="240" w:lineRule="exact"/>
      <w:jc w:val="left"/>
    </w:pPr>
    <w:rPr>
      <w:rFonts w:ascii="Verdana" w:hAnsi="Verdana"/>
      <w:kern w:val="0"/>
      <w:szCs w:val="20"/>
      <w:lang w:eastAsia="en-US"/>
    </w:rPr>
  </w:style>
  <w:style w:type="paragraph" w:customStyle="1" w:styleId="154">
    <w:name w:val="应答文本"/>
    <w:basedOn w:val="1"/>
    <w:qFormat/>
    <w:uiPriority w:val="99"/>
    <w:pPr>
      <w:adjustRightInd w:val="0"/>
      <w:spacing w:afterLines="50" w:line="320" w:lineRule="exact"/>
      <w:ind w:left="630" w:leftChars="300" w:right="210" w:firstLine="460" w:firstLineChars="200"/>
    </w:pPr>
    <w:rPr>
      <w:rFonts w:ascii="宋体" w:hAnsi="Arial" w:eastAsia="楷体_GB2312"/>
      <w:snapToGrid w:val="0"/>
      <w:spacing w:val="10"/>
      <w:kern w:val="0"/>
      <w:szCs w:val="21"/>
    </w:rPr>
  </w:style>
  <w:style w:type="paragraph" w:customStyle="1" w:styleId="155">
    <w:name w:val="引言 0"/>
    <w:next w:val="156"/>
    <w:qFormat/>
    <w:uiPriority w:val="99"/>
    <w:pPr>
      <w:tabs>
        <w:tab w:val="left" w:pos="2100"/>
        <w:tab w:val="left" w:pos="2940"/>
      </w:tabs>
      <w:spacing w:before="240" w:after="240"/>
      <w:ind w:left="2940" w:hanging="420"/>
    </w:pPr>
    <w:rPr>
      <w:rFonts w:ascii="Times New Roman" w:hAnsi="Times New Roman" w:eastAsia="黑体" w:cs="Times New Roman"/>
      <w:sz w:val="21"/>
      <w:lang w:val="en-US" w:eastAsia="zh-CN" w:bidi="ar-SA"/>
    </w:rPr>
  </w:style>
  <w:style w:type="paragraph" w:customStyle="1" w:styleId="156">
    <w:name w:val="段落"/>
    <w:qFormat/>
    <w:uiPriority w:val="99"/>
    <w:pPr>
      <w:spacing w:line="310" w:lineRule="exact"/>
      <w:ind w:firstLine="200" w:firstLineChars="200"/>
    </w:pPr>
    <w:rPr>
      <w:rFonts w:ascii="Times New Roman" w:hAnsi="Times New Roman" w:eastAsia="宋体" w:cs="Times New Roman"/>
      <w:sz w:val="21"/>
      <w:lang w:val="en-US" w:eastAsia="zh-CN" w:bidi="ar-SA"/>
    </w:rPr>
  </w:style>
  <w:style w:type="paragraph" w:customStyle="1" w:styleId="157">
    <w:name w:val="序号"/>
    <w:basedOn w:val="1"/>
    <w:qFormat/>
    <w:uiPriority w:val="99"/>
    <w:pPr>
      <w:ind w:firstLine="547"/>
    </w:pPr>
  </w:style>
  <w:style w:type="paragraph" w:customStyle="1" w:styleId="158">
    <w:name w:val="列出段落1"/>
    <w:basedOn w:val="1"/>
    <w:link w:val="617"/>
    <w:qFormat/>
    <w:uiPriority w:val="34"/>
    <w:pPr>
      <w:ind w:firstLine="420" w:firstLineChars="200"/>
    </w:pPr>
  </w:style>
  <w:style w:type="paragraph" w:customStyle="1" w:styleId="159">
    <w:name w:val="Char"/>
    <w:basedOn w:val="1"/>
    <w:qFormat/>
    <w:uiPriority w:val="0"/>
    <w:pPr>
      <w:spacing w:line="360" w:lineRule="auto"/>
      <w:ind w:firstLine="200" w:firstLineChars="200"/>
    </w:pPr>
    <w:rPr>
      <w:rFonts w:ascii="宋体" w:hAnsi="宋体" w:cs="宋体"/>
      <w:sz w:val="24"/>
    </w:rPr>
  </w:style>
  <w:style w:type="paragraph" w:customStyle="1" w:styleId="160">
    <w:name w:val="xl34"/>
    <w:basedOn w:val="1"/>
    <w:qFormat/>
    <w:uiPriority w:val="99"/>
    <w:pPr>
      <w:widowControl/>
      <w:pBdr>
        <w:top w:val="single" w:color="808080" w:sz="4" w:space="0"/>
      </w:pBdr>
      <w:tabs>
        <w:tab w:val="left" w:pos="3507"/>
      </w:tabs>
      <w:spacing w:before="100" w:beforeAutospacing="1" w:after="100" w:afterAutospacing="1"/>
      <w:ind w:left="3507" w:hanging="420"/>
      <w:jc w:val="left"/>
      <w:textAlignment w:val="top"/>
    </w:pPr>
    <w:rPr>
      <w:rFonts w:ascii="Arial" w:hAnsi="Arial" w:eastAsia="Arial Unicode MS" w:cs="Arial"/>
      <w:kern w:val="0"/>
      <w:sz w:val="24"/>
      <w:lang w:val="fr-FR" w:eastAsia="fr-FR"/>
    </w:rPr>
  </w:style>
  <w:style w:type="paragraph" w:customStyle="1" w:styleId="161">
    <w:name w:val="_Style 41"/>
    <w:basedOn w:val="1"/>
    <w:next w:val="33"/>
    <w:qFormat/>
    <w:uiPriority w:val="99"/>
    <w:pPr>
      <w:spacing w:line="360" w:lineRule="auto"/>
      <w:ind w:left="1134" w:hanging="1134"/>
    </w:pPr>
    <w:rPr>
      <w:rFonts w:ascii="宋体" w:hAnsi="Courier New"/>
      <w:kern w:val="0"/>
      <w:sz w:val="24"/>
      <w:szCs w:val="20"/>
    </w:rPr>
  </w:style>
  <w:style w:type="paragraph" w:customStyle="1" w:styleId="162">
    <w:name w:val="样式 样式 标题 4标题1.1.1 + 五号 + 段前: 0.2 行 段后: 0.2 行"/>
    <w:basedOn w:val="1"/>
    <w:qFormat/>
    <w:uiPriority w:val="99"/>
    <w:pPr>
      <w:keepNext/>
      <w:keepLines/>
      <w:spacing w:beforeLines="20" w:afterLines="20" w:line="360" w:lineRule="auto"/>
      <w:jc w:val="left"/>
      <w:outlineLvl w:val="3"/>
    </w:pPr>
    <w:rPr>
      <w:rFonts w:ascii="楷体_GB2312" w:eastAsia="楷体_GB2312"/>
      <w:szCs w:val="20"/>
    </w:rPr>
  </w:style>
  <w:style w:type="paragraph" w:customStyle="1" w:styleId="163">
    <w:name w:val="正文，四宋"/>
    <w:basedOn w:val="1"/>
    <w:qFormat/>
    <w:uiPriority w:val="99"/>
    <w:pPr>
      <w:spacing w:line="460" w:lineRule="exact"/>
      <w:ind w:firstLine="567"/>
      <w:outlineLvl w:val="4"/>
    </w:pPr>
    <w:rPr>
      <w:sz w:val="28"/>
      <w:szCs w:val="20"/>
    </w:rPr>
  </w:style>
  <w:style w:type="paragraph" w:customStyle="1" w:styleId="164">
    <w:name w:val="条文 3"/>
    <w:next w:val="1"/>
    <w:qFormat/>
    <w:uiPriority w:val="99"/>
    <w:pPr>
      <w:tabs>
        <w:tab w:val="left" w:pos="1680"/>
      </w:tabs>
      <w:spacing w:line="310" w:lineRule="exact"/>
      <w:ind w:left="737" w:hanging="737"/>
    </w:pPr>
    <w:rPr>
      <w:rFonts w:ascii="Times New Roman" w:hAnsi="Times New Roman" w:eastAsia="黑体" w:cs="Times New Roman"/>
      <w:sz w:val="21"/>
      <w:lang w:val="en-US" w:eastAsia="zh-CN" w:bidi="ar-SA"/>
    </w:rPr>
  </w:style>
  <w:style w:type="paragraph" w:customStyle="1" w:styleId="165">
    <w:name w:val="示例"/>
    <w:next w:val="156"/>
    <w:qFormat/>
    <w:uiPriority w:val="99"/>
    <w:pPr>
      <w:tabs>
        <w:tab w:val="left" w:pos="1680"/>
        <w:tab w:val="left" w:pos="2520"/>
      </w:tabs>
      <w:ind w:left="2520" w:firstLine="170"/>
    </w:pPr>
    <w:rPr>
      <w:rFonts w:ascii="Times New Roman" w:hAnsi="Times New Roman" w:eastAsia="宋体" w:cs="Times New Roman"/>
      <w:sz w:val="18"/>
      <w:lang w:val="en-US" w:eastAsia="zh-CN" w:bidi="ar-SA"/>
    </w:rPr>
  </w:style>
  <w:style w:type="paragraph" w:customStyle="1" w:styleId="166">
    <w:name w:val="标题6"/>
    <w:basedOn w:val="8"/>
    <w:qFormat/>
    <w:uiPriority w:val="99"/>
    <w:pPr>
      <w:keepNext/>
      <w:keepLines/>
      <w:widowControl w:val="0"/>
      <w:tabs>
        <w:tab w:val="right" w:leader="dot" w:pos="9061"/>
      </w:tabs>
      <w:adjustRightInd/>
      <w:snapToGrid/>
      <w:spacing w:before="240" w:after="64" w:line="317" w:lineRule="auto"/>
      <w:ind w:left="0" w:firstLine="0" w:firstLineChars="0"/>
      <w:jc w:val="center"/>
    </w:pPr>
    <w:rPr>
      <w:rFonts w:ascii="宋体"/>
      <w:b/>
      <w:bCs w:val="0"/>
      <w:szCs w:val="20"/>
    </w:rPr>
  </w:style>
  <w:style w:type="paragraph" w:customStyle="1" w:styleId="167">
    <w:name w:val="bullets"/>
    <w:basedOn w:val="168"/>
    <w:qFormat/>
    <w:uiPriority w:val="99"/>
    <w:pPr>
      <w:ind w:left="0"/>
    </w:pPr>
  </w:style>
  <w:style w:type="paragraph" w:customStyle="1" w:styleId="168">
    <w:name w:val="Text"/>
    <w:basedOn w:val="1"/>
    <w:qFormat/>
    <w:uiPriority w:val="99"/>
    <w:pPr>
      <w:widowControl/>
      <w:suppressAutoHyphens/>
      <w:spacing w:before="100" w:after="100"/>
      <w:ind w:left="46"/>
    </w:pPr>
    <w:rPr>
      <w:rFonts w:ascii="Arial" w:hAnsi="Arial" w:cs="Arial"/>
      <w:kern w:val="0"/>
      <w:sz w:val="24"/>
      <w:szCs w:val="20"/>
      <w:lang w:val="en-GB" w:eastAsia="ar-SA"/>
    </w:rPr>
  </w:style>
  <w:style w:type="paragraph" w:customStyle="1" w:styleId="169">
    <w:name w:val="Niv1 Puce2"/>
    <w:basedOn w:val="1"/>
    <w:qFormat/>
    <w:uiPriority w:val="99"/>
    <w:pPr>
      <w:widowControl/>
      <w:spacing w:before="40" w:after="40"/>
      <w:ind w:left="1021" w:right="454" w:hanging="284"/>
    </w:pPr>
    <w:rPr>
      <w:kern w:val="0"/>
      <w:sz w:val="24"/>
      <w:szCs w:val="20"/>
      <w:lang w:val="fr-FR" w:eastAsia="fr-FR"/>
    </w:rPr>
  </w:style>
  <w:style w:type="paragraph" w:customStyle="1" w:styleId="170">
    <w:name w:val="篇"/>
    <w:basedOn w:val="1"/>
    <w:qFormat/>
    <w:uiPriority w:val="99"/>
    <w:pPr>
      <w:widowControl/>
      <w:spacing w:before="100" w:beforeAutospacing="1" w:after="100" w:afterAutospacing="1" w:line="360" w:lineRule="auto"/>
      <w:jc w:val="left"/>
    </w:pPr>
    <w:rPr>
      <w:kern w:val="0"/>
      <w:sz w:val="24"/>
      <w:szCs w:val="20"/>
    </w:rPr>
  </w:style>
  <w:style w:type="paragraph" w:customStyle="1" w:styleId="171">
    <w:name w:val="tableau"/>
    <w:basedOn w:val="1"/>
    <w:qFormat/>
    <w:uiPriority w:val="99"/>
    <w:pPr>
      <w:widowControl/>
      <w:jc w:val="left"/>
    </w:pPr>
    <w:rPr>
      <w:rFonts w:ascii="Helv" w:hAnsi="Helv"/>
      <w:kern w:val="0"/>
      <w:sz w:val="20"/>
      <w:szCs w:val="20"/>
      <w:lang w:val="fr-FR" w:eastAsia="fr-FR"/>
    </w:rPr>
  </w:style>
  <w:style w:type="paragraph" w:customStyle="1" w:styleId="172">
    <w:name w:val="Y标2"/>
    <w:basedOn w:val="4"/>
    <w:qFormat/>
    <w:uiPriority w:val="99"/>
    <w:pPr>
      <w:keepNext w:val="0"/>
      <w:keepLines w:val="0"/>
      <w:tabs>
        <w:tab w:val="left" w:pos="1395"/>
      </w:tabs>
      <w:snapToGrid w:val="0"/>
      <w:spacing w:beforeLines="75"/>
      <w:ind w:left="1260" w:hanging="420"/>
      <w:jc w:val="both"/>
    </w:pPr>
    <w:rPr>
      <w:rFonts w:ascii="宋体" w:hAnsi="Arial"/>
      <w:bCs/>
      <w:kern w:val="2"/>
      <w:sz w:val="24"/>
    </w:rPr>
  </w:style>
  <w:style w:type="paragraph" w:customStyle="1" w:styleId="173">
    <w:name w:val="Char Char Char1"/>
    <w:basedOn w:val="1"/>
    <w:qFormat/>
    <w:uiPriority w:val="99"/>
    <w:rPr>
      <w:rFonts w:ascii="Tahoma" w:hAnsi="Tahoma"/>
      <w:sz w:val="24"/>
      <w:szCs w:val="20"/>
    </w:rPr>
  </w:style>
  <w:style w:type="paragraph" w:customStyle="1" w:styleId="174">
    <w:name w:val="Texte_pointe[1]"/>
    <w:qFormat/>
    <w:uiPriority w:val="99"/>
    <w:pPr>
      <w:tabs>
        <w:tab w:val="left" w:pos="1133"/>
        <w:tab w:val="left" w:pos="2551"/>
        <w:tab w:val="left" w:pos="5952"/>
      </w:tabs>
      <w:spacing w:before="120" w:after="120" w:line="276" w:lineRule="auto"/>
      <w:ind w:left="1133" w:hanging="284"/>
      <w:jc w:val="both"/>
    </w:pPr>
    <w:rPr>
      <w:rFonts w:ascii="Times New Roman" w:hAnsi="Times New Roman" w:eastAsia="宋体" w:cs="Times New Roman"/>
      <w:color w:val="C0C0C0"/>
      <w:sz w:val="24"/>
      <w:lang w:val="fr-FR" w:eastAsia="fr-FR" w:bidi="ar-SA"/>
    </w:rPr>
  </w:style>
  <w:style w:type="paragraph" w:customStyle="1" w:styleId="175">
    <w:name w:val="Niv3 Puce4"/>
    <w:basedOn w:val="176"/>
    <w:qFormat/>
    <w:uiPriority w:val="99"/>
    <w:pPr>
      <w:ind w:left="1985"/>
    </w:pPr>
  </w:style>
  <w:style w:type="paragraph" w:customStyle="1" w:styleId="176">
    <w:name w:val="Niv1 Puce4"/>
    <w:basedOn w:val="177"/>
    <w:qFormat/>
    <w:uiPriority w:val="99"/>
    <w:pPr>
      <w:ind w:left="1588"/>
    </w:pPr>
  </w:style>
  <w:style w:type="paragraph" w:customStyle="1" w:styleId="177">
    <w:name w:val="Niv1 Puce3"/>
    <w:basedOn w:val="169"/>
    <w:qFormat/>
    <w:uiPriority w:val="99"/>
    <w:pPr>
      <w:ind w:left="1305"/>
    </w:pPr>
  </w:style>
  <w:style w:type="paragraph" w:customStyle="1" w:styleId="178">
    <w:name w:val="PARA 2"/>
    <w:basedOn w:val="1"/>
    <w:qFormat/>
    <w:uiPriority w:val="99"/>
    <w:pPr>
      <w:widowControl/>
      <w:spacing w:before="60" w:after="60"/>
      <w:ind w:left="624" w:right="454"/>
    </w:pPr>
    <w:rPr>
      <w:kern w:val="0"/>
      <w:sz w:val="24"/>
      <w:szCs w:val="20"/>
      <w:lang w:val="fr-FR" w:eastAsia="fr-FR"/>
    </w:rPr>
  </w:style>
  <w:style w:type="paragraph" w:customStyle="1" w:styleId="179">
    <w:name w:val="Style Heading 22 headlinehheadlinehead:2#S&amp;R2ERMH2Head 2标题 ...1"/>
    <w:basedOn w:val="4"/>
    <w:qFormat/>
    <w:uiPriority w:val="99"/>
    <w:pPr>
      <w:widowControl/>
      <w:tabs>
        <w:tab w:val="left" w:pos="1701"/>
      </w:tabs>
      <w:suppressAutoHyphens/>
      <w:spacing w:before="180" w:after="180" w:line="240" w:lineRule="auto"/>
      <w:jc w:val="left"/>
    </w:pPr>
    <w:rPr>
      <w:rFonts w:ascii="Arial" w:hAnsi="Arial" w:eastAsia="PMingLiU" w:cs="Arial"/>
      <w:bCs/>
      <w:color w:val="000080"/>
      <w:sz w:val="24"/>
      <w:lang w:val="en-GB" w:eastAsia="ar-SA"/>
    </w:rPr>
  </w:style>
  <w:style w:type="paragraph" w:customStyle="1" w:styleId="180">
    <w:name w:val="Niv3 Puce1"/>
    <w:basedOn w:val="1"/>
    <w:qFormat/>
    <w:uiPriority w:val="99"/>
    <w:pPr>
      <w:widowControl/>
      <w:spacing w:before="60" w:after="60"/>
      <w:ind w:left="1078" w:right="454" w:hanging="284"/>
    </w:pPr>
    <w:rPr>
      <w:kern w:val="0"/>
      <w:sz w:val="24"/>
      <w:szCs w:val="20"/>
      <w:lang w:val="fr-FR" w:eastAsia="fr-FR"/>
    </w:rPr>
  </w:style>
  <w:style w:type="paragraph" w:customStyle="1" w:styleId="181">
    <w:name w:val="表格文字"/>
    <w:basedOn w:val="1"/>
    <w:qFormat/>
    <w:uiPriority w:val="99"/>
    <w:rPr>
      <w:rFonts w:ascii="宋体"/>
      <w:szCs w:val="20"/>
    </w:rPr>
  </w:style>
  <w:style w:type="paragraph" w:customStyle="1" w:styleId="182">
    <w:name w:val="附录"/>
    <w:next w:val="156"/>
    <w:qFormat/>
    <w:uiPriority w:val="99"/>
    <w:pPr>
      <w:tabs>
        <w:tab w:val="left" w:pos="3180"/>
        <w:tab w:val="left" w:pos="3480"/>
      </w:tabs>
      <w:spacing w:after="200"/>
      <w:ind w:left="3480" w:hanging="420"/>
      <w:jc w:val="center"/>
    </w:pPr>
    <w:rPr>
      <w:rFonts w:ascii="Times New Roman" w:hAnsi="Times New Roman" w:eastAsia="黑体" w:cs="Times New Roman"/>
      <w:lang w:val="en-US" w:eastAsia="zh-CN" w:bidi="ar-SA"/>
    </w:rPr>
  </w:style>
  <w:style w:type="paragraph" w:customStyle="1" w:styleId="183">
    <w:name w:val="Text- Chinese"/>
    <w:basedOn w:val="1"/>
    <w:qFormat/>
    <w:uiPriority w:val="99"/>
    <w:pPr>
      <w:widowControl/>
      <w:suppressAutoHyphens/>
      <w:spacing w:before="100" w:after="100"/>
      <w:ind w:left="850"/>
      <w:jc w:val="left"/>
    </w:pPr>
    <w:rPr>
      <w:kern w:val="0"/>
      <w:sz w:val="24"/>
      <w:szCs w:val="20"/>
      <w:lang w:val="en-GB" w:eastAsia="ar-SA"/>
    </w:rPr>
  </w:style>
  <w:style w:type="paragraph" w:customStyle="1" w:styleId="184">
    <w:name w:val="样式 标题 2"/>
    <w:basedOn w:val="1"/>
    <w:next w:val="1"/>
    <w:qFormat/>
    <w:uiPriority w:val="99"/>
    <w:pPr>
      <w:tabs>
        <w:tab w:val="left" w:pos="1140"/>
      </w:tabs>
      <w:adjustRightInd w:val="0"/>
      <w:snapToGrid w:val="0"/>
      <w:spacing w:line="500" w:lineRule="exact"/>
      <w:ind w:left="1140" w:hanging="720"/>
    </w:pPr>
    <w:rPr>
      <w:b/>
      <w:bCs/>
      <w:sz w:val="24"/>
      <w:szCs w:val="20"/>
    </w:rPr>
  </w:style>
  <w:style w:type="paragraph" w:customStyle="1" w:styleId="185">
    <w:name w:val="表格，五宋"/>
    <w:qFormat/>
    <w:uiPriority w:val="99"/>
    <w:pPr>
      <w:keepNext/>
      <w:widowControl w:val="0"/>
      <w:adjustRightInd w:val="0"/>
      <w:spacing w:line="360" w:lineRule="exact"/>
      <w:jc w:val="center"/>
    </w:pPr>
    <w:rPr>
      <w:rFonts w:ascii="Times New Roman" w:hAnsi="Times New Roman" w:eastAsia="宋体" w:cs="Times New Roman"/>
      <w:kern w:val="2"/>
      <w:sz w:val="21"/>
      <w:lang w:val="en-US" w:eastAsia="zh-CN" w:bidi="ar-SA"/>
    </w:rPr>
  </w:style>
  <w:style w:type="paragraph" w:customStyle="1" w:styleId="186">
    <w:name w:val="Niv3 Puce3"/>
    <w:basedOn w:val="187"/>
    <w:qFormat/>
    <w:uiPriority w:val="99"/>
    <w:pPr>
      <w:ind w:left="1757" w:hanging="283"/>
    </w:pPr>
  </w:style>
  <w:style w:type="paragraph" w:customStyle="1" w:styleId="187">
    <w:name w:val="Niv3 Puce2"/>
    <w:basedOn w:val="169"/>
    <w:qFormat/>
    <w:uiPriority w:val="99"/>
    <w:pPr>
      <w:ind w:left="1418"/>
    </w:pPr>
  </w:style>
  <w:style w:type="paragraph" w:customStyle="1" w:styleId="188">
    <w:name w:val="Y标3"/>
    <w:basedOn w:val="5"/>
    <w:qFormat/>
    <w:uiPriority w:val="99"/>
    <w:pPr>
      <w:tabs>
        <w:tab w:val="left" w:pos="1815"/>
      </w:tabs>
      <w:spacing w:beforeLines="100"/>
      <w:ind w:left="1620" w:firstLine="0" w:firstLineChars="0"/>
    </w:pPr>
    <w:rPr>
      <w:rFonts w:ascii="宋体" w:hAnsi="宋体"/>
      <w:b w:val="0"/>
      <w:kern w:val="2"/>
      <w:szCs w:val="28"/>
    </w:rPr>
  </w:style>
  <w:style w:type="paragraph" w:customStyle="1" w:styleId="189">
    <w:name w:val="H6"/>
    <w:basedOn w:val="1"/>
    <w:next w:val="1"/>
    <w:qFormat/>
    <w:uiPriority w:val="99"/>
    <w:pPr>
      <w:keepNext/>
      <w:spacing w:before="100" w:after="100"/>
      <w:jc w:val="left"/>
    </w:pPr>
    <w:rPr>
      <w:b/>
      <w:kern w:val="0"/>
      <w:sz w:val="16"/>
      <w:szCs w:val="20"/>
      <w:lang w:val="fr-FR" w:eastAsia="fr-FR"/>
    </w:rPr>
  </w:style>
  <w:style w:type="paragraph" w:customStyle="1" w:styleId="190">
    <w:name w:val="Tiret[0]"/>
    <w:basedOn w:val="1"/>
    <w:qFormat/>
    <w:uiPriority w:val="99"/>
    <w:pPr>
      <w:widowControl/>
      <w:spacing w:before="60" w:after="60"/>
      <w:ind w:left="567" w:hanging="283"/>
    </w:pPr>
    <w:rPr>
      <w:kern w:val="0"/>
      <w:sz w:val="24"/>
      <w:szCs w:val="20"/>
      <w:lang w:val="fr-FR" w:eastAsia="fr-FR"/>
    </w:rPr>
  </w:style>
  <w:style w:type="paragraph" w:customStyle="1" w:styleId="191">
    <w:name w:val="WW-标签"/>
    <w:basedOn w:val="1"/>
    <w:qFormat/>
    <w:uiPriority w:val="99"/>
    <w:pPr>
      <w:suppressLineNumbers/>
      <w:suppressAutoHyphens/>
      <w:spacing w:before="120" w:after="120"/>
    </w:pPr>
    <w:rPr>
      <w:rFonts w:cs="Tahoma"/>
      <w:i/>
      <w:iCs/>
      <w:kern w:val="1"/>
      <w:sz w:val="20"/>
      <w:szCs w:val="20"/>
      <w:lang w:eastAsia="ar-SA"/>
    </w:rPr>
  </w:style>
  <w:style w:type="paragraph" w:customStyle="1" w:styleId="192">
    <w:name w:val="标签"/>
    <w:basedOn w:val="1"/>
    <w:qFormat/>
    <w:uiPriority w:val="99"/>
    <w:pPr>
      <w:suppressLineNumbers/>
      <w:suppressAutoHyphens/>
      <w:spacing w:before="120" w:after="120"/>
    </w:pPr>
    <w:rPr>
      <w:rFonts w:cs="Tahoma"/>
      <w:i/>
      <w:iCs/>
      <w:kern w:val="1"/>
      <w:sz w:val="20"/>
      <w:szCs w:val="20"/>
      <w:lang w:eastAsia="ar-SA"/>
    </w:rPr>
  </w:style>
  <w:style w:type="paragraph" w:customStyle="1" w:styleId="193">
    <w:name w:val="PARA 3"/>
    <w:basedOn w:val="1"/>
    <w:qFormat/>
    <w:uiPriority w:val="99"/>
    <w:pPr>
      <w:widowControl/>
      <w:spacing w:before="40"/>
      <w:ind w:left="794" w:right="454"/>
    </w:pPr>
    <w:rPr>
      <w:kern w:val="0"/>
      <w:sz w:val="24"/>
      <w:szCs w:val="20"/>
      <w:lang w:val="fr-FR" w:eastAsia="fr-FR"/>
    </w:rPr>
  </w:style>
  <w:style w:type="paragraph" w:customStyle="1" w:styleId="194">
    <w:name w:val="Enumération[2]"/>
    <w:basedOn w:val="1"/>
    <w:qFormat/>
    <w:uiPriority w:val="99"/>
    <w:pPr>
      <w:widowControl/>
      <w:spacing w:before="60" w:after="60"/>
      <w:ind w:left="1985" w:hanging="284"/>
    </w:pPr>
    <w:rPr>
      <w:kern w:val="0"/>
      <w:sz w:val="24"/>
      <w:szCs w:val="20"/>
      <w:lang w:val="fr-FR" w:eastAsia="fr-FR"/>
    </w:rPr>
  </w:style>
  <w:style w:type="paragraph" w:customStyle="1" w:styleId="195">
    <w:name w:val="!表格内文字"/>
    <w:basedOn w:val="33"/>
    <w:qFormat/>
    <w:uiPriority w:val="99"/>
    <w:pPr>
      <w:spacing w:line="0" w:lineRule="atLeast"/>
      <w:jc w:val="center"/>
    </w:pPr>
    <w:rPr>
      <w:rFonts w:hAnsi="宋体" w:cs="宋体"/>
      <w:kern w:val="2"/>
      <w:sz w:val="24"/>
      <w:szCs w:val="24"/>
    </w:rPr>
  </w:style>
  <w:style w:type="paragraph" w:customStyle="1" w:styleId="196">
    <w:name w:val="Annexe n"/>
    <w:basedOn w:val="1"/>
    <w:qFormat/>
    <w:uiPriority w:val="99"/>
    <w:pPr>
      <w:widowControl/>
      <w:ind w:right="454"/>
      <w:jc w:val="left"/>
    </w:pPr>
    <w:rPr>
      <w:rFonts w:ascii="Arial" w:hAnsi="Arial"/>
      <w:b/>
      <w:caps/>
      <w:kern w:val="0"/>
      <w:sz w:val="24"/>
      <w:szCs w:val="20"/>
      <w:lang w:val="fr-FR" w:eastAsia="fr-FR"/>
    </w:rPr>
  </w:style>
  <w:style w:type="paragraph" w:customStyle="1" w:styleId="197">
    <w:name w:val="Niv1 Puce1"/>
    <w:basedOn w:val="1"/>
    <w:qFormat/>
    <w:uiPriority w:val="99"/>
    <w:pPr>
      <w:widowControl/>
      <w:spacing w:before="60" w:after="60"/>
      <w:ind w:left="738" w:right="454" w:hanging="284"/>
    </w:pPr>
    <w:rPr>
      <w:kern w:val="0"/>
      <w:sz w:val="24"/>
      <w:szCs w:val="20"/>
      <w:lang w:val="fr-FR" w:eastAsia="fr-FR"/>
    </w:rPr>
  </w:style>
  <w:style w:type="paragraph" w:customStyle="1" w:styleId="198">
    <w:name w:val="Char Char Char Char Char Char Char Char Char1 Char Char Char Char Char Char Char"/>
    <w:basedOn w:val="1"/>
    <w:qFormat/>
    <w:uiPriority w:val="99"/>
    <w:pPr>
      <w:spacing w:line="360" w:lineRule="auto"/>
      <w:ind w:firstLine="200" w:firstLineChars="200"/>
    </w:pPr>
    <w:rPr>
      <w:rFonts w:ascii="宋体" w:hAnsi="宋体" w:cs="宋体"/>
      <w:sz w:val="24"/>
    </w:rPr>
  </w:style>
  <w:style w:type="paragraph" w:customStyle="1" w:styleId="199">
    <w:name w:val="资质部分"/>
    <w:basedOn w:val="1"/>
    <w:next w:val="1"/>
    <w:qFormat/>
    <w:uiPriority w:val="99"/>
    <w:pPr>
      <w:spacing w:before="150" w:line="360" w:lineRule="auto"/>
      <w:ind w:firstLine="420" w:firstLineChars="200"/>
      <w:jc w:val="left"/>
    </w:pPr>
    <w:rPr>
      <w:rFonts w:ascii="宋体" w:hAnsi="宋体"/>
      <w:kern w:val="0"/>
      <w:szCs w:val="21"/>
    </w:rPr>
  </w:style>
  <w:style w:type="paragraph" w:customStyle="1" w:styleId="200">
    <w:name w:val="题1.1"/>
    <w:basedOn w:val="1"/>
    <w:qFormat/>
    <w:uiPriority w:val="99"/>
    <w:pPr>
      <w:adjustRightInd w:val="0"/>
      <w:spacing w:after="60"/>
      <w:ind w:left="454" w:firstLine="454"/>
      <w:textAlignment w:val="baseline"/>
    </w:pPr>
    <w:rPr>
      <w:rFonts w:ascii="楷体_GB2312" w:eastAsia="楷体_GB2312"/>
      <w:spacing w:val="15"/>
      <w:kern w:val="0"/>
      <w:szCs w:val="20"/>
    </w:rPr>
  </w:style>
  <w:style w:type="paragraph" w:customStyle="1" w:styleId="201">
    <w:name w:val="7"/>
    <w:basedOn w:val="1"/>
    <w:next w:val="29"/>
    <w:qFormat/>
    <w:uiPriority w:val="99"/>
    <w:pPr>
      <w:tabs>
        <w:tab w:val="left" w:pos="840"/>
      </w:tabs>
      <w:suppressAutoHyphens/>
      <w:wordWrap w:val="0"/>
      <w:overflowPunct w:val="0"/>
      <w:autoSpaceDE w:val="0"/>
      <w:autoSpaceDN w:val="0"/>
      <w:adjustRightInd w:val="0"/>
      <w:snapToGrid w:val="0"/>
      <w:spacing w:line="360" w:lineRule="auto"/>
      <w:ind w:left="600"/>
    </w:pPr>
    <w:rPr>
      <w:rFonts w:ascii="宋体" w:hAnsi="MS Sans Serif"/>
      <w:sz w:val="24"/>
      <w:szCs w:val="20"/>
    </w:rPr>
  </w:style>
  <w:style w:type="paragraph" w:customStyle="1" w:styleId="202">
    <w:name w:val="texte2"/>
    <w:basedOn w:val="1"/>
    <w:qFormat/>
    <w:uiPriority w:val="99"/>
    <w:pPr>
      <w:widowControl/>
      <w:tabs>
        <w:tab w:val="left" w:pos="1418"/>
      </w:tabs>
      <w:ind w:left="1134"/>
    </w:pPr>
    <w:rPr>
      <w:rFonts w:ascii="Helv" w:hAnsi="Helv"/>
      <w:kern w:val="0"/>
      <w:sz w:val="20"/>
      <w:szCs w:val="20"/>
      <w:lang w:val="fr-FR" w:eastAsia="fr-FR"/>
    </w:rPr>
  </w:style>
  <w:style w:type="paragraph" w:customStyle="1" w:styleId="203">
    <w:name w:val="表格标题"/>
    <w:basedOn w:val="204"/>
    <w:qFormat/>
    <w:uiPriority w:val="99"/>
    <w:pPr>
      <w:jc w:val="center"/>
    </w:pPr>
    <w:rPr>
      <w:b/>
      <w:bCs/>
      <w:i/>
      <w:iCs/>
    </w:rPr>
  </w:style>
  <w:style w:type="paragraph" w:customStyle="1" w:styleId="204">
    <w:name w:val="表格内容"/>
    <w:basedOn w:val="2"/>
    <w:qFormat/>
    <w:uiPriority w:val="99"/>
    <w:pPr>
      <w:suppressLineNumbers/>
      <w:suppressAutoHyphens/>
      <w:snapToGrid/>
      <w:spacing w:after="120" w:line="240" w:lineRule="auto"/>
    </w:pPr>
    <w:rPr>
      <w:kern w:val="1"/>
      <w:sz w:val="21"/>
      <w:szCs w:val="24"/>
      <w:lang w:eastAsia="ar-SA"/>
    </w:rPr>
  </w:style>
  <w:style w:type="paragraph" w:customStyle="1" w:styleId="205">
    <w:name w:val="Char Char Char Char"/>
    <w:basedOn w:val="1"/>
    <w:qFormat/>
    <w:uiPriority w:val="99"/>
    <w:rPr>
      <w:rFonts w:ascii="仿宋_GB2312" w:eastAsia="仿宋_GB2312"/>
      <w:b/>
      <w:sz w:val="32"/>
      <w:szCs w:val="32"/>
    </w:rPr>
  </w:style>
  <w:style w:type="paragraph" w:customStyle="1" w:styleId="206">
    <w:name w:val="Niv4 Puce4"/>
    <w:basedOn w:val="175"/>
    <w:qFormat/>
    <w:uiPriority w:val="99"/>
    <w:pPr>
      <w:ind w:left="2098"/>
    </w:pPr>
  </w:style>
  <w:style w:type="paragraph" w:customStyle="1" w:styleId="207">
    <w:name w:val="Niv5 Puce2"/>
    <w:basedOn w:val="208"/>
    <w:qFormat/>
    <w:uiPriority w:val="99"/>
    <w:pPr>
      <w:ind w:left="1702"/>
    </w:pPr>
  </w:style>
  <w:style w:type="paragraph" w:customStyle="1" w:styleId="208">
    <w:name w:val="Niv4 Puce2"/>
    <w:basedOn w:val="187"/>
    <w:qFormat/>
    <w:uiPriority w:val="99"/>
    <w:pPr>
      <w:ind w:left="1531"/>
    </w:pPr>
  </w:style>
  <w:style w:type="paragraph" w:customStyle="1" w:styleId="209">
    <w:name w:val="Texte_pointé"/>
    <w:basedOn w:val="1"/>
    <w:qFormat/>
    <w:uiPriority w:val="99"/>
    <w:pPr>
      <w:widowControl/>
      <w:spacing w:before="60" w:after="60"/>
      <w:ind w:left="1135" w:hanging="284"/>
    </w:pPr>
    <w:rPr>
      <w:kern w:val="0"/>
      <w:sz w:val="24"/>
      <w:szCs w:val="20"/>
      <w:lang w:val="fr-FR" w:eastAsia="fr-FR"/>
    </w:rPr>
  </w:style>
  <w:style w:type="paragraph" w:customStyle="1" w:styleId="210">
    <w:name w:val="PARA Note"/>
    <w:basedOn w:val="1"/>
    <w:qFormat/>
    <w:uiPriority w:val="99"/>
    <w:pPr>
      <w:widowControl/>
      <w:spacing w:after="120"/>
      <w:ind w:left="1134" w:right="1134"/>
    </w:pPr>
    <w:rPr>
      <w:kern w:val="0"/>
      <w:sz w:val="24"/>
      <w:szCs w:val="20"/>
      <w:lang w:val="fr-FR" w:eastAsia="fr-FR"/>
    </w:rPr>
  </w:style>
  <w:style w:type="paragraph" w:customStyle="1" w:styleId="211">
    <w:name w:val="附录 2"/>
    <w:next w:val="156"/>
    <w:qFormat/>
    <w:uiPriority w:val="99"/>
    <w:pPr>
      <w:tabs>
        <w:tab w:val="left" w:pos="2100"/>
      </w:tabs>
      <w:spacing w:before="100" w:beforeAutospacing="1" w:after="100" w:afterAutospacing="1" w:line="310" w:lineRule="exact"/>
      <w:ind w:left="2100" w:hanging="420"/>
    </w:pPr>
    <w:rPr>
      <w:rFonts w:ascii="Times New Roman" w:hAnsi="Times New Roman" w:eastAsia="黑体" w:cs="Times New Roman"/>
      <w:sz w:val="21"/>
      <w:lang w:val="en-US" w:eastAsia="zh-CN" w:bidi="ar-SA"/>
    </w:rPr>
  </w:style>
  <w:style w:type="paragraph" w:customStyle="1" w:styleId="212">
    <w:name w:val="xl36"/>
    <w:basedOn w:val="1"/>
    <w:qFormat/>
    <w:uiPriority w:val="99"/>
    <w:pPr>
      <w:widowControl/>
      <w:pBdr>
        <w:top w:val="single" w:color="808080" w:sz="4" w:space="0"/>
      </w:pBdr>
      <w:spacing w:before="100" w:beforeAutospacing="1" w:after="100" w:afterAutospacing="1"/>
      <w:jc w:val="left"/>
      <w:textAlignment w:val="top"/>
    </w:pPr>
    <w:rPr>
      <w:rFonts w:ascii="Arial" w:hAnsi="Arial" w:eastAsia="Arial Unicode MS" w:cs="Arial"/>
      <w:kern w:val="0"/>
      <w:sz w:val="16"/>
      <w:szCs w:val="16"/>
      <w:lang w:val="fr-FR" w:eastAsia="fr-FR"/>
    </w:rPr>
  </w:style>
  <w:style w:type="paragraph" w:customStyle="1" w:styleId="213">
    <w:name w:val="Niv5 Puce4"/>
    <w:basedOn w:val="206"/>
    <w:qFormat/>
    <w:uiPriority w:val="99"/>
    <w:pPr>
      <w:ind w:left="2269"/>
    </w:pPr>
  </w:style>
  <w:style w:type="paragraph" w:customStyle="1" w:styleId="214">
    <w:name w:val="Tiret[4]"/>
    <w:basedOn w:val="1"/>
    <w:qFormat/>
    <w:uiPriority w:val="99"/>
    <w:pPr>
      <w:widowControl/>
      <w:tabs>
        <w:tab w:val="left" w:pos="8647"/>
      </w:tabs>
      <w:spacing w:before="60" w:after="60"/>
      <w:ind w:left="3119" w:hanging="284"/>
    </w:pPr>
    <w:rPr>
      <w:kern w:val="0"/>
      <w:sz w:val="24"/>
      <w:szCs w:val="20"/>
      <w:lang w:val="fr-FR" w:eastAsia="fr-FR"/>
    </w:rPr>
  </w:style>
  <w:style w:type="paragraph" w:customStyle="1" w:styleId="215">
    <w:name w:val="PY正文条（1.1.1)"/>
    <w:basedOn w:val="1"/>
    <w:qFormat/>
    <w:uiPriority w:val="99"/>
    <w:pPr>
      <w:snapToGrid w:val="0"/>
      <w:spacing w:line="360" w:lineRule="auto"/>
      <w:ind w:left="422" w:hanging="422" w:hangingChars="150"/>
    </w:pPr>
    <w:rPr>
      <w:rFonts w:ascii="楷体_GB2312" w:hAnsi="宋体" w:eastAsia="楷体_GB2312"/>
      <w:b/>
      <w:color w:val="000000"/>
      <w:sz w:val="28"/>
      <w:szCs w:val="28"/>
    </w:rPr>
  </w:style>
  <w:style w:type="paragraph" w:customStyle="1" w:styleId="216">
    <w:name w:val="Niv1 Puce5"/>
    <w:basedOn w:val="1"/>
    <w:qFormat/>
    <w:uiPriority w:val="99"/>
    <w:pPr>
      <w:widowControl/>
      <w:spacing w:before="20" w:after="20"/>
      <w:ind w:left="1928" w:right="454" w:hanging="340"/>
    </w:pPr>
    <w:rPr>
      <w:kern w:val="0"/>
      <w:sz w:val="24"/>
      <w:szCs w:val="20"/>
      <w:lang w:val="fr-FR" w:eastAsia="fr-FR"/>
    </w:rPr>
  </w:style>
  <w:style w:type="paragraph" w:customStyle="1" w:styleId="217">
    <w:name w:val="1级标题"/>
    <w:basedOn w:val="102"/>
    <w:qFormat/>
    <w:uiPriority w:val="0"/>
    <w:pPr>
      <w:widowControl w:val="0"/>
      <w:tabs>
        <w:tab w:val="clear" w:pos="780"/>
        <w:tab w:val="clear" w:pos="1680"/>
      </w:tabs>
      <w:spacing w:before="0" w:after="0"/>
      <w:ind w:left="0"/>
    </w:pPr>
    <w:rPr>
      <w:rFonts w:ascii="Times New Roman"/>
      <w:b/>
      <w:spacing w:val="0"/>
      <w:w w:val="100"/>
      <w:sz w:val="32"/>
      <w:szCs w:val="32"/>
    </w:rPr>
  </w:style>
  <w:style w:type="paragraph" w:customStyle="1" w:styleId="218">
    <w:name w:val="样式 !三级标题 + 段前: 5 磅 段后: 5 磅 行距: 固定值 15 磅"/>
    <w:basedOn w:val="1"/>
    <w:qFormat/>
    <w:uiPriority w:val="99"/>
    <w:pPr>
      <w:keepNext/>
      <w:keepLines/>
      <w:adjustRightInd w:val="0"/>
      <w:snapToGrid w:val="0"/>
      <w:outlineLvl w:val="2"/>
    </w:pPr>
    <w:rPr>
      <w:rFonts w:cs="宋体"/>
      <w:kern w:val="0"/>
      <w:szCs w:val="20"/>
    </w:rPr>
  </w:style>
  <w:style w:type="paragraph" w:customStyle="1" w:styleId="219">
    <w:name w:val="Gliederung a)"/>
    <w:basedOn w:val="220"/>
    <w:qFormat/>
    <w:uiPriority w:val="99"/>
    <w:pPr>
      <w:tabs>
        <w:tab w:val="left" w:pos="360"/>
        <w:tab w:val="left" w:pos="720"/>
        <w:tab w:val="left" w:pos="795"/>
      </w:tabs>
      <w:ind w:left="795" w:hanging="360"/>
    </w:pPr>
  </w:style>
  <w:style w:type="paragraph" w:customStyle="1" w:styleId="220">
    <w:name w:val="Gliederung 1)"/>
    <w:basedOn w:val="1"/>
    <w:qFormat/>
    <w:uiPriority w:val="99"/>
    <w:pPr>
      <w:keepNext/>
      <w:widowControl/>
      <w:tabs>
        <w:tab w:val="left" w:pos="357"/>
      </w:tabs>
      <w:ind w:left="3075" w:firstLine="360"/>
      <w:jc w:val="left"/>
    </w:pPr>
    <w:rPr>
      <w:rFonts w:ascii="Helvetica (PCL6)" w:hAnsi="Helvetica (PCL6)"/>
      <w:kern w:val="0"/>
      <w:sz w:val="20"/>
      <w:szCs w:val="20"/>
      <w:lang w:val="de-CH" w:eastAsia="de-DE"/>
    </w:rPr>
  </w:style>
  <w:style w:type="paragraph" w:customStyle="1" w:styleId="221">
    <w:name w:val="招标文件》"/>
    <w:basedOn w:val="102"/>
    <w:qFormat/>
    <w:uiPriority w:val="99"/>
    <w:pPr>
      <w:tabs>
        <w:tab w:val="left" w:pos="1995"/>
        <w:tab w:val="clear" w:pos="1680"/>
      </w:tabs>
      <w:ind w:left="1995" w:hanging="720" w:firstLineChars="0"/>
    </w:pPr>
  </w:style>
  <w:style w:type="paragraph" w:customStyle="1" w:styleId="222">
    <w:name w:val="Normal 2"/>
    <w:basedOn w:val="1"/>
    <w:qFormat/>
    <w:uiPriority w:val="99"/>
    <w:pPr>
      <w:widowControl/>
      <w:ind w:left="1134" w:right="283"/>
      <w:jc w:val="left"/>
    </w:pPr>
    <w:rPr>
      <w:kern w:val="0"/>
      <w:sz w:val="24"/>
      <w:szCs w:val="20"/>
      <w:lang w:val="fr-FR" w:eastAsia="fr-FR"/>
    </w:rPr>
  </w:style>
  <w:style w:type="paragraph" w:customStyle="1" w:styleId="223">
    <w:name w:val="ee"/>
    <w:basedOn w:val="1"/>
    <w:qFormat/>
    <w:uiPriority w:val="99"/>
    <w:pPr>
      <w:widowControl/>
      <w:spacing w:before="100" w:beforeAutospacing="1" w:after="100" w:afterAutospacing="1" w:line="300" w:lineRule="atLeast"/>
      <w:jc w:val="left"/>
    </w:pPr>
    <w:rPr>
      <w:rFonts w:hint="eastAsia" w:ascii="宋体" w:hAnsi="宋体"/>
      <w:color w:val="000000"/>
      <w:kern w:val="0"/>
      <w:sz w:val="18"/>
      <w:szCs w:val="18"/>
    </w:rPr>
  </w:style>
  <w:style w:type="paragraph" w:customStyle="1" w:styleId="224">
    <w:name w:val="Texte"/>
    <w:basedOn w:val="1"/>
    <w:qFormat/>
    <w:uiPriority w:val="99"/>
    <w:pPr>
      <w:widowControl/>
      <w:ind w:left="142" w:right="283"/>
    </w:pPr>
    <w:rPr>
      <w:kern w:val="0"/>
      <w:sz w:val="24"/>
      <w:szCs w:val="20"/>
      <w:lang w:val="fr-FR" w:eastAsia="fr-FR"/>
    </w:rPr>
  </w:style>
  <w:style w:type="paragraph" w:customStyle="1" w:styleId="225">
    <w:name w:val="xl33"/>
    <w:basedOn w:val="1"/>
    <w:qFormat/>
    <w:uiPriority w:val="99"/>
    <w:pPr>
      <w:widowControl/>
      <w:pBdr>
        <w:top w:val="single" w:color="808080" w:sz="4" w:space="0"/>
        <w:bottom w:val="single" w:color="808080" w:sz="8" w:space="0"/>
      </w:pBdr>
      <w:tabs>
        <w:tab w:val="left" w:pos="3087"/>
      </w:tabs>
      <w:spacing w:before="100" w:beforeAutospacing="1" w:after="100" w:afterAutospacing="1"/>
      <w:ind w:left="3087" w:hanging="420"/>
      <w:jc w:val="left"/>
      <w:textAlignment w:val="top"/>
    </w:pPr>
    <w:rPr>
      <w:rFonts w:ascii="Arial" w:hAnsi="Arial" w:eastAsia="Arial Unicode MS" w:cs="Arial"/>
      <w:kern w:val="0"/>
      <w:sz w:val="16"/>
      <w:szCs w:val="16"/>
      <w:lang w:val="fr-FR" w:eastAsia="fr-FR"/>
    </w:rPr>
  </w:style>
  <w:style w:type="paragraph" w:customStyle="1" w:styleId="226">
    <w:name w:val="xl23"/>
    <w:basedOn w:val="1"/>
    <w:qFormat/>
    <w:uiPriority w:val="99"/>
    <w:pPr>
      <w:widowControl/>
      <w:spacing w:before="100" w:beforeAutospacing="1" w:after="100" w:afterAutospacing="1"/>
      <w:jc w:val="left"/>
    </w:pPr>
    <w:rPr>
      <w:rFonts w:ascii="Arial" w:hAnsi="Arial" w:eastAsia="Arial Unicode MS" w:cs="Arial"/>
      <w:color w:val="333399"/>
      <w:kern w:val="0"/>
      <w:sz w:val="16"/>
      <w:szCs w:val="16"/>
      <w:lang w:val="fr-FR" w:eastAsia="fr-FR"/>
    </w:rPr>
  </w:style>
  <w:style w:type="paragraph" w:customStyle="1" w:styleId="227">
    <w:name w:val="Table Head"/>
    <w:basedOn w:val="228"/>
    <w:qFormat/>
    <w:uiPriority w:val="99"/>
    <w:pPr>
      <w:jc w:val="center"/>
    </w:pPr>
    <w:rPr>
      <w:b/>
    </w:rPr>
  </w:style>
  <w:style w:type="paragraph" w:customStyle="1" w:styleId="228">
    <w:name w:val="Table Text"/>
    <w:qFormat/>
    <w:uiPriority w:val="99"/>
    <w:pPr>
      <w:suppressAutoHyphens/>
      <w:spacing w:before="60" w:after="60"/>
    </w:pPr>
    <w:rPr>
      <w:rFonts w:ascii="Arial" w:hAnsi="Arial" w:eastAsia="Times New Roman" w:cs="Arial"/>
      <w:lang w:val="en-GB" w:eastAsia="ar-SA" w:bidi="ar-SA"/>
    </w:rPr>
  </w:style>
  <w:style w:type="paragraph" w:customStyle="1" w:styleId="229">
    <w:name w:val="条文 1"/>
    <w:next w:val="1"/>
    <w:qFormat/>
    <w:uiPriority w:val="99"/>
    <w:pPr>
      <w:tabs>
        <w:tab w:val="left" w:pos="840"/>
      </w:tabs>
      <w:spacing w:line="310" w:lineRule="exact"/>
    </w:pPr>
    <w:rPr>
      <w:rFonts w:ascii="Times New Roman" w:hAnsi="Times New Roman" w:eastAsia="黑体" w:cs="Times New Roman"/>
      <w:sz w:val="21"/>
      <w:lang w:val="en-US" w:eastAsia="zh-CN" w:bidi="ar-SA"/>
    </w:rPr>
  </w:style>
  <w:style w:type="paragraph" w:customStyle="1" w:styleId="230">
    <w:name w:val="样式4"/>
    <w:basedOn w:val="6"/>
    <w:next w:val="1"/>
    <w:qFormat/>
    <w:uiPriority w:val="99"/>
    <w:pPr>
      <w:widowControl/>
      <w:spacing w:before="100" w:after="100" w:line="240" w:lineRule="auto"/>
      <w:jc w:val="left"/>
    </w:pPr>
    <w:rPr>
      <w:rFonts w:eastAsia="宋体"/>
      <w:b w:val="0"/>
      <w:bCs w:val="0"/>
      <w:kern w:val="0"/>
      <w:sz w:val="24"/>
      <w:szCs w:val="20"/>
    </w:rPr>
  </w:style>
  <w:style w:type="paragraph" w:customStyle="1" w:styleId="231">
    <w:name w:val="Paragraphe[3]"/>
    <w:basedOn w:val="232"/>
    <w:qFormat/>
    <w:uiPriority w:val="99"/>
    <w:pPr>
      <w:ind w:left="2552" w:hanging="1701"/>
    </w:pPr>
  </w:style>
  <w:style w:type="paragraph" w:customStyle="1" w:styleId="232">
    <w:name w:val="Paragraphe[2]"/>
    <w:basedOn w:val="1"/>
    <w:qFormat/>
    <w:uiPriority w:val="99"/>
    <w:pPr>
      <w:widowControl/>
      <w:spacing w:before="60" w:after="60"/>
      <w:ind w:left="1985" w:hanging="1134"/>
    </w:pPr>
    <w:rPr>
      <w:color w:val="FF0000"/>
      <w:kern w:val="0"/>
      <w:sz w:val="24"/>
      <w:szCs w:val="20"/>
      <w:lang w:val="fr-FR" w:eastAsia="fr-FR"/>
    </w:rPr>
  </w:style>
  <w:style w:type="paragraph" w:customStyle="1" w:styleId="233">
    <w:name w:val="Niv5 Puce1"/>
    <w:basedOn w:val="234"/>
    <w:qFormat/>
    <w:uiPriority w:val="99"/>
    <w:pPr>
      <w:ind w:left="1418"/>
    </w:pPr>
  </w:style>
  <w:style w:type="paragraph" w:customStyle="1" w:styleId="234">
    <w:name w:val="Niv4 Puce1"/>
    <w:basedOn w:val="180"/>
    <w:qFormat/>
    <w:uiPriority w:val="99"/>
    <w:pPr>
      <w:ind w:left="1248"/>
    </w:pPr>
  </w:style>
  <w:style w:type="paragraph" w:customStyle="1" w:styleId="235">
    <w:name w:val="框内容"/>
    <w:basedOn w:val="2"/>
    <w:qFormat/>
    <w:uiPriority w:val="99"/>
    <w:pPr>
      <w:suppressAutoHyphens/>
      <w:snapToGrid/>
      <w:spacing w:after="120" w:line="240" w:lineRule="auto"/>
    </w:pPr>
    <w:rPr>
      <w:kern w:val="1"/>
      <w:sz w:val="21"/>
      <w:szCs w:val="24"/>
      <w:lang w:eastAsia="ar-SA"/>
    </w:rPr>
  </w:style>
  <w:style w:type="paragraph" w:customStyle="1" w:styleId="236">
    <w:name w:val="western"/>
    <w:basedOn w:val="1"/>
    <w:qFormat/>
    <w:uiPriority w:val="99"/>
    <w:pPr>
      <w:widowControl/>
      <w:jc w:val="left"/>
    </w:pPr>
    <w:rPr>
      <w:rFonts w:ascii="宋体" w:hAnsi="宋体" w:cs="宋体"/>
      <w:kern w:val="0"/>
      <w:sz w:val="24"/>
    </w:rPr>
  </w:style>
  <w:style w:type="paragraph" w:customStyle="1" w:styleId="237">
    <w:name w:val="条文 表"/>
    <w:next w:val="1"/>
    <w:qFormat/>
    <w:uiPriority w:val="99"/>
    <w:pPr>
      <w:tabs>
        <w:tab w:val="left" w:pos="840"/>
        <w:tab w:val="left" w:pos="1080"/>
      </w:tabs>
      <w:ind w:left="840" w:hanging="720"/>
      <w:jc w:val="center"/>
    </w:pPr>
    <w:rPr>
      <w:rFonts w:ascii="Times New Roman" w:hAnsi="Times New Roman" w:eastAsia="黑体" w:cs="Times New Roman"/>
      <w:sz w:val="21"/>
      <w:lang w:val="en-US" w:eastAsia="zh-CN" w:bidi="ar-SA"/>
    </w:rPr>
  </w:style>
  <w:style w:type="paragraph" w:customStyle="1" w:styleId="238">
    <w:name w:val="菲页1"/>
    <w:basedOn w:val="4"/>
    <w:qFormat/>
    <w:uiPriority w:val="99"/>
    <w:pPr>
      <w:widowControl/>
      <w:spacing w:before="260" w:after="260" w:line="413" w:lineRule="auto"/>
    </w:pPr>
    <w:rPr>
      <w:rFonts w:ascii="黑体" w:hAnsi="宋体" w:eastAsia="黑体"/>
      <w:b w:val="0"/>
      <w:sz w:val="52"/>
      <w:szCs w:val="20"/>
    </w:rPr>
  </w:style>
  <w:style w:type="paragraph" w:customStyle="1" w:styleId="239">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240">
    <w:name w:val="texte3"/>
    <w:basedOn w:val="5"/>
    <w:qFormat/>
    <w:uiPriority w:val="99"/>
    <w:pPr>
      <w:keepNext w:val="0"/>
      <w:keepLines w:val="0"/>
      <w:widowControl/>
      <w:tabs>
        <w:tab w:val="left" w:pos="1134"/>
        <w:tab w:val="left" w:pos="1701"/>
      </w:tabs>
      <w:spacing w:line="240" w:lineRule="auto"/>
      <w:ind w:left="1418" w:firstLine="0" w:firstLineChars="0"/>
      <w:jc w:val="both"/>
      <w:outlineLvl w:val="9"/>
    </w:pPr>
    <w:rPr>
      <w:rFonts w:ascii="Arial" w:hAnsi="Arial"/>
      <w:b w:val="0"/>
      <w:bCs w:val="0"/>
      <w:sz w:val="20"/>
      <w:szCs w:val="20"/>
      <w:lang w:val="fr-FR" w:eastAsia="fr-FR"/>
    </w:rPr>
  </w:style>
  <w:style w:type="paragraph" w:customStyle="1" w:styleId="241">
    <w:name w:val="样式 标题 3 + 两端对齐 左侧:  0.14 厘米"/>
    <w:basedOn w:val="5"/>
    <w:qFormat/>
    <w:uiPriority w:val="99"/>
    <w:pPr>
      <w:keepLines w:val="0"/>
      <w:overflowPunct w:val="0"/>
      <w:topLinePunct/>
      <w:autoSpaceDE w:val="0"/>
      <w:autoSpaceDN w:val="0"/>
      <w:adjustRightInd w:val="0"/>
      <w:ind w:left="80" w:firstLine="0" w:firstLineChars="0"/>
      <w:jc w:val="both"/>
      <w:textAlignment w:val="baseline"/>
    </w:pPr>
    <w:rPr>
      <w:rFonts w:ascii="Arial" w:hAnsi="Arial" w:cs="Arial"/>
      <w:color w:val="000000"/>
      <w:spacing w:val="10"/>
      <w:szCs w:val="24"/>
    </w:rPr>
  </w:style>
  <w:style w:type="paragraph" w:customStyle="1" w:styleId="242">
    <w:name w:val="Char Char Char Char Char Char Char Char Char Char Char"/>
    <w:qFormat/>
    <w:uiPriority w:val="99"/>
    <w:pPr>
      <w:widowControl w:val="0"/>
      <w:spacing w:line="300" w:lineRule="auto"/>
      <w:ind w:firstLine="480" w:firstLineChars="200"/>
      <w:jc w:val="both"/>
    </w:pPr>
    <w:rPr>
      <w:rFonts w:ascii="Times New Roman" w:hAnsi="Times New Roman" w:eastAsia="宋体" w:cs="Times New Roman"/>
      <w:kern w:val="2"/>
      <w:sz w:val="21"/>
      <w:szCs w:val="24"/>
      <w:lang w:val="en-US" w:eastAsia="zh-CN" w:bidi="ar-SA"/>
    </w:rPr>
  </w:style>
  <w:style w:type="paragraph" w:customStyle="1" w:styleId="243">
    <w:name w:val="Texte_pointé[0]"/>
    <w:basedOn w:val="1"/>
    <w:qFormat/>
    <w:uiPriority w:val="99"/>
    <w:pPr>
      <w:widowControl/>
      <w:spacing w:before="60" w:after="60"/>
      <w:ind w:left="1135" w:hanging="284"/>
    </w:pPr>
    <w:rPr>
      <w:kern w:val="0"/>
      <w:sz w:val="24"/>
      <w:szCs w:val="20"/>
      <w:lang w:val="fr-FR" w:eastAsia="fr-FR"/>
    </w:rPr>
  </w:style>
  <w:style w:type="paragraph" w:customStyle="1" w:styleId="244">
    <w:name w:val="font9"/>
    <w:basedOn w:val="1"/>
    <w:qFormat/>
    <w:uiPriority w:val="0"/>
    <w:pPr>
      <w:widowControl/>
      <w:spacing w:before="100" w:beforeAutospacing="1" w:after="100" w:afterAutospacing="1"/>
      <w:jc w:val="left"/>
    </w:pPr>
    <w:rPr>
      <w:kern w:val="0"/>
      <w:sz w:val="24"/>
    </w:rPr>
  </w:style>
  <w:style w:type="paragraph" w:customStyle="1" w:styleId="245">
    <w:name w:val="WW-表格内容"/>
    <w:basedOn w:val="2"/>
    <w:qFormat/>
    <w:uiPriority w:val="99"/>
    <w:pPr>
      <w:suppressLineNumbers/>
      <w:suppressAutoHyphens/>
      <w:snapToGrid/>
      <w:spacing w:after="120" w:line="240" w:lineRule="auto"/>
    </w:pPr>
    <w:rPr>
      <w:kern w:val="1"/>
      <w:sz w:val="21"/>
      <w:szCs w:val="24"/>
      <w:lang w:eastAsia="ar-SA"/>
    </w:rPr>
  </w:style>
  <w:style w:type="paragraph" w:customStyle="1" w:styleId="246">
    <w:name w:val="Char2"/>
    <w:basedOn w:val="1"/>
    <w:qFormat/>
    <w:uiPriority w:val="0"/>
    <w:pPr>
      <w:spacing w:line="360" w:lineRule="auto"/>
      <w:ind w:firstLine="200" w:firstLineChars="200"/>
    </w:pPr>
  </w:style>
  <w:style w:type="paragraph" w:customStyle="1" w:styleId="247">
    <w:name w:val="Paragraphe[0]"/>
    <w:basedOn w:val="1"/>
    <w:qFormat/>
    <w:uiPriority w:val="99"/>
    <w:pPr>
      <w:widowControl/>
      <w:spacing w:before="120" w:after="60"/>
      <w:ind w:left="567"/>
    </w:pPr>
    <w:rPr>
      <w:color w:val="0000FF"/>
      <w:kern w:val="0"/>
      <w:sz w:val="24"/>
      <w:szCs w:val="20"/>
      <w:u w:val="single"/>
      <w:lang w:val="fr-FR" w:eastAsia="fr-FR"/>
    </w:rPr>
  </w:style>
  <w:style w:type="paragraph" w:customStyle="1" w:styleId="248">
    <w:name w:val="Body Text 21"/>
    <w:basedOn w:val="1"/>
    <w:qFormat/>
    <w:uiPriority w:val="99"/>
    <w:pPr>
      <w:widowControl/>
      <w:ind w:right="283"/>
      <w:jc w:val="left"/>
    </w:pPr>
    <w:rPr>
      <w:rFonts w:ascii="Arial" w:hAnsi="Arial"/>
      <w:b/>
      <w:color w:val="000000"/>
      <w:kern w:val="0"/>
      <w:sz w:val="24"/>
      <w:szCs w:val="20"/>
      <w:lang w:val="fr-FR" w:eastAsia="fr-FR"/>
    </w:rPr>
  </w:style>
  <w:style w:type="paragraph" w:customStyle="1" w:styleId="249">
    <w:name w:val="Normal réduit"/>
    <w:basedOn w:val="1"/>
    <w:qFormat/>
    <w:uiPriority w:val="99"/>
    <w:pPr>
      <w:widowControl/>
      <w:ind w:left="57"/>
      <w:jc w:val="left"/>
    </w:pPr>
    <w:rPr>
      <w:kern w:val="0"/>
      <w:sz w:val="20"/>
      <w:szCs w:val="20"/>
      <w:lang w:val="fr-FR" w:eastAsia="fr-FR"/>
    </w:rPr>
  </w:style>
  <w:style w:type="paragraph" w:customStyle="1" w:styleId="250">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51">
    <w:name w:val="xl43"/>
    <w:basedOn w:val="1"/>
    <w:qFormat/>
    <w:uiPriority w:val="99"/>
    <w:pPr>
      <w:widowControl/>
      <w:pBdr>
        <w:bottom w:val="single" w:color="auto" w:sz="8" w:space="0"/>
        <w:right w:val="single" w:color="auto" w:sz="8" w:space="0"/>
      </w:pBdr>
      <w:shd w:val="clear" w:color="auto" w:fill="FFFF00"/>
      <w:tabs>
        <w:tab w:val="left" w:pos="1740"/>
      </w:tabs>
      <w:spacing w:before="100" w:beforeAutospacing="1" w:after="100" w:afterAutospacing="1"/>
      <w:jc w:val="left"/>
    </w:pPr>
    <w:rPr>
      <w:rFonts w:ascii="宋体" w:hAnsi="宋体" w:cs="宋体"/>
      <w:b/>
      <w:bCs/>
      <w:kern w:val="0"/>
      <w:sz w:val="16"/>
      <w:szCs w:val="16"/>
    </w:rPr>
  </w:style>
  <w:style w:type="paragraph" w:customStyle="1" w:styleId="252">
    <w:name w:val="font8"/>
    <w:basedOn w:val="1"/>
    <w:qFormat/>
    <w:uiPriority w:val="0"/>
    <w:pPr>
      <w:widowControl/>
      <w:spacing w:before="100" w:beforeAutospacing="1" w:after="100" w:afterAutospacing="1"/>
      <w:jc w:val="left"/>
    </w:pPr>
    <w:rPr>
      <w:rFonts w:hint="eastAsia" w:ascii="宋体" w:hAnsi="宋体"/>
      <w:kern w:val="0"/>
      <w:sz w:val="20"/>
      <w:szCs w:val="20"/>
    </w:rPr>
  </w:style>
  <w:style w:type="paragraph" w:customStyle="1" w:styleId="253">
    <w:name w:val="引言 表"/>
    <w:next w:val="1"/>
    <w:qFormat/>
    <w:uiPriority w:val="99"/>
    <w:pPr>
      <w:tabs>
        <w:tab w:val="left" w:pos="1440"/>
        <w:tab w:val="left" w:pos="3360"/>
      </w:tabs>
      <w:ind w:left="1440" w:hanging="1440"/>
      <w:jc w:val="center"/>
    </w:pPr>
    <w:rPr>
      <w:rFonts w:ascii="Times New Roman" w:hAnsi="Times New Roman" w:eastAsia="黑体" w:cs="Times New Roman"/>
      <w:lang w:val="en-US" w:eastAsia="zh-CN" w:bidi="ar-SA"/>
    </w:rPr>
  </w:style>
  <w:style w:type="paragraph" w:customStyle="1" w:styleId="254">
    <w:name w:val="Section[2]"/>
    <w:qFormat/>
    <w:uiPriority w:val="99"/>
    <w:pPr>
      <w:keepNext/>
      <w:tabs>
        <w:tab w:val="left" w:pos="1417"/>
      </w:tabs>
      <w:spacing w:before="240" w:after="120" w:line="276" w:lineRule="auto"/>
      <w:ind w:left="1417" w:hanging="1418"/>
    </w:pPr>
    <w:rPr>
      <w:rFonts w:ascii="Times New Roman" w:hAnsi="Times New Roman" w:eastAsia="宋体" w:cs="Times New Roman"/>
      <w:b/>
      <w:color w:val="C0C0C0"/>
      <w:sz w:val="24"/>
      <w:lang w:val="fr-FR" w:eastAsia="fr-FR" w:bidi="ar-SA"/>
    </w:rPr>
  </w:style>
  <w:style w:type="paragraph" w:customStyle="1" w:styleId="255">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kern w:val="0"/>
      <w:sz w:val="20"/>
      <w:szCs w:val="20"/>
    </w:rPr>
  </w:style>
  <w:style w:type="paragraph" w:customStyle="1" w:styleId="256">
    <w:name w:val="En-tête italienne"/>
    <w:basedOn w:val="1"/>
    <w:qFormat/>
    <w:uiPriority w:val="99"/>
    <w:pPr>
      <w:widowControl/>
      <w:tabs>
        <w:tab w:val="center" w:pos="7088"/>
        <w:tab w:val="right" w:pos="13892"/>
      </w:tabs>
      <w:ind w:left="142" w:right="283"/>
      <w:jc w:val="left"/>
    </w:pPr>
    <w:rPr>
      <w:kern w:val="0"/>
      <w:sz w:val="24"/>
      <w:szCs w:val="20"/>
      <w:lang w:val="fr-FR" w:eastAsia="fr-FR"/>
    </w:rPr>
  </w:style>
  <w:style w:type="paragraph" w:customStyle="1" w:styleId="257">
    <w:name w:val="样式 小四 行距: 1.5 倍行距"/>
    <w:basedOn w:val="1"/>
    <w:next w:val="5"/>
    <w:qFormat/>
    <w:uiPriority w:val="99"/>
    <w:pPr>
      <w:spacing w:line="360" w:lineRule="auto"/>
    </w:pPr>
    <w:rPr>
      <w:rFonts w:cs="宋体"/>
      <w:sz w:val="24"/>
      <w:szCs w:val="20"/>
    </w:rPr>
  </w:style>
  <w:style w:type="paragraph" w:customStyle="1" w:styleId="258">
    <w:name w:val="1 Char Char Char Char Char Char Char Char Char Char Char Char Char Char Char Char Char Char Char"/>
    <w:basedOn w:val="1"/>
    <w:qFormat/>
    <w:uiPriority w:val="99"/>
    <w:rPr>
      <w:rFonts w:ascii="Tahoma" w:hAnsi="Tahoma"/>
      <w:sz w:val="24"/>
      <w:szCs w:val="20"/>
    </w:rPr>
  </w:style>
  <w:style w:type="paragraph" w:customStyle="1" w:styleId="259">
    <w:name w:val="hyder正文"/>
    <w:basedOn w:val="1"/>
    <w:qFormat/>
    <w:uiPriority w:val="99"/>
    <w:pPr>
      <w:tabs>
        <w:tab w:val="left" w:pos="780"/>
        <w:tab w:val="left" w:pos="2940"/>
      </w:tabs>
      <w:spacing w:afterLines="50" w:line="360" w:lineRule="auto"/>
      <w:ind w:left="780" w:hanging="360"/>
    </w:pPr>
    <w:rPr>
      <w:rFonts w:ascii="宋体"/>
      <w:color w:val="000000"/>
      <w:sz w:val="24"/>
    </w:rPr>
  </w:style>
  <w:style w:type="paragraph" w:customStyle="1" w:styleId="260">
    <w:name w:val="引言 5"/>
    <w:next w:val="156"/>
    <w:qFormat/>
    <w:uiPriority w:val="99"/>
    <w:pPr>
      <w:tabs>
        <w:tab w:val="left" w:pos="2940"/>
        <w:tab w:val="right" w:pos="8820"/>
      </w:tabs>
      <w:spacing w:line="310" w:lineRule="exact"/>
      <w:ind w:left="2940" w:hanging="420"/>
    </w:pPr>
    <w:rPr>
      <w:rFonts w:ascii="Times New Roman" w:hAnsi="Times New Roman" w:eastAsia="黑体" w:cs="Times New Roman"/>
      <w:sz w:val="21"/>
      <w:lang w:val="en-US" w:eastAsia="zh-CN" w:bidi="ar-SA"/>
    </w:rPr>
  </w:style>
  <w:style w:type="paragraph" w:customStyle="1" w:styleId="261">
    <w:name w:val="Normal 1"/>
    <w:basedOn w:val="222"/>
    <w:qFormat/>
    <w:uiPriority w:val="99"/>
    <w:pPr>
      <w:ind w:left="170" w:right="284"/>
    </w:pPr>
  </w:style>
  <w:style w:type="paragraph" w:customStyle="1" w:styleId="262">
    <w:name w:val="附录 4"/>
    <w:next w:val="156"/>
    <w:qFormat/>
    <w:uiPriority w:val="99"/>
    <w:pPr>
      <w:tabs>
        <w:tab w:val="left" w:pos="1680"/>
        <w:tab w:val="left" w:pos="1800"/>
      </w:tabs>
      <w:spacing w:before="100" w:beforeAutospacing="1" w:after="100" w:afterAutospacing="1" w:line="310" w:lineRule="exact"/>
      <w:ind w:left="1680" w:hanging="420"/>
    </w:pPr>
    <w:rPr>
      <w:rFonts w:ascii="Times New Roman" w:hAnsi="Times New Roman" w:eastAsia="黑体" w:cs="Times New Roman"/>
      <w:sz w:val="21"/>
      <w:lang w:val="en-US" w:eastAsia="zh-CN" w:bidi="ar-SA"/>
    </w:rPr>
  </w:style>
  <w:style w:type="paragraph" w:customStyle="1" w:styleId="263">
    <w:name w:val="Niv3 Puce5"/>
    <w:basedOn w:val="216"/>
    <w:qFormat/>
    <w:uiPriority w:val="99"/>
    <w:pPr>
      <w:ind w:left="2325"/>
    </w:pPr>
  </w:style>
  <w:style w:type="paragraph" w:customStyle="1" w:styleId="264">
    <w:name w:val="WW-表格标题"/>
    <w:basedOn w:val="245"/>
    <w:qFormat/>
    <w:uiPriority w:val="99"/>
    <w:pPr>
      <w:jc w:val="center"/>
    </w:pPr>
    <w:rPr>
      <w:b/>
      <w:bCs/>
      <w:i/>
      <w:iCs/>
    </w:rPr>
  </w:style>
  <w:style w:type="paragraph" w:customStyle="1" w:styleId="265">
    <w:name w:val="Enumération[1]"/>
    <w:basedOn w:val="1"/>
    <w:qFormat/>
    <w:uiPriority w:val="99"/>
    <w:pPr>
      <w:widowControl/>
      <w:spacing w:before="60" w:after="60"/>
      <w:ind w:left="1702" w:hanging="284"/>
    </w:pPr>
    <w:rPr>
      <w:kern w:val="0"/>
      <w:sz w:val="24"/>
      <w:szCs w:val="20"/>
      <w:lang w:val="fr-FR" w:eastAsia="fr-FR"/>
    </w:rPr>
  </w:style>
  <w:style w:type="paragraph" w:customStyle="1" w:styleId="266">
    <w:name w:val="Sommaire"/>
    <w:basedOn w:val="1"/>
    <w:qFormat/>
    <w:uiPriority w:val="99"/>
    <w:pPr>
      <w:widowControl/>
      <w:pBdr>
        <w:top w:val="single" w:color="auto" w:sz="4" w:space="1"/>
        <w:left w:val="single" w:color="auto" w:sz="4" w:space="4"/>
        <w:bottom w:val="single" w:color="auto" w:sz="4" w:space="1"/>
        <w:right w:val="single" w:color="auto" w:sz="4" w:space="6"/>
      </w:pBdr>
      <w:shd w:val="pct10" w:color="auto" w:fill="FFFFFF"/>
      <w:jc w:val="center"/>
    </w:pPr>
    <w:rPr>
      <w:b/>
      <w:kern w:val="0"/>
      <w:sz w:val="28"/>
      <w:szCs w:val="20"/>
      <w:lang w:val="fr-FR" w:eastAsia="fr-FR"/>
    </w:rPr>
  </w:style>
  <w:style w:type="paragraph" w:customStyle="1" w:styleId="267">
    <w:name w:val="Char Char Char Char Char Char Char Char Char Char"/>
    <w:basedOn w:val="1"/>
    <w:qFormat/>
    <w:uiPriority w:val="99"/>
    <w:rPr>
      <w:rFonts w:ascii="Arial" w:hAnsi="Arial" w:cs="Arial"/>
      <w:sz w:val="20"/>
      <w:szCs w:val="20"/>
    </w:rPr>
  </w:style>
  <w:style w:type="paragraph" w:customStyle="1" w:styleId="268">
    <w:name w:val="普通 (Web)"/>
    <w:basedOn w:val="1"/>
    <w:qFormat/>
    <w:uiPriority w:val="99"/>
    <w:pPr>
      <w:widowControl/>
      <w:spacing w:before="100" w:after="100"/>
      <w:jc w:val="left"/>
    </w:pPr>
    <w:rPr>
      <w:rFonts w:ascii="Arial Unicode MS" w:hAnsi="Arial Unicode MS" w:eastAsia="Arial Unicode MS"/>
      <w:kern w:val="0"/>
      <w:sz w:val="24"/>
      <w:szCs w:val="20"/>
      <w:lang w:val="en-GB" w:eastAsia="fr-FR"/>
    </w:rPr>
  </w:style>
  <w:style w:type="paragraph" w:customStyle="1" w:styleId="269">
    <w:name w:val="Styannexe"/>
    <w:basedOn w:val="54"/>
    <w:qFormat/>
    <w:uiPriority w:val="99"/>
    <w:pPr>
      <w:widowControl/>
      <w:ind w:left="480" w:leftChars="0" w:right="283" w:hanging="480" w:firstLineChars="0"/>
      <w:jc w:val="left"/>
    </w:pPr>
    <w:rPr>
      <w:kern w:val="0"/>
      <w:sz w:val="24"/>
      <w:szCs w:val="20"/>
      <w:lang w:val="fr-FR" w:eastAsia="fr-FR"/>
    </w:rPr>
  </w:style>
  <w:style w:type="paragraph" w:customStyle="1" w:styleId="270">
    <w:name w:val="样式 行距: 固定值 20 磅"/>
    <w:basedOn w:val="1"/>
    <w:qFormat/>
    <w:uiPriority w:val="99"/>
    <w:pPr>
      <w:spacing w:line="400" w:lineRule="exact"/>
      <w:ind w:left="-178" w:leftChars="-85" w:right="-512" w:rightChars="-244" w:firstLine="420" w:firstLineChars="200"/>
    </w:pPr>
    <w:rPr>
      <w:rFonts w:cs="宋体"/>
      <w:szCs w:val="20"/>
    </w:rPr>
  </w:style>
  <w:style w:type="paragraph" w:customStyle="1" w:styleId="271">
    <w:name w:val="Char Char Char Char Char Char Char"/>
    <w:basedOn w:val="1"/>
    <w:qFormat/>
    <w:uiPriority w:val="99"/>
    <w:pPr>
      <w:spacing w:line="360" w:lineRule="auto"/>
      <w:ind w:firstLine="200" w:firstLineChars="200"/>
    </w:pPr>
    <w:rPr>
      <w:rFonts w:ascii="宋体" w:hAnsi="宋体" w:cs="宋体"/>
      <w:sz w:val="24"/>
    </w:rPr>
  </w:style>
  <w:style w:type="paragraph" w:customStyle="1" w:styleId="272">
    <w:name w:val="条文 2"/>
    <w:next w:val="1"/>
    <w:qFormat/>
    <w:uiPriority w:val="99"/>
    <w:pPr>
      <w:tabs>
        <w:tab w:val="left" w:pos="2760"/>
        <w:tab w:val="left" w:pos="3060"/>
      </w:tabs>
      <w:spacing w:line="310" w:lineRule="exact"/>
      <w:ind w:left="3060" w:hanging="420"/>
    </w:pPr>
    <w:rPr>
      <w:rFonts w:ascii="Times New Roman" w:hAnsi="Times New Roman" w:eastAsia="黑体" w:cs="Times New Roman"/>
      <w:sz w:val="21"/>
      <w:lang w:val="en-US" w:eastAsia="zh-CN" w:bidi="ar-SA"/>
    </w:rPr>
  </w:style>
  <w:style w:type="paragraph" w:customStyle="1" w:styleId="273">
    <w:name w:val="Caractéristiques"/>
    <w:basedOn w:val="1"/>
    <w:qFormat/>
    <w:uiPriority w:val="99"/>
    <w:pPr>
      <w:widowControl/>
      <w:tabs>
        <w:tab w:val="left" w:pos="3119"/>
        <w:tab w:val="left" w:pos="4253"/>
      </w:tabs>
      <w:spacing w:before="120"/>
      <w:ind w:firstLine="567"/>
      <w:jc w:val="left"/>
    </w:pPr>
    <w:rPr>
      <w:kern w:val="0"/>
      <w:sz w:val="24"/>
      <w:szCs w:val="20"/>
      <w:lang w:val="fr-FR" w:eastAsia="fr-FR"/>
    </w:rPr>
  </w:style>
  <w:style w:type="paragraph" w:customStyle="1" w:styleId="274">
    <w:name w:val="Tabelle der Fußzeile"/>
    <w:basedOn w:val="40"/>
    <w:qFormat/>
    <w:uiPriority w:val="99"/>
    <w:pPr>
      <w:widowControl/>
      <w:tabs>
        <w:tab w:val="right" w:pos="9356"/>
        <w:tab w:val="clear" w:pos="4153"/>
        <w:tab w:val="clear" w:pos="8306"/>
      </w:tabs>
      <w:snapToGrid/>
      <w:spacing w:before="60" w:after="60" w:line="240" w:lineRule="auto"/>
    </w:pPr>
    <w:rPr>
      <w:rFonts w:ascii="Arial" w:hAnsi="Arial"/>
      <w:kern w:val="2"/>
      <w:sz w:val="16"/>
      <w:szCs w:val="20"/>
      <w:lang w:val="de-DE" w:eastAsia="de-DE"/>
    </w:rPr>
  </w:style>
  <w:style w:type="paragraph" w:customStyle="1" w:styleId="275">
    <w:name w:val="_Style 35"/>
    <w:basedOn w:val="1"/>
    <w:next w:val="33"/>
    <w:qFormat/>
    <w:uiPriority w:val="99"/>
    <w:pPr>
      <w:spacing w:line="360" w:lineRule="auto"/>
      <w:ind w:left="1134" w:hanging="1134"/>
    </w:pPr>
    <w:rPr>
      <w:rFonts w:ascii="宋体" w:hAnsi="Courier New"/>
      <w:kern w:val="0"/>
      <w:sz w:val="24"/>
      <w:szCs w:val="20"/>
    </w:rPr>
  </w:style>
  <w:style w:type="paragraph" w:customStyle="1" w:styleId="276">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277">
    <w:name w:val="flName"/>
    <w:basedOn w:val="278"/>
    <w:qFormat/>
    <w:uiPriority w:val="99"/>
    <w:rPr>
      <w:sz w:val="32"/>
    </w:rPr>
  </w:style>
  <w:style w:type="paragraph" w:customStyle="1" w:styleId="278">
    <w:name w:val="flNote"/>
    <w:basedOn w:val="1"/>
    <w:qFormat/>
    <w:uiPriority w:val="99"/>
    <w:pPr>
      <w:adjustRightInd w:val="0"/>
      <w:snapToGrid w:val="0"/>
      <w:spacing w:beforeLines="50" w:afterLines="50" w:line="420" w:lineRule="auto"/>
      <w:jc w:val="center"/>
      <w:textAlignment w:val="baseline"/>
      <w:outlineLvl w:val="1"/>
    </w:pPr>
    <w:rPr>
      <w:rFonts w:ascii="Arial" w:hAnsi="宋体" w:eastAsia="黑体"/>
      <w:snapToGrid w:val="0"/>
      <w:color w:val="000000"/>
      <w:spacing w:val="6"/>
      <w:kern w:val="0"/>
      <w:sz w:val="30"/>
      <w:szCs w:val="20"/>
    </w:rPr>
  </w:style>
  <w:style w:type="paragraph" w:customStyle="1" w:styleId="279">
    <w:name w:val="样式 标题 1 + 小四 加粗 两端对齐"/>
    <w:basedOn w:val="3"/>
    <w:qFormat/>
    <w:uiPriority w:val="99"/>
    <w:pPr>
      <w:keepNext/>
      <w:widowControl w:val="0"/>
      <w:spacing w:beforeLines="0" w:afterLines="0" w:line="360" w:lineRule="auto"/>
      <w:jc w:val="both"/>
    </w:pPr>
    <w:rPr>
      <w:rFonts w:ascii="宋体" w:cs="宋体"/>
      <w:bCs/>
      <w:color w:val="auto"/>
      <w:kern w:val="2"/>
      <w:sz w:val="24"/>
      <w:szCs w:val="20"/>
    </w:rPr>
  </w:style>
  <w:style w:type="paragraph" w:customStyle="1" w:styleId="280">
    <w:name w:val="flType"/>
    <w:basedOn w:val="277"/>
    <w:qFormat/>
    <w:uiPriority w:val="99"/>
    <w:pPr>
      <w:spacing w:beforeLines="0" w:afterLines="0"/>
    </w:pPr>
    <w:rPr>
      <w:sz w:val="28"/>
    </w:rPr>
  </w:style>
  <w:style w:type="paragraph" w:customStyle="1" w:styleId="281">
    <w:name w:val="样式 样式 样式 标题 2 + 宋体 五号 非加粗 黑色 + 段前: 6 磅 段后: 0 磅 行距: 单倍行距 + 段前: 12..."/>
    <w:basedOn w:val="1"/>
    <w:qFormat/>
    <w:uiPriority w:val="99"/>
    <w:pPr>
      <w:keepNext/>
      <w:keepLines/>
      <w:adjustRightInd w:val="0"/>
      <w:spacing w:before="240"/>
      <w:jc w:val="left"/>
      <w:outlineLvl w:val="1"/>
    </w:pPr>
    <w:rPr>
      <w:rFonts w:ascii="宋体" w:hAnsi="宋体"/>
      <w:color w:val="000000"/>
      <w:kern w:val="0"/>
      <w:szCs w:val="20"/>
    </w:rPr>
  </w:style>
  <w:style w:type="paragraph" w:customStyle="1" w:styleId="282">
    <w:name w:val="Niv2 Puce3"/>
    <w:basedOn w:val="177"/>
    <w:qFormat/>
    <w:uiPriority w:val="99"/>
    <w:pPr>
      <w:ind w:left="1475"/>
    </w:pPr>
  </w:style>
  <w:style w:type="paragraph" w:customStyle="1" w:styleId="283">
    <w:name w:val="IntitulŽCellule"/>
    <w:qFormat/>
    <w:uiPriority w:val="99"/>
    <w:pPr>
      <w:spacing w:line="240" w:lineRule="exact"/>
      <w:jc w:val="center"/>
    </w:pPr>
    <w:rPr>
      <w:rFonts w:ascii="Times New Roman" w:hAnsi="Times New Roman" w:eastAsia="宋体" w:cs="Times New Roman"/>
      <w:color w:val="C0C0C0"/>
      <w:sz w:val="24"/>
      <w:lang w:val="fr-FR" w:eastAsia="fr-FR" w:bidi="ar-SA"/>
    </w:rPr>
  </w:style>
  <w:style w:type="paragraph" w:customStyle="1" w:styleId="284">
    <w:name w:val="表格"/>
    <w:basedOn w:val="1"/>
    <w:next w:val="1"/>
    <w:qFormat/>
    <w:uiPriority w:val="99"/>
    <w:pPr>
      <w:tabs>
        <w:tab w:val="left" w:pos="567"/>
        <w:tab w:val="left" w:pos="1134"/>
        <w:tab w:val="left" w:pos="1701"/>
        <w:tab w:val="left" w:pos="2268"/>
      </w:tabs>
      <w:adjustRightInd w:val="0"/>
      <w:jc w:val="center"/>
      <w:textAlignment w:val="baseline"/>
    </w:pPr>
    <w:rPr>
      <w:rFonts w:ascii="宋体"/>
      <w:kern w:val="0"/>
      <w:sz w:val="24"/>
      <w:szCs w:val="20"/>
    </w:rPr>
  </w:style>
  <w:style w:type="paragraph" w:customStyle="1" w:styleId="285">
    <w:name w:val="Niv4 Puce5"/>
    <w:basedOn w:val="263"/>
    <w:qFormat/>
    <w:uiPriority w:val="99"/>
    <w:pPr>
      <w:ind w:left="2438"/>
    </w:pPr>
  </w:style>
  <w:style w:type="paragraph" w:customStyle="1" w:styleId="286">
    <w:name w:val="xl29"/>
    <w:basedOn w:val="1"/>
    <w:qFormat/>
    <w:uiPriority w:val="99"/>
    <w:pPr>
      <w:widowControl/>
      <w:pBdr>
        <w:bottom w:val="single" w:color="808080" w:sz="8" w:space="0"/>
      </w:pBdr>
      <w:spacing w:before="100" w:beforeAutospacing="1" w:after="100" w:afterAutospacing="1"/>
      <w:jc w:val="center"/>
      <w:textAlignment w:val="top"/>
    </w:pPr>
    <w:rPr>
      <w:rFonts w:ascii="Arial Unicode MS" w:hAnsi="Arial Unicode MS" w:eastAsia="Arial Unicode MS" w:cs="Arial Unicode MS"/>
      <w:b/>
      <w:bCs/>
      <w:color w:val="000080"/>
      <w:kern w:val="0"/>
      <w:sz w:val="24"/>
      <w:lang w:val="fr-FR" w:eastAsia="fr-FR"/>
    </w:rPr>
  </w:style>
  <w:style w:type="paragraph" w:customStyle="1" w:styleId="287">
    <w:name w:val="Tiret[1]"/>
    <w:basedOn w:val="1"/>
    <w:qFormat/>
    <w:uiPriority w:val="99"/>
    <w:pPr>
      <w:widowControl/>
      <w:spacing w:before="60" w:after="60"/>
      <w:ind w:left="1702" w:hanging="284"/>
    </w:pPr>
    <w:rPr>
      <w:kern w:val="0"/>
      <w:sz w:val="24"/>
      <w:szCs w:val="20"/>
      <w:lang w:val="fr-FR" w:eastAsia="fr-FR"/>
    </w:rPr>
  </w:style>
  <w:style w:type="paragraph" w:customStyle="1" w:styleId="288">
    <w:name w:val="xl24"/>
    <w:basedOn w:val="1"/>
    <w:qFormat/>
    <w:uiPriority w:val="99"/>
    <w:pPr>
      <w:widowControl/>
      <w:spacing w:before="100" w:beforeAutospacing="1" w:after="100" w:afterAutospacing="1"/>
      <w:jc w:val="center"/>
    </w:pPr>
    <w:rPr>
      <w:rFonts w:ascii="Arial Unicode MS" w:hAnsi="Arial Unicode MS" w:eastAsia="Arial Unicode MS" w:cs="Arial Unicode MS"/>
      <w:kern w:val="0"/>
      <w:sz w:val="24"/>
      <w:lang w:val="fr-FR" w:eastAsia="fr-FR"/>
    </w:rPr>
  </w:style>
  <w:style w:type="paragraph" w:customStyle="1" w:styleId="289">
    <w:name w:val="正文文本1"/>
    <w:qFormat/>
    <w:uiPriority w:val="99"/>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90">
    <w:name w:val="Char Char Char Char Char Char Char1"/>
    <w:basedOn w:val="1"/>
    <w:qFormat/>
    <w:uiPriority w:val="99"/>
    <w:pPr>
      <w:spacing w:line="360" w:lineRule="auto"/>
      <w:ind w:firstLine="200" w:firstLineChars="200"/>
    </w:pPr>
    <w:rPr>
      <w:rFonts w:ascii="宋体" w:hAnsi="宋体" w:cs="宋体"/>
      <w:sz w:val="24"/>
    </w:rPr>
  </w:style>
  <w:style w:type="paragraph" w:customStyle="1" w:styleId="291">
    <w:name w:val="Table text"/>
    <w:basedOn w:val="18"/>
    <w:next w:val="18"/>
    <w:qFormat/>
    <w:uiPriority w:val="99"/>
    <w:pPr>
      <w:widowControl/>
      <w:spacing w:before="40" w:after="40"/>
      <w:ind w:firstLine="0"/>
      <w:jc w:val="center"/>
    </w:pPr>
    <w:rPr>
      <w:rFonts w:ascii="Helvetica 45 Light" w:hAnsi="Helvetica 45 Light" w:eastAsia="Times New Roman"/>
      <w:kern w:val="0"/>
      <w:sz w:val="20"/>
      <w:lang w:val="en-GB" w:eastAsia="en-US"/>
    </w:rPr>
  </w:style>
  <w:style w:type="paragraph" w:customStyle="1" w:styleId="292">
    <w:name w:val="正文1"/>
    <w:basedOn w:val="1"/>
    <w:qFormat/>
    <w:uiPriority w:val="99"/>
    <w:pPr>
      <w:adjustRightInd w:val="0"/>
      <w:spacing w:line="360" w:lineRule="atLeast"/>
      <w:jc w:val="left"/>
      <w:textAlignment w:val="baseline"/>
    </w:pPr>
    <w:rPr>
      <w:rFonts w:ascii="宋体"/>
      <w:kern w:val="0"/>
      <w:sz w:val="24"/>
      <w:szCs w:val="20"/>
    </w:rPr>
  </w:style>
  <w:style w:type="paragraph" w:customStyle="1" w:styleId="293">
    <w:name w:val="Annexe"/>
    <w:basedOn w:val="1"/>
    <w:qFormat/>
    <w:uiPriority w:val="99"/>
    <w:pPr>
      <w:widowControl/>
      <w:pBdr>
        <w:top w:val="triple" w:color="auto" w:sz="4" w:space="14"/>
        <w:left w:val="triple" w:color="auto" w:sz="4" w:space="4"/>
        <w:bottom w:val="triple" w:color="auto" w:sz="4" w:space="22"/>
        <w:right w:val="triple" w:color="auto" w:sz="4" w:space="4"/>
      </w:pBdr>
      <w:shd w:val="pct10" w:color="auto" w:fill="FFFFFF"/>
      <w:jc w:val="center"/>
      <w:outlineLvl w:val="0"/>
    </w:pPr>
    <w:rPr>
      <w:kern w:val="0"/>
      <w:sz w:val="96"/>
      <w:szCs w:val="20"/>
      <w:lang w:val="fr-FR" w:eastAsia="fr-FR"/>
    </w:rPr>
  </w:style>
  <w:style w:type="paragraph" w:customStyle="1" w:styleId="294">
    <w:name w:val="引言 1"/>
    <w:next w:val="156"/>
    <w:qFormat/>
    <w:uiPriority w:val="99"/>
    <w:pPr>
      <w:tabs>
        <w:tab w:val="left" w:pos="2520"/>
      </w:tabs>
      <w:spacing w:line="310" w:lineRule="exact"/>
      <w:ind w:left="2520" w:hanging="420"/>
    </w:pPr>
    <w:rPr>
      <w:rFonts w:ascii="Times New Roman" w:hAnsi="Times New Roman" w:eastAsia="黑体" w:cs="Times New Roman"/>
      <w:sz w:val="21"/>
      <w:lang w:val="en-US" w:eastAsia="zh-CN" w:bidi="ar-SA"/>
    </w:rPr>
  </w:style>
  <w:style w:type="paragraph" w:customStyle="1" w:styleId="295">
    <w:name w:val="样式 普通文字 + (符号) Times New Roman 小四 首行缩进:  1.05 厘米 行距: 1.5 倍行距"/>
    <w:basedOn w:val="33"/>
    <w:qFormat/>
    <w:uiPriority w:val="99"/>
    <w:pPr>
      <w:spacing w:line="360" w:lineRule="auto"/>
      <w:ind w:firstLine="567"/>
    </w:pPr>
    <w:rPr>
      <w:rFonts w:ascii="Times New Roman" w:hAnsi="Times New Roman"/>
      <w:kern w:val="20"/>
      <w:sz w:val="24"/>
      <w:szCs w:val="24"/>
    </w:rPr>
  </w:style>
  <w:style w:type="paragraph" w:customStyle="1" w:styleId="296">
    <w:name w:val="Niv5 Puce3"/>
    <w:basedOn w:val="297"/>
    <w:qFormat/>
    <w:uiPriority w:val="99"/>
    <w:pPr>
      <w:ind w:left="1985"/>
    </w:pPr>
  </w:style>
  <w:style w:type="paragraph" w:customStyle="1" w:styleId="297">
    <w:name w:val="Niv4 Puce3"/>
    <w:basedOn w:val="177"/>
    <w:qFormat/>
    <w:uiPriority w:val="99"/>
    <w:pPr>
      <w:ind w:left="1815"/>
    </w:pPr>
  </w:style>
  <w:style w:type="paragraph" w:customStyle="1" w:styleId="298">
    <w:name w:val="PARA 4"/>
    <w:basedOn w:val="1"/>
    <w:qFormat/>
    <w:uiPriority w:val="99"/>
    <w:pPr>
      <w:widowControl/>
      <w:spacing w:before="60" w:after="60"/>
      <w:ind w:left="964" w:right="454"/>
    </w:pPr>
    <w:rPr>
      <w:kern w:val="0"/>
      <w:sz w:val="24"/>
      <w:szCs w:val="20"/>
      <w:lang w:val="fr-FR" w:eastAsia="fr-FR"/>
    </w:rPr>
  </w:style>
  <w:style w:type="paragraph" w:customStyle="1" w:styleId="299">
    <w:name w:val="xl37"/>
    <w:basedOn w:val="1"/>
    <w:qFormat/>
    <w:uiPriority w:val="99"/>
    <w:pPr>
      <w:widowControl/>
      <w:pBdr>
        <w:top w:val="single" w:color="808080" w:sz="8" w:space="0"/>
      </w:pBdr>
      <w:spacing w:before="100" w:beforeAutospacing="1" w:after="100" w:afterAutospacing="1"/>
      <w:jc w:val="left"/>
      <w:textAlignment w:val="top"/>
    </w:pPr>
    <w:rPr>
      <w:rFonts w:ascii="Arial Unicode MS" w:hAnsi="Arial Unicode MS" w:eastAsia="Arial Unicode MS" w:cs="Arial Unicode MS"/>
      <w:b/>
      <w:bCs/>
      <w:color w:val="000080"/>
      <w:kern w:val="0"/>
      <w:sz w:val="24"/>
      <w:lang w:val="fr-FR" w:eastAsia="fr-FR"/>
    </w:rPr>
  </w:style>
  <w:style w:type="paragraph" w:customStyle="1" w:styleId="300">
    <w:name w:val="xl40"/>
    <w:basedOn w:val="1"/>
    <w:qFormat/>
    <w:uiPriority w:val="99"/>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ascii="宋体" w:hAnsi="宋体"/>
      <w:kern w:val="0"/>
      <w:sz w:val="20"/>
      <w:szCs w:val="20"/>
    </w:rPr>
  </w:style>
  <w:style w:type="paragraph" w:customStyle="1" w:styleId="301">
    <w:name w:val="附录 1"/>
    <w:next w:val="156"/>
    <w:qFormat/>
    <w:uiPriority w:val="99"/>
    <w:pPr>
      <w:tabs>
        <w:tab w:val="left" w:pos="1680"/>
      </w:tabs>
      <w:spacing w:before="100" w:beforeAutospacing="1" w:after="100" w:afterAutospacing="1" w:line="310" w:lineRule="exact"/>
      <w:ind w:left="1680" w:hanging="420"/>
    </w:pPr>
    <w:rPr>
      <w:rFonts w:ascii="Times New Roman" w:hAnsi="Times New Roman" w:eastAsia="黑体" w:cs="Times New Roman"/>
      <w:sz w:val="21"/>
      <w:lang w:val="en-US" w:eastAsia="zh-CN" w:bidi="ar-SA"/>
    </w:rPr>
  </w:style>
  <w:style w:type="paragraph" w:customStyle="1" w:styleId="302">
    <w:name w:val="青岛正文"/>
    <w:basedOn w:val="1"/>
    <w:qFormat/>
    <w:uiPriority w:val="0"/>
    <w:pPr>
      <w:spacing w:line="360" w:lineRule="auto"/>
    </w:pPr>
    <w:rPr>
      <w:sz w:val="28"/>
    </w:rPr>
  </w:style>
  <w:style w:type="paragraph" w:customStyle="1" w:styleId="303">
    <w:name w:val="PARA 1"/>
    <w:basedOn w:val="1"/>
    <w:qFormat/>
    <w:uiPriority w:val="99"/>
    <w:pPr>
      <w:widowControl/>
      <w:spacing w:before="60" w:after="60"/>
      <w:ind w:left="454" w:right="454"/>
    </w:pPr>
    <w:rPr>
      <w:kern w:val="0"/>
      <w:sz w:val="24"/>
      <w:szCs w:val="20"/>
      <w:lang w:val="fr-FR" w:eastAsia="fr-FR"/>
    </w:rPr>
  </w:style>
  <w:style w:type="paragraph" w:customStyle="1" w:styleId="304">
    <w:name w:val="xl38"/>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kern w:val="0"/>
      <w:sz w:val="20"/>
      <w:szCs w:val="20"/>
    </w:rPr>
  </w:style>
  <w:style w:type="paragraph" w:customStyle="1" w:styleId="305">
    <w:name w:val="Responsible Person"/>
    <w:basedOn w:val="3"/>
    <w:qFormat/>
    <w:uiPriority w:val="99"/>
    <w:pPr>
      <w:keepNext/>
      <w:pageBreakBefore/>
      <w:tabs>
        <w:tab w:val="left" w:pos="432"/>
        <w:tab w:val="left" w:pos="1134"/>
      </w:tabs>
      <w:spacing w:beforeLines="0" w:afterLines="0" w:line="240" w:lineRule="auto"/>
      <w:outlineLvl w:val="9"/>
    </w:pPr>
    <w:rPr>
      <w:rFonts w:ascii="Trump Mediaeval" w:hAnsi="Trump Mediaeval" w:eastAsia="MS Mincho"/>
      <w:b w:val="0"/>
      <w:color w:val="auto"/>
      <w:kern w:val="2"/>
      <w:sz w:val="16"/>
      <w:szCs w:val="20"/>
      <w:lang w:eastAsia="en-US"/>
    </w:rPr>
  </w:style>
  <w:style w:type="paragraph" w:customStyle="1" w:styleId="306">
    <w:name w:val="WW-框内容"/>
    <w:basedOn w:val="2"/>
    <w:qFormat/>
    <w:uiPriority w:val="99"/>
    <w:pPr>
      <w:suppressAutoHyphens/>
      <w:snapToGrid/>
      <w:spacing w:after="120" w:line="240" w:lineRule="auto"/>
    </w:pPr>
    <w:rPr>
      <w:kern w:val="1"/>
      <w:sz w:val="21"/>
      <w:szCs w:val="24"/>
      <w:lang w:eastAsia="ar-SA"/>
    </w:rPr>
  </w:style>
  <w:style w:type="paragraph" w:customStyle="1" w:styleId="307">
    <w:name w:val="批注框文本[858D7CFB-ED40-4347-BF05-701D383B685F][858D7CFB-ED40-4347-BF05-701D383B685F]1"/>
    <w:basedOn w:val="1"/>
    <w:qFormat/>
    <w:uiPriority w:val="0"/>
    <w:rPr>
      <w:sz w:val="18"/>
      <w:szCs w:val="18"/>
    </w:rPr>
  </w:style>
  <w:style w:type="paragraph" w:customStyle="1" w:styleId="308">
    <w:name w:val="附录 0"/>
    <w:next w:val="156"/>
    <w:qFormat/>
    <w:uiPriority w:val="99"/>
    <w:pPr>
      <w:tabs>
        <w:tab w:val="left" w:pos="2895"/>
      </w:tabs>
      <w:spacing w:before="240" w:after="240"/>
      <w:ind w:left="2895" w:hanging="375"/>
    </w:pPr>
    <w:rPr>
      <w:rFonts w:ascii="Times New Roman" w:hAnsi="Times New Roman" w:eastAsia="黑体" w:cs="Times New Roman"/>
      <w:sz w:val="21"/>
      <w:lang w:val="en-US" w:eastAsia="zh-CN" w:bidi="ar-SA"/>
    </w:rPr>
  </w:style>
  <w:style w:type="paragraph" w:customStyle="1" w:styleId="309">
    <w:name w:val="Char Char Char Char1"/>
    <w:basedOn w:val="4"/>
    <w:next w:val="4"/>
    <w:qFormat/>
    <w:uiPriority w:val="99"/>
    <w:pPr>
      <w:keepNext w:val="0"/>
      <w:keepLines w:val="0"/>
      <w:spacing w:before="260" w:after="260" w:line="413" w:lineRule="auto"/>
      <w:ind w:left="3600"/>
    </w:pPr>
    <w:rPr>
      <w:rFonts w:ascii="Arial"/>
      <w:b w:val="0"/>
      <w:bCs/>
      <w:kern w:val="2"/>
      <w:sz w:val="28"/>
      <w:szCs w:val="28"/>
    </w:rPr>
  </w:style>
  <w:style w:type="paragraph" w:customStyle="1" w:styleId="310">
    <w:name w:val="PuceStyle1"/>
    <w:basedOn w:val="1"/>
    <w:qFormat/>
    <w:uiPriority w:val="99"/>
    <w:pPr>
      <w:widowControl/>
      <w:tabs>
        <w:tab w:val="left" w:pos="720"/>
      </w:tabs>
      <w:ind w:left="720" w:right="283" w:hanging="720"/>
      <w:jc w:val="left"/>
    </w:pPr>
    <w:rPr>
      <w:kern w:val="0"/>
      <w:sz w:val="24"/>
      <w:szCs w:val="20"/>
      <w:lang w:val="fr-FR" w:eastAsia="fr-FR"/>
    </w:rPr>
  </w:style>
  <w:style w:type="paragraph" w:customStyle="1" w:styleId="311">
    <w:name w:val="文本块1"/>
    <w:basedOn w:val="1"/>
    <w:qFormat/>
    <w:uiPriority w:val="99"/>
    <w:pPr>
      <w:widowControl/>
      <w:ind w:left="851" w:right="425"/>
    </w:pPr>
    <w:rPr>
      <w:kern w:val="0"/>
      <w:sz w:val="24"/>
      <w:szCs w:val="20"/>
      <w:lang w:val="fr-FR" w:eastAsia="fr-FR"/>
    </w:rPr>
  </w:style>
  <w:style w:type="paragraph" w:customStyle="1" w:styleId="312">
    <w:name w:val="批注主题[858D7CFB-ED40-4347-BF05-701D383B685F][858D7CFB-ED40-4347-BF05-701D383B685F]1"/>
    <w:basedOn w:val="23"/>
    <w:next w:val="23"/>
    <w:qFormat/>
    <w:uiPriority w:val="0"/>
    <w:rPr>
      <w:b/>
      <w:bCs/>
    </w:rPr>
  </w:style>
  <w:style w:type="paragraph" w:customStyle="1" w:styleId="313">
    <w:name w:val="Corps"/>
    <w:qFormat/>
    <w:uiPriority w:val="99"/>
    <w:pPr>
      <w:widowControl w:val="0"/>
      <w:autoSpaceDE w:val="0"/>
      <w:autoSpaceDN w:val="0"/>
      <w:adjustRightInd w:val="0"/>
      <w:spacing w:line="260" w:lineRule="atLeast"/>
    </w:pPr>
    <w:rPr>
      <w:rFonts w:ascii="Helvetica" w:hAnsi="Helvetica" w:eastAsia="宋体" w:cs="Times New Roman"/>
      <w:color w:val="000000"/>
      <w:sz w:val="24"/>
      <w:lang w:val="fr-FR" w:eastAsia="fr-FR" w:bidi="ar-SA"/>
    </w:rPr>
  </w:style>
  <w:style w:type="paragraph" w:customStyle="1" w:styleId="314">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b/>
      <w:bCs/>
      <w:kern w:val="0"/>
      <w:sz w:val="24"/>
    </w:rPr>
  </w:style>
  <w:style w:type="paragraph" w:customStyle="1" w:styleId="315">
    <w:name w:val="段落+++样式 宋体 小四 黑色 左 左侧:  2.5 厘米 行距: 固定值 22 磅"/>
    <w:basedOn w:val="1"/>
    <w:qFormat/>
    <w:uiPriority w:val="99"/>
    <w:pPr>
      <w:spacing w:line="440" w:lineRule="exact"/>
      <w:ind w:left="1418" w:firstLine="480" w:firstLineChars="200"/>
      <w:jc w:val="left"/>
    </w:pPr>
    <w:rPr>
      <w:rFonts w:ascii="宋体" w:cs="宋体"/>
      <w:color w:val="000000"/>
      <w:sz w:val="24"/>
      <w:szCs w:val="20"/>
    </w:rPr>
  </w:style>
  <w:style w:type="paragraph" w:customStyle="1" w:styleId="316">
    <w:name w:val="font7"/>
    <w:basedOn w:val="1"/>
    <w:qFormat/>
    <w:uiPriority w:val="0"/>
    <w:pPr>
      <w:widowControl/>
      <w:spacing w:before="100" w:beforeAutospacing="1" w:after="100" w:afterAutospacing="1"/>
      <w:jc w:val="left"/>
    </w:pPr>
    <w:rPr>
      <w:kern w:val="0"/>
      <w:sz w:val="20"/>
      <w:szCs w:val="20"/>
    </w:rPr>
  </w:style>
  <w:style w:type="paragraph" w:customStyle="1" w:styleId="317">
    <w:name w:val="Annexe 1"/>
    <w:basedOn w:val="1"/>
    <w:qFormat/>
    <w:uiPriority w:val="99"/>
    <w:pPr>
      <w:widowControl/>
      <w:pBdr>
        <w:top w:val="triple" w:color="auto" w:sz="4" w:space="4"/>
        <w:left w:val="triple" w:color="auto" w:sz="4" w:space="4"/>
        <w:bottom w:val="triple" w:color="auto" w:sz="4" w:space="4"/>
        <w:right w:val="triple" w:color="auto" w:sz="4" w:space="4"/>
      </w:pBdr>
      <w:shd w:val="pct10" w:color="auto" w:fill="auto"/>
      <w:spacing w:before="120" w:after="120"/>
      <w:jc w:val="center"/>
      <w:outlineLvl w:val="1"/>
    </w:pPr>
    <w:rPr>
      <w:rFonts w:ascii="Arial" w:hAnsi="Arial"/>
      <w:b/>
      <w:i/>
      <w:kern w:val="0"/>
      <w:sz w:val="26"/>
      <w:szCs w:val="20"/>
      <w:lang w:val="fr-FR" w:eastAsia="fr-FR"/>
    </w:rPr>
  </w:style>
  <w:style w:type="paragraph" w:customStyle="1" w:styleId="318">
    <w:name w:val="注"/>
    <w:basedOn w:val="1"/>
    <w:qFormat/>
    <w:uiPriority w:val="99"/>
    <w:pPr>
      <w:adjustRightInd w:val="0"/>
      <w:snapToGrid w:val="0"/>
      <w:spacing w:beforeLines="50" w:afterLines="50" w:line="420" w:lineRule="auto"/>
      <w:ind w:left="840" w:hanging="420"/>
      <w:jc w:val="left"/>
      <w:textAlignment w:val="baseline"/>
      <w:outlineLvl w:val="1"/>
    </w:pPr>
    <w:rPr>
      <w:rFonts w:ascii="宋体" w:hAnsi="宋体"/>
      <w:snapToGrid w:val="0"/>
      <w:color w:val="000000"/>
      <w:spacing w:val="6"/>
      <w:kern w:val="0"/>
      <w:sz w:val="28"/>
      <w:szCs w:val="20"/>
    </w:rPr>
  </w:style>
  <w:style w:type="paragraph" w:customStyle="1" w:styleId="319">
    <w:name w:val="小标题一"/>
    <w:basedOn w:val="1"/>
    <w:next w:val="1"/>
    <w:qFormat/>
    <w:uiPriority w:val="99"/>
    <w:pPr>
      <w:tabs>
        <w:tab w:val="left" w:pos="2247"/>
      </w:tabs>
      <w:spacing w:line="500" w:lineRule="exact"/>
      <w:ind w:left="2247" w:hanging="420"/>
    </w:pPr>
    <w:rPr>
      <w:sz w:val="28"/>
      <w:szCs w:val="20"/>
    </w:rPr>
  </w:style>
  <w:style w:type="paragraph" w:customStyle="1" w:styleId="320">
    <w:name w:val="Aufzählung"/>
    <w:basedOn w:val="1"/>
    <w:qFormat/>
    <w:uiPriority w:val="99"/>
    <w:pPr>
      <w:keepNext/>
      <w:widowControl/>
      <w:tabs>
        <w:tab w:val="left" w:pos="1134"/>
        <w:tab w:val="left" w:pos="1418"/>
        <w:tab w:val="right" w:pos="9356"/>
      </w:tabs>
      <w:spacing w:after="120"/>
      <w:ind w:left="1134" w:hanging="454"/>
      <w:jc w:val="left"/>
    </w:pPr>
    <w:rPr>
      <w:rFonts w:ascii="Arial" w:hAnsi="Arial"/>
      <w:kern w:val="0"/>
      <w:sz w:val="22"/>
      <w:szCs w:val="20"/>
      <w:lang w:val="de-CH" w:eastAsia="de-DE"/>
    </w:rPr>
  </w:style>
  <w:style w:type="paragraph" w:customStyle="1" w:styleId="321">
    <w:name w:val="引言 4"/>
    <w:next w:val="156"/>
    <w:qFormat/>
    <w:uiPriority w:val="99"/>
    <w:pPr>
      <w:tabs>
        <w:tab w:val="left" w:pos="3360"/>
        <w:tab w:val="right" w:pos="8820"/>
      </w:tabs>
      <w:spacing w:line="310" w:lineRule="exact"/>
      <w:ind w:left="3360" w:hanging="420"/>
    </w:pPr>
    <w:rPr>
      <w:rFonts w:ascii="Times New Roman" w:hAnsi="Times New Roman" w:eastAsia="黑体" w:cs="Times New Roman"/>
      <w:sz w:val="21"/>
      <w:lang w:val="en-US" w:eastAsia="zh-CN" w:bidi="ar-SA"/>
    </w:rPr>
  </w:style>
  <w:style w:type="paragraph" w:customStyle="1" w:styleId="322">
    <w:name w:val="Avertissement"/>
    <w:basedOn w:val="1"/>
    <w:qFormat/>
    <w:uiPriority w:val="99"/>
    <w:pPr>
      <w:widowControl/>
      <w:pBdr>
        <w:top w:val="single" w:color="auto" w:sz="4" w:space="4"/>
        <w:left w:val="single" w:color="auto" w:sz="4" w:space="4"/>
        <w:bottom w:val="single" w:color="auto" w:sz="4" w:space="4"/>
        <w:right w:val="single" w:color="auto" w:sz="4" w:space="4"/>
      </w:pBdr>
      <w:tabs>
        <w:tab w:val="left" w:pos="720"/>
      </w:tabs>
    </w:pPr>
    <w:rPr>
      <w:kern w:val="0"/>
      <w:sz w:val="28"/>
      <w:szCs w:val="20"/>
      <w:lang w:val="fr-FR" w:eastAsia="fr-FR"/>
    </w:rPr>
  </w:style>
  <w:style w:type="paragraph" w:customStyle="1" w:styleId="323">
    <w:name w:val="条文 4"/>
    <w:next w:val="1"/>
    <w:qFormat/>
    <w:uiPriority w:val="99"/>
    <w:pPr>
      <w:tabs>
        <w:tab w:val="left" w:pos="2520"/>
      </w:tabs>
      <w:spacing w:line="310" w:lineRule="exact"/>
      <w:ind w:left="-200"/>
    </w:pPr>
    <w:rPr>
      <w:rFonts w:ascii="Times New Roman" w:hAnsi="Times New Roman" w:eastAsia="黑体" w:cs="Times New Roman"/>
      <w:sz w:val="21"/>
      <w:lang w:val="en-US" w:eastAsia="zh-CN" w:bidi="ar-SA"/>
    </w:rPr>
  </w:style>
  <w:style w:type="paragraph" w:customStyle="1" w:styleId="324">
    <w:name w:val="标题4"/>
    <w:basedOn w:val="1"/>
    <w:next w:val="1"/>
    <w:qFormat/>
    <w:uiPriority w:val="99"/>
    <w:pPr>
      <w:keepNext/>
      <w:spacing w:line="360" w:lineRule="auto"/>
      <w:ind w:firstLine="200" w:firstLineChars="200"/>
      <w:jc w:val="left"/>
      <w:outlineLvl w:val="3"/>
    </w:pPr>
    <w:rPr>
      <w:b/>
      <w:kern w:val="0"/>
      <w:sz w:val="30"/>
    </w:rPr>
  </w:style>
  <w:style w:type="paragraph" w:customStyle="1" w:styleId="325">
    <w:name w:val="Cadre"/>
    <w:basedOn w:val="1"/>
    <w:qFormat/>
    <w:uiPriority w:val="99"/>
    <w:pPr>
      <w:widowControl/>
      <w:jc w:val="left"/>
    </w:pPr>
    <w:rPr>
      <w:kern w:val="0"/>
      <w:sz w:val="24"/>
      <w:szCs w:val="20"/>
      <w:lang w:val="fr-FR" w:eastAsia="fr-FR"/>
    </w:rPr>
  </w:style>
  <w:style w:type="paragraph" w:customStyle="1" w:styleId="326">
    <w:name w:val="目录"/>
    <w:basedOn w:val="1"/>
    <w:qFormat/>
    <w:uiPriority w:val="99"/>
    <w:pPr>
      <w:suppressLineNumbers/>
      <w:suppressAutoHyphens/>
    </w:pPr>
    <w:rPr>
      <w:rFonts w:cs="Tahoma"/>
      <w:kern w:val="1"/>
      <w:lang w:eastAsia="ar-SA"/>
    </w:rPr>
  </w:style>
  <w:style w:type="paragraph" w:customStyle="1" w:styleId="327">
    <w:name w:val="Texte_pointe[2]"/>
    <w:qFormat/>
    <w:uiPriority w:val="99"/>
    <w:pPr>
      <w:tabs>
        <w:tab w:val="left" w:pos="1417"/>
        <w:tab w:val="left" w:pos="2551"/>
        <w:tab w:val="left" w:pos="5952"/>
      </w:tabs>
      <w:spacing w:before="120" w:after="120" w:line="276" w:lineRule="auto"/>
      <w:ind w:left="1417" w:hanging="284"/>
      <w:jc w:val="both"/>
    </w:pPr>
    <w:rPr>
      <w:rFonts w:ascii="Times New Roman" w:hAnsi="Times New Roman" w:eastAsia="宋体" w:cs="Times New Roman"/>
      <w:color w:val="C0C0C0"/>
      <w:sz w:val="24"/>
      <w:lang w:val="fr-FR" w:eastAsia="fr-FR" w:bidi="ar-SA"/>
    </w:rPr>
  </w:style>
  <w:style w:type="paragraph" w:customStyle="1" w:styleId="328">
    <w:name w:val="Section[0]"/>
    <w:qFormat/>
    <w:uiPriority w:val="99"/>
    <w:pPr>
      <w:keepNext/>
      <w:tabs>
        <w:tab w:val="left" w:pos="850"/>
      </w:tabs>
      <w:spacing w:before="419" w:after="200" w:line="317" w:lineRule="auto"/>
      <w:ind w:left="1417" w:hanging="1418"/>
    </w:pPr>
    <w:rPr>
      <w:rFonts w:ascii="Times New Roman" w:hAnsi="Times New Roman" w:eastAsia="宋体" w:cs="Times New Roman"/>
      <w:b/>
      <w:color w:val="C0C0C0"/>
      <w:sz w:val="28"/>
      <w:lang w:val="fr-FR" w:eastAsia="fr-FR" w:bidi="ar-SA"/>
    </w:rPr>
  </w:style>
  <w:style w:type="paragraph" w:customStyle="1" w:styleId="329">
    <w:name w:val="正文2"/>
    <w:basedOn w:val="1"/>
    <w:qFormat/>
    <w:uiPriority w:val="99"/>
    <w:pPr>
      <w:adjustRightInd w:val="0"/>
      <w:snapToGrid w:val="0"/>
      <w:spacing w:beforeLines="50" w:afterLines="50" w:line="420" w:lineRule="auto"/>
      <w:ind w:left="57" w:right="57"/>
      <w:jc w:val="center"/>
      <w:textAlignment w:val="baseline"/>
      <w:outlineLvl w:val="1"/>
    </w:pPr>
    <w:rPr>
      <w:rFonts w:ascii="宋体" w:hAnsi="宋体"/>
      <w:snapToGrid w:val="0"/>
      <w:color w:val="000000"/>
      <w:spacing w:val="6"/>
      <w:kern w:val="0"/>
      <w:sz w:val="28"/>
      <w:szCs w:val="20"/>
    </w:rPr>
  </w:style>
  <w:style w:type="paragraph" w:customStyle="1" w:styleId="330">
    <w:name w:val="香奈儿 1"/>
    <w:basedOn w:val="15"/>
    <w:next w:val="63"/>
    <w:qFormat/>
    <w:uiPriority w:val="99"/>
    <w:pPr>
      <w:widowControl/>
      <w:spacing w:before="100" w:after="100" w:line="240" w:lineRule="auto"/>
      <w:ind w:left="0" w:leftChars="0"/>
    </w:pPr>
    <w:rPr>
      <w:kern w:val="2"/>
      <w:sz w:val="24"/>
      <w:szCs w:val="20"/>
    </w:rPr>
  </w:style>
  <w:style w:type="paragraph" w:customStyle="1" w:styleId="331">
    <w:name w:val="Char Char Char"/>
    <w:basedOn w:val="21"/>
    <w:qFormat/>
    <w:uiPriority w:val="99"/>
    <w:pPr>
      <w:adjustRightInd w:val="0"/>
      <w:spacing w:line="436" w:lineRule="exact"/>
      <w:ind w:left="357"/>
      <w:jc w:val="left"/>
      <w:outlineLvl w:val="3"/>
    </w:pPr>
  </w:style>
  <w:style w:type="paragraph" w:customStyle="1" w:styleId="332">
    <w:name w:val="正文文本 21"/>
    <w:basedOn w:val="1"/>
    <w:qFormat/>
    <w:uiPriority w:val="99"/>
    <w:pPr>
      <w:widowControl/>
      <w:overflowPunct w:val="0"/>
      <w:autoSpaceDE w:val="0"/>
      <w:autoSpaceDN w:val="0"/>
      <w:adjustRightInd w:val="0"/>
      <w:ind w:left="709" w:firstLine="567"/>
      <w:jc w:val="left"/>
      <w:textAlignment w:val="baseline"/>
    </w:pPr>
    <w:rPr>
      <w:kern w:val="0"/>
      <w:sz w:val="24"/>
      <w:szCs w:val="20"/>
    </w:rPr>
  </w:style>
  <w:style w:type="paragraph" w:customStyle="1" w:styleId="333">
    <w:name w:val="yyn"/>
    <w:basedOn w:val="1"/>
    <w:qFormat/>
    <w:uiPriority w:val="99"/>
    <w:pPr>
      <w:keepNext/>
      <w:widowControl/>
      <w:tabs>
        <w:tab w:val="left" w:pos="1344"/>
      </w:tabs>
      <w:overflowPunct w:val="0"/>
      <w:autoSpaceDE w:val="0"/>
      <w:autoSpaceDN w:val="0"/>
      <w:adjustRightInd w:val="0"/>
      <w:snapToGrid w:val="0"/>
      <w:spacing w:line="360" w:lineRule="auto"/>
      <w:ind w:right="562" w:firstLine="576" w:firstLineChars="200"/>
      <w:textAlignment w:val="baseline"/>
    </w:pPr>
    <w:rPr>
      <w:rFonts w:ascii="宋体"/>
      <w:snapToGrid w:val="0"/>
      <w:color w:val="000000"/>
      <w:spacing w:val="-20"/>
      <w:kern w:val="16"/>
      <w:sz w:val="28"/>
      <w:szCs w:val="20"/>
    </w:rPr>
  </w:style>
  <w:style w:type="paragraph" w:customStyle="1" w:styleId="334">
    <w:name w:val="Char Char Char Char Char Char Char Char Char Char1"/>
    <w:basedOn w:val="1"/>
    <w:qFormat/>
    <w:uiPriority w:val="99"/>
    <w:rPr>
      <w:rFonts w:ascii="Arial" w:hAnsi="Arial" w:cs="Arial"/>
      <w:sz w:val="20"/>
      <w:szCs w:val="20"/>
    </w:rPr>
  </w:style>
  <w:style w:type="paragraph" w:customStyle="1" w:styleId="335">
    <w:name w:val="Tiret[2]"/>
    <w:basedOn w:val="1"/>
    <w:qFormat/>
    <w:uiPriority w:val="99"/>
    <w:pPr>
      <w:widowControl/>
      <w:spacing w:before="60" w:after="60"/>
      <w:ind w:left="2269" w:hanging="284"/>
    </w:pPr>
    <w:rPr>
      <w:kern w:val="0"/>
      <w:sz w:val="24"/>
      <w:szCs w:val="20"/>
      <w:lang w:val="fr-FR" w:eastAsia="fr-FR"/>
    </w:rPr>
  </w:style>
  <w:style w:type="paragraph" w:customStyle="1" w:styleId="336">
    <w:name w:val="引言 2"/>
    <w:next w:val="156"/>
    <w:qFormat/>
    <w:uiPriority w:val="99"/>
    <w:pPr>
      <w:tabs>
        <w:tab w:val="left" w:pos="2940"/>
      </w:tabs>
      <w:spacing w:line="310" w:lineRule="exact"/>
      <w:ind w:left="737" w:hanging="737"/>
    </w:pPr>
    <w:rPr>
      <w:rFonts w:ascii="Times New Roman" w:hAnsi="Times New Roman" w:eastAsia="黑体" w:cs="Times New Roman"/>
      <w:sz w:val="21"/>
      <w:lang w:val="en-US" w:eastAsia="zh-CN" w:bidi="ar-SA"/>
    </w:rPr>
  </w:style>
  <w:style w:type="paragraph" w:customStyle="1" w:styleId="337">
    <w:name w:val="1.1"/>
    <w:basedOn w:val="4"/>
    <w:qFormat/>
    <w:uiPriority w:val="99"/>
    <w:pPr>
      <w:keepNext w:val="0"/>
      <w:keepLines w:val="0"/>
      <w:tabs>
        <w:tab w:val="left" w:pos="780"/>
        <w:tab w:val="left" w:pos="2100"/>
      </w:tabs>
      <w:autoSpaceDE w:val="0"/>
      <w:autoSpaceDN w:val="0"/>
      <w:adjustRightInd w:val="0"/>
      <w:ind w:left="780" w:hanging="360"/>
      <w:jc w:val="left"/>
      <w:outlineLvl w:val="2"/>
    </w:pPr>
    <w:rPr>
      <w:rFonts w:ascii="宋体" w:hAnsi="宋体"/>
      <w:b w:val="0"/>
      <w:sz w:val="21"/>
      <w:szCs w:val="20"/>
    </w:rPr>
  </w:style>
  <w:style w:type="paragraph" w:customStyle="1" w:styleId="338">
    <w:name w:val="Formatvorlage1"/>
    <w:basedOn w:val="4"/>
    <w:qFormat/>
    <w:uiPriority w:val="99"/>
    <w:pPr>
      <w:keepLines w:val="0"/>
      <w:widowControl/>
      <w:tabs>
        <w:tab w:val="left" w:pos="2160"/>
      </w:tabs>
      <w:ind w:left="2160" w:hanging="180"/>
      <w:jc w:val="left"/>
    </w:pPr>
    <w:rPr>
      <w:rFonts w:ascii="Arial" w:hAnsi="Arial" w:eastAsia="黑体" w:cs="Arial"/>
      <w:b w:val="0"/>
      <w:lang w:val="fr-FR" w:eastAsia="de-DE"/>
    </w:rPr>
  </w:style>
  <w:style w:type="paragraph" w:customStyle="1" w:styleId="339">
    <w:name w:val="用户正文1"/>
    <w:qFormat/>
    <w:uiPriority w:val="99"/>
    <w:pPr>
      <w:tabs>
        <w:tab w:val="left" w:pos="3885"/>
      </w:tabs>
      <w:spacing w:line="360" w:lineRule="auto"/>
      <w:jc w:val="both"/>
      <w:textAlignment w:val="center"/>
    </w:pPr>
    <w:rPr>
      <w:rFonts w:ascii="Times New Roman" w:hAnsi="宋体" w:eastAsia="宋体" w:cs="Times New Roman"/>
      <w:b/>
      <w:kern w:val="2"/>
      <w:sz w:val="28"/>
      <w:szCs w:val="28"/>
      <w:lang w:val="en-US" w:eastAsia="zh-CN" w:bidi="ar-SA"/>
    </w:rPr>
  </w:style>
  <w:style w:type="paragraph" w:customStyle="1" w:styleId="340">
    <w:name w:val="Tiret"/>
    <w:basedOn w:val="1"/>
    <w:qFormat/>
    <w:uiPriority w:val="99"/>
    <w:pPr>
      <w:widowControl/>
      <w:spacing w:before="60" w:after="60"/>
      <w:ind w:left="1135" w:hanging="284"/>
    </w:pPr>
    <w:rPr>
      <w:kern w:val="0"/>
      <w:sz w:val="24"/>
      <w:szCs w:val="20"/>
      <w:lang w:val="fr-FR" w:eastAsia="fr-FR"/>
    </w:rPr>
  </w:style>
  <w:style w:type="paragraph" w:customStyle="1" w:styleId="341">
    <w:name w:val="样式 样式 样式 样式 标题 2 + 宋体 五号 非加粗 黑色 + 段前: 6 磅 段后: 0 磅 行距: 单倍行距 + 段前:..."/>
    <w:basedOn w:val="1"/>
    <w:qFormat/>
    <w:uiPriority w:val="99"/>
    <w:pPr>
      <w:keepNext/>
      <w:keepLines/>
      <w:tabs>
        <w:tab w:val="left" w:pos="1335"/>
      </w:tabs>
      <w:adjustRightInd w:val="0"/>
      <w:spacing w:before="240"/>
      <w:ind w:left="1260" w:hanging="420"/>
      <w:jc w:val="left"/>
      <w:textAlignment w:val="baseline"/>
      <w:outlineLvl w:val="1"/>
    </w:pPr>
    <w:rPr>
      <w:rFonts w:ascii="宋体" w:hAnsi="宋体" w:cs="宋体"/>
      <w:b/>
      <w:bCs/>
      <w:color w:val="000000"/>
      <w:kern w:val="0"/>
      <w:szCs w:val="20"/>
    </w:rPr>
  </w:style>
  <w:style w:type="paragraph" w:customStyle="1" w:styleId="342">
    <w:name w:val="正文悬挂缩进"/>
    <w:basedOn w:val="151"/>
    <w:qFormat/>
    <w:uiPriority w:val="99"/>
    <w:pPr>
      <w:ind w:left="720" w:leftChars="0" w:hanging="720" w:hangingChars="300"/>
    </w:pPr>
  </w:style>
  <w:style w:type="paragraph" w:customStyle="1" w:styleId="343">
    <w:name w:val="默认段落字体 Para Char Char Char Char Char Char Char Char Char Char"/>
    <w:basedOn w:val="1"/>
    <w:qFormat/>
    <w:uiPriority w:val="99"/>
    <w:rPr>
      <w:rFonts w:ascii="Arial" w:hAnsi="Arial" w:cs="Arial"/>
      <w:sz w:val="20"/>
      <w:szCs w:val="20"/>
    </w:rPr>
  </w:style>
  <w:style w:type="paragraph" w:customStyle="1" w:styleId="344">
    <w:name w:val="xl32"/>
    <w:basedOn w:val="1"/>
    <w:qFormat/>
    <w:uiPriority w:val="99"/>
    <w:pPr>
      <w:widowControl/>
      <w:pBdr>
        <w:top w:val="single" w:color="808080" w:sz="4" w:space="0"/>
        <w:bottom w:val="single" w:color="808080" w:sz="8" w:space="0"/>
      </w:pBdr>
      <w:tabs>
        <w:tab w:val="left" w:pos="2247"/>
      </w:tabs>
      <w:spacing w:before="100" w:beforeAutospacing="1" w:after="100" w:afterAutospacing="1"/>
      <w:ind w:hanging="420"/>
      <w:jc w:val="left"/>
      <w:textAlignment w:val="top"/>
    </w:pPr>
    <w:rPr>
      <w:rFonts w:ascii="Arial" w:hAnsi="Arial" w:eastAsia="Arial Unicode MS" w:cs="Arial"/>
      <w:kern w:val="0"/>
      <w:sz w:val="16"/>
      <w:szCs w:val="16"/>
      <w:lang w:val="fr-FR" w:eastAsia="fr-FR"/>
    </w:rPr>
  </w:style>
  <w:style w:type="paragraph" w:customStyle="1" w:styleId="345">
    <w:name w:val="SOUS-TITRE PARA"/>
    <w:next w:val="1"/>
    <w:qFormat/>
    <w:uiPriority w:val="99"/>
    <w:pPr>
      <w:spacing w:after="120"/>
    </w:pPr>
    <w:rPr>
      <w:rFonts w:ascii="Times New Roman" w:hAnsi="Times New Roman" w:eastAsia="宋体" w:cs="Times New Roman"/>
      <w:b/>
      <w:sz w:val="24"/>
      <w:lang w:val="fr-FR" w:eastAsia="fr-FR" w:bidi="ar-SA"/>
    </w:rPr>
  </w:style>
  <w:style w:type="paragraph" w:customStyle="1" w:styleId="346">
    <w:name w:val="Niv2 Puce2"/>
    <w:basedOn w:val="169"/>
    <w:qFormat/>
    <w:uiPriority w:val="99"/>
    <w:pPr>
      <w:ind w:left="1191"/>
    </w:pPr>
  </w:style>
  <w:style w:type="paragraph" w:customStyle="1" w:styleId="347">
    <w:name w:val="表文字左边"/>
    <w:basedOn w:val="1"/>
    <w:qFormat/>
    <w:uiPriority w:val="99"/>
    <w:pPr>
      <w:autoSpaceDE w:val="0"/>
      <w:autoSpaceDN w:val="0"/>
      <w:spacing w:line="320" w:lineRule="exact"/>
      <w:jc w:val="left"/>
      <w:textAlignment w:val="bottom"/>
    </w:pPr>
    <w:rPr>
      <w:rFonts w:ascii="宋体" w:hAnsi="宋体"/>
      <w:szCs w:val="21"/>
    </w:rPr>
  </w:style>
  <w:style w:type="paragraph" w:customStyle="1" w:styleId="348">
    <w:name w:val="样式1"/>
    <w:basedOn w:val="3"/>
    <w:next w:val="1"/>
    <w:qFormat/>
    <w:uiPriority w:val="99"/>
    <w:pPr>
      <w:keepNext/>
      <w:keepLines/>
      <w:adjustRightInd w:val="0"/>
      <w:spacing w:beforeLines="0" w:afterLines="0" w:line="240" w:lineRule="auto"/>
    </w:pPr>
    <w:rPr>
      <w:rFonts w:ascii="黑体" w:eastAsia="黑体"/>
      <w:color w:val="auto"/>
      <w:kern w:val="28"/>
      <w:sz w:val="30"/>
      <w:szCs w:val="20"/>
    </w:rPr>
  </w:style>
  <w:style w:type="paragraph" w:customStyle="1" w:styleId="349">
    <w:name w:val="xl25"/>
    <w:basedOn w:val="1"/>
    <w:qFormat/>
    <w:uiPriority w:val="99"/>
    <w:pPr>
      <w:widowControl/>
      <w:pBdr>
        <w:top w:val="single" w:color="808080" w:sz="4" w:space="0"/>
      </w:pBdr>
      <w:spacing w:before="100" w:beforeAutospacing="1" w:after="100" w:afterAutospacing="1"/>
      <w:jc w:val="left"/>
    </w:pPr>
    <w:rPr>
      <w:rFonts w:ascii="Arial Unicode MS" w:hAnsi="Arial Unicode MS" w:eastAsia="Arial Unicode MS" w:cs="Arial Unicode MS"/>
      <w:kern w:val="0"/>
      <w:sz w:val="24"/>
      <w:lang w:val="fr-FR" w:eastAsia="fr-FR"/>
    </w:rPr>
  </w:style>
  <w:style w:type="paragraph" w:customStyle="1" w:styleId="350">
    <w:name w:val="Niv2 Puce5"/>
    <w:basedOn w:val="1"/>
    <w:qFormat/>
    <w:uiPriority w:val="99"/>
    <w:pPr>
      <w:widowControl/>
      <w:spacing w:before="20" w:after="20"/>
      <w:ind w:left="2098" w:right="454" w:hanging="340"/>
    </w:pPr>
    <w:rPr>
      <w:kern w:val="0"/>
      <w:sz w:val="24"/>
      <w:szCs w:val="20"/>
      <w:lang w:val="fr-FR" w:eastAsia="fr-FR"/>
    </w:rPr>
  </w:style>
  <w:style w:type="paragraph" w:customStyle="1" w:styleId="351">
    <w:name w:val="Char1 Char Char Char Char Char Char"/>
    <w:basedOn w:val="1"/>
    <w:qFormat/>
    <w:uiPriority w:val="99"/>
    <w:rPr>
      <w:rFonts w:ascii="Tahoma" w:hAnsi="Tahoma" w:eastAsia="仿宋_GB2312"/>
      <w:b/>
      <w:sz w:val="24"/>
      <w:szCs w:val="20"/>
    </w:rPr>
  </w:style>
  <w:style w:type="paragraph" w:customStyle="1" w:styleId="352">
    <w:name w:val="Image"/>
    <w:basedOn w:val="1"/>
    <w:next w:val="1"/>
    <w:qFormat/>
    <w:uiPriority w:val="99"/>
    <w:pPr>
      <w:widowControl/>
      <w:tabs>
        <w:tab w:val="left" w:pos="1260"/>
      </w:tabs>
      <w:spacing w:before="120" w:after="120"/>
      <w:jc w:val="center"/>
    </w:pPr>
    <w:rPr>
      <w:rFonts w:ascii="Arial" w:hAnsi="Arial"/>
      <w:kern w:val="0"/>
      <w:sz w:val="20"/>
      <w:szCs w:val="20"/>
      <w:lang w:val="en-GB" w:eastAsia="fr-FR"/>
    </w:rPr>
  </w:style>
  <w:style w:type="paragraph" w:customStyle="1" w:styleId="353">
    <w:name w:val="北京投标标题3"/>
    <w:basedOn w:val="1"/>
    <w:qFormat/>
    <w:uiPriority w:val="99"/>
    <w:pPr>
      <w:spacing w:line="360" w:lineRule="auto"/>
    </w:pPr>
    <w:rPr>
      <w:sz w:val="24"/>
    </w:rPr>
  </w:style>
  <w:style w:type="paragraph" w:customStyle="1" w:styleId="354">
    <w:name w:val="xl28"/>
    <w:basedOn w:val="1"/>
    <w:qFormat/>
    <w:uiPriority w:val="99"/>
    <w:pPr>
      <w:widowControl/>
      <w:spacing w:before="100" w:beforeAutospacing="1" w:after="100" w:afterAutospacing="1"/>
      <w:jc w:val="center"/>
    </w:pPr>
    <w:rPr>
      <w:rFonts w:ascii="Arial" w:hAnsi="Arial" w:eastAsia="Arial Unicode MS" w:cs="Arial"/>
      <w:b/>
      <w:bCs/>
      <w:kern w:val="0"/>
      <w:sz w:val="24"/>
      <w:lang w:val="fr-FR" w:eastAsia="fr-FR"/>
    </w:rPr>
  </w:style>
  <w:style w:type="paragraph" w:customStyle="1" w:styleId="355">
    <w:name w:val="Centre titre"/>
    <w:basedOn w:val="1"/>
    <w:next w:val="1"/>
    <w:qFormat/>
    <w:uiPriority w:val="99"/>
    <w:pPr>
      <w:widowControl/>
      <w:ind w:left="142" w:right="283"/>
      <w:jc w:val="center"/>
    </w:pPr>
    <w:rPr>
      <w:kern w:val="0"/>
      <w:sz w:val="32"/>
      <w:szCs w:val="20"/>
      <w:lang w:val="fr-FR" w:eastAsia="fr-FR"/>
    </w:rPr>
  </w:style>
  <w:style w:type="paragraph" w:customStyle="1" w:styleId="356">
    <w:name w:val="条文 0"/>
    <w:next w:val="1"/>
    <w:qFormat/>
    <w:uiPriority w:val="99"/>
    <w:pPr>
      <w:tabs>
        <w:tab w:val="left" w:pos="720"/>
      </w:tabs>
      <w:spacing w:before="240" w:after="240"/>
    </w:pPr>
    <w:rPr>
      <w:rFonts w:ascii="Times New Roman" w:hAnsi="Times New Roman" w:eastAsia="黑体" w:cs="Times New Roman"/>
      <w:sz w:val="21"/>
      <w:lang w:val="en-US" w:eastAsia="zh-CN" w:bidi="ar-SA"/>
    </w:rPr>
  </w:style>
  <w:style w:type="paragraph" w:customStyle="1" w:styleId="357">
    <w:name w:val="normal 3"/>
    <w:basedOn w:val="222"/>
    <w:qFormat/>
    <w:uiPriority w:val="99"/>
    <w:pPr>
      <w:ind w:left="1701"/>
    </w:pPr>
  </w:style>
  <w:style w:type="paragraph" w:customStyle="1" w:styleId="358">
    <w:name w:val="xl22"/>
    <w:basedOn w:val="1"/>
    <w:qFormat/>
    <w:uiPriority w:val="99"/>
    <w:pPr>
      <w:widowControl/>
      <w:spacing w:before="100" w:beforeAutospacing="1" w:after="100" w:afterAutospacing="1"/>
      <w:jc w:val="left"/>
    </w:pPr>
    <w:rPr>
      <w:rFonts w:ascii="Arial" w:hAnsi="Arial" w:eastAsia="Arial Unicode MS" w:cs="Arial"/>
      <w:kern w:val="0"/>
      <w:sz w:val="16"/>
      <w:szCs w:val="16"/>
      <w:lang w:val="fr-FR" w:eastAsia="fr-FR"/>
    </w:rPr>
  </w:style>
  <w:style w:type="paragraph" w:customStyle="1" w:styleId="359">
    <w:name w:val="Heading"/>
    <w:next w:val="1"/>
    <w:qFormat/>
    <w:uiPriority w:val="99"/>
    <w:pPr>
      <w:suppressAutoHyphens/>
    </w:pPr>
    <w:rPr>
      <w:rFonts w:ascii="Arial" w:hAnsi="Arial" w:eastAsia="宋体" w:cs="Arial"/>
      <w:b/>
      <w:caps/>
      <w:color w:val="000080"/>
      <w:sz w:val="24"/>
      <w:szCs w:val="24"/>
      <w:lang w:val="en-GB" w:eastAsia="ar-SA" w:bidi="ar-SA"/>
    </w:rPr>
  </w:style>
  <w:style w:type="paragraph" w:customStyle="1" w:styleId="360">
    <w:name w:val="样式3"/>
    <w:basedOn w:val="1"/>
    <w:qFormat/>
    <w:uiPriority w:val="99"/>
    <w:pPr>
      <w:tabs>
        <w:tab w:val="left" w:pos="1080"/>
        <w:tab w:val="center" w:pos="4320"/>
        <w:tab w:val="right" w:pos="8640"/>
      </w:tabs>
    </w:pPr>
    <w:rPr>
      <w:b/>
      <w:sz w:val="24"/>
    </w:rPr>
  </w:style>
  <w:style w:type="paragraph" w:customStyle="1" w:styleId="361">
    <w:name w:val="xl55"/>
    <w:basedOn w:val="1"/>
    <w:qFormat/>
    <w:uiPriority w:val="99"/>
    <w:pPr>
      <w:widowControl/>
      <w:pBdr>
        <w:left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kern w:val="0"/>
      <w:sz w:val="20"/>
      <w:szCs w:val="20"/>
    </w:rPr>
  </w:style>
  <w:style w:type="paragraph" w:customStyle="1" w:styleId="362">
    <w:name w:val="PARA 5"/>
    <w:basedOn w:val="298"/>
    <w:qFormat/>
    <w:uiPriority w:val="99"/>
    <w:pPr>
      <w:tabs>
        <w:tab w:val="left" w:pos="1843"/>
      </w:tabs>
      <w:ind w:left="1134"/>
    </w:pPr>
  </w:style>
  <w:style w:type="paragraph" w:customStyle="1" w:styleId="363">
    <w:name w:val="数字编号列项（二级）"/>
    <w:qFormat/>
    <w:uiPriority w:val="99"/>
    <w:pPr>
      <w:ind w:left="1260" w:leftChars="400" w:hanging="420" w:hangingChars="200"/>
      <w:jc w:val="both"/>
    </w:pPr>
    <w:rPr>
      <w:rFonts w:ascii="宋体" w:hAnsi="Times New Roman" w:eastAsia="宋体" w:cs="Times New Roman"/>
      <w:sz w:val="21"/>
      <w:lang w:val="en-US" w:eastAsia="zh-CN" w:bidi="ar-SA"/>
    </w:rPr>
  </w:style>
  <w:style w:type="paragraph" w:customStyle="1" w:styleId="364">
    <w:name w:val="Y标4"/>
    <w:basedOn w:val="6"/>
    <w:qFormat/>
    <w:uiPriority w:val="99"/>
    <w:pPr>
      <w:keepLines w:val="0"/>
      <w:tabs>
        <w:tab w:val="left" w:pos="2235"/>
      </w:tabs>
      <w:snapToGrid w:val="0"/>
      <w:spacing w:before="0" w:after="0" w:line="360" w:lineRule="auto"/>
      <w:ind w:left="2100" w:hanging="420"/>
    </w:pPr>
    <w:rPr>
      <w:rFonts w:ascii="宋体" w:hAnsi="宋体" w:eastAsia="宋体"/>
      <w:sz w:val="24"/>
      <w:szCs w:val="24"/>
    </w:rPr>
  </w:style>
  <w:style w:type="paragraph" w:customStyle="1" w:styleId="365">
    <w:name w:val="font0"/>
    <w:basedOn w:val="1"/>
    <w:qFormat/>
    <w:uiPriority w:val="99"/>
    <w:pPr>
      <w:widowControl/>
      <w:spacing w:before="100" w:beforeAutospacing="1" w:after="100" w:afterAutospacing="1"/>
      <w:jc w:val="left"/>
    </w:pPr>
    <w:rPr>
      <w:rFonts w:hint="eastAsia" w:ascii="宋体" w:hAnsi="宋体" w:cs="Arial Unicode MS"/>
      <w:kern w:val="0"/>
      <w:sz w:val="24"/>
    </w:rPr>
  </w:style>
  <w:style w:type="paragraph" w:customStyle="1" w:styleId="366">
    <w:name w:val="样式 标题 2Heading 2 Char2 headline Charh Charheadline CharS&amp;R2..."/>
    <w:basedOn w:val="4"/>
    <w:qFormat/>
    <w:uiPriority w:val="99"/>
    <w:pPr>
      <w:widowControl/>
      <w:tabs>
        <w:tab w:val="left" w:pos="1701"/>
      </w:tabs>
      <w:suppressAutoHyphens/>
      <w:spacing w:before="180" w:after="180" w:line="240" w:lineRule="auto"/>
      <w:jc w:val="left"/>
    </w:pPr>
    <w:rPr>
      <w:rFonts w:ascii="宋体" w:hAnsi="宋体" w:cs="Arial"/>
      <w:bCs/>
      <w:color w:val="000080"/>
      <w:sz w:val="28"/>
      <w:lang w:val="en-GB" w:eastAsia="ar-SA"/>
    </w:rPr>
  </w:style>
  <w:style w:type="paragraph" w:customStyle="1" w:styleId="367">
    <w:name w:val="CourantCellule"/>
    <w:qFormat/>
    <w:uiPriority w:val="99"/>
    <w:pPr>
      <w:spacing w:line="240" w:lineRule="exact"/>
    </w:pPr>
    <w:rPr>
      <w:rFonts w:ascii="Times New Roman" w:hAnsi="Times New Roman" w:eastAsia="宋体" w:cs="Times New Roman"/>
      <w:sz w:val="24"/>
      <w:lang w:val="fr-FR" w:eastAsia="fr-FR" w:bidi="ar-SA"/>
    </w:rPr>
  </w:style>
  <w:style w:type="paragraph" w:customStyle="1" w:styleId="368">
    <w:name w:val="Niv2 Puce4"/>
    <w:basedOn w:val="176"/>
    <w:qFormat/>
    <w:uiPriority w:val="99"/>
    <w:pPr>
      <w:ind w:left="1758"/>
    </w:pPr>
  </w:style>
  <w:style w:type="paragraph" w:customStyle="1" w:styleId="369">
    <w:name w:val="xl31"/>
    <w:basedOn w:val="1"/>
    <w:qFormat/>
    <w:uiPriority w:val="99"/>
    <w:pPr>
      <w:widowControl/>
      <w:pBdr>
        <w:top w:val="single" w:color="808080" w:sz="4" w:space="0"/>
      </w:pBdr>
      <w:tabs>
        <w:tab w:val="left" w:pos="1407"/>
      </w:tabs>
      <w:spacing w:before="100" w:beforeAutospacing="1" w:after="100" w:afterAutospacing="1"/>
      <w:ind w:hanging="420"/>
      <w:jc w:val="left"/>
      <w:textAlignment w:val="top"/>
    </w:pPr>
    <w:rPr>
      <w:rFonts w:ascii="Arial" w:hAnsi="Arial" w:eastAsia="Arial Unicode MS" w:cs="Arial"/>
      <w:kern w:val="0"/>
      <w:sz w:val="16"/>
      <w:szCs w:val="16"/>
      <w:lang w:val="fr-FR" w:eastAsia="fr-FR"/>
    </w:rPr>
  </w:style>
  <w:style w:type="paragraph" w:customStyle="1" w:styleId="370">
    <w:name w:val="附录 3"/>
    <w:next w:val="156"/>
    <w:qFormat/>
    <w:uiPriority w:val="99"/>
    <w:pPr>
      <w:tabs>
        <w:tab w:val="left" w:pos="1260"/>
        <w:tab w:val="left" w:pos="1380"/>
      </w:tabs>
      <w:spacing w:before="100" w:beforeAutospacing="1" w:after="100" w:afterAutospacing="1" w:line="310" w:lineRule="exact"/>
      <w:ind w:left="1260" w:hanging="420"/>
    </w:pPr>
    <w:rPr>
      <w:rFonts w:ascii="Times New Roman" w:hAnsi="Times New Roman" w:eastAsia="黑体" w:cs="Times New Roman"/>
      <w:sz w:val="21"/>
      <w:lang w:val="en-US" w:eastAsia="zh-CN" w:bidi="ar-SA"/>
    </w:rPr>
  </w:style>
  <w:style w:type="paragraph" w:customStyle="1" w:styleId="371">
    <w:name w:val="默认段落字体 Para Char Char Char1 Char"/>
    <w:basedOn w:val="1"/>
    <w:qFormat/>
    <w:uiPriority w:val="99"/>
    <w:pPr>
      <w:spacing w:line="240" w:lineRule="atLeast"/>
      <w:ind w:left="420" w:firstLine="420"/>
    </w:pPr>
    <w:rPr>
      <w:kern w:val="0"/>
      <w:szCs w:val="21"/>
    </w:rPr>
  </w:style>
  <w:style w:type="paragraph" w:customStyle="1" w:styleId="372">
    <w:name w:val="KABA2te"/>
    <w:basedOn w:val="1"/>
    <w:qFormat/>
    <w:uiPriority w:val="99"/>
    <w:pPr>
      <w:jc w:val="left"/>
    </w:pPr>
    <w:rPr>
      <w:sz w:val="20"/>
    </w:rPr>
  </w:style>
  <w:style w:type="paragraph" w:customStyle="1" w:styleId="373">
    <w:name w:val="备注"/>
    <w:basedOn w:val="1"/>
    <w:qFormat/>
    <w:uiPriority w:val="99"/>
    <w:pPr>
      <w:spacing w:line="400" w:lineRule="atLeast"/>
    </w:pPr>
    <w:rPr>
      <w:szCs w:val="21"/>
    </w:rPr>
  </w:style>
  <w:style w:type="paragraph" w:customStyle="1" w:styleId="374">
    <w:name w:val="Paragraphe[1]"/>
    <w:basedOn w:val="1"/>
    <w:qFormat/>
    <w:uiPriority w:val="99"/>
    <w:pPr>
      <w:widowControl/>
      <w:spacing w:before="60" w:after="60"/>
      <w:ind w:left="851"/>
    </w:pPr>
    <w:rPr>
      <w:kern w:val="0"/>
      <w:sz w:val="24"/>
      <w:szCs w:val="20"/>
      <w:lang w:val="fr-FR" w:eastAsia="fr-FR"/>
    </w:rPr>
  </w:style>
  <w:style w:type="paragraph" w:customStyle="1" w:styleId="375">
    <w:name w:val="Texte_pointé[1]"/>
    <w:basedOn w:val="1"/>
    <w:qFormat/>
    <w:uiPriority w:val="99"/>
    <w:pPr>
      <w:widowControl/>
      <w:spacing w:before="60" w:after="60"/>
      <w:ind w:left="1702" w:hanging="284"/>
    </w:pPr>
    <w:rPr>
      <w:kern w:val="0"/>
      <w:sz w:val="24"/>
      <w:szCs w:val="20"/>
      <w:lang w:val="fr-FR" w:eastAsia="fr-FR"/>
    </w:rPr>
  </w:style>
  <w:style w:type="paragraph" w:customStyle="1" w:styleId="376">
    <w:name w:val="Picture"/>
    <w:basedOn w:val="1"/>
    <w:qFormat/>
    <w:uiPriority w:val="99"/>
    <w:pPr>
      <w:keepNext/>
      <w:widowControl/>
      <w:tabs>
        <w:tab w:val="left" w:pos="4632"/>
      </w:tabs>
      <w:suppressAutoHyphens/>
      <w:spacing w:before="120" w:after="120"/>
      <w:jc w:val="center"/>
    </w:pPr>
    <w:rPr>
      <w:kern w:val="0"/>
      <w:sz w:val="24"/>
      <w:szCs w:val="20"/>
      <w:lang w:val="en-GB" w:eastAsia="ar-SA"/>
    </w:rPr>
  </w:style>
  <w:style w:type="paragraph" w:customStyle="1" w:styleId="377">
    <w:name w:val="xl30"/>
    <w:basedOn w:val="1"/>
    <w:qFormat/>
    <w:uiPriority w:val="99"/>
    <w:pPr>
      <w:widowControl/>
      <w:pBdr>
        <w:top w:val="single" w:color="808080" w:sz="4" w:space="0"/>
      </w:pBdr>
      <w:tabs>
        <w:tab w:val="left" w:pos="987"/>
      </w:tabs>
      <w:spacing w:before="100" w:beforeAutospacing="1" w:after="100" w:afterAutospacing="1"/>
      <w:ind w:left="987" w:hanging="420"/>
      <w:jc w:val="left"/>
      <w:textAlignment w:val="top"/>
    </w:pPr>
    <w:rPr>
      <w:rFonts w:ascii="Arial" w:hAnsi="Arial" w:eastAsia="Arial Unicode MS" w:cs="Arial"/>
      <w:kern w:val="0"/>
      <w:sz w:val="16"/>
      <w:szCs w:val="16"/>
      <w:lang w:val="fr-FR" w:eastAsia="fr-FR"/>
    </w:rPr>
  </w:style>
  <w:style w:type="paragraph" w:customStyle="1" w:styleId="378">
    <w:name w:val="表居中"/>
    <w:basedOn w:val="347"/>
    <w:qFormat/>
    <w:uiPriority w:val="99"/>
    <w:pPr>
      <w:jc w:val="center"/>
    </w:pPr>
    <w:rPr>
      <w:b/>
    </w:rPr>
  </w:style>
  <w:style w:type="paragraph" w:customStyle="1" w:styleId="379">
    <w:name w:val="条文 图"/>
    <w:next w:val="156"/>
    <w:qFormat/>
    <w:uiPriority w:val="99"/>
    <w:pPr>
      <w:jc w:val="center"/>
    </w:pPr>
    <w:rPr>
      <w:rFonts w:ascii="Times New Roman" w:hAnsi="Times New Roman" w:eastAsia="黑体" w:cs="Times New Roman"/>
      <w:sz w:val="21"/>
      <w:lang w:val="en-US" w:eastAsia="zh-CN" w:bidi="ar-SA"/>
    </w:rPr>
  </w:style>
  <w:style w:type="paragraph" w:customStyle="1" w:styleId="380">
    <w:name w:val="Char Char Char Char Char Char Char Char Char"/>
    <w:basedOn w:val="1"/>
    <w:qFormat/>
    <w:uiPriority w:val="99"/>
    <w:rPr>
      <w:rFonts w:ascii="Arial" w:hAnsi="Arial" w:cs="Arial"/>
      <w:sz w:val="20"/>
      <w:szCs w:val="20"/>
    </w:rPr>
  </w:style>
  <w:style w:type="paragraph" w:customStyle="1" w:styleId="381">
    <w:name w:val="Figure"/>
    <w:qFormat/>
    <w:uiPriority w:val="99"/>
    <w:pPr>
      <w:tabs>
        <w:tab w:val="left" w:pos="2834"/>
      </w:tabs>
      <w:spacing w:before="240" w:after="120" w:line="276" w:lineRule="auto"/>
      <w:ind w:left="1133"/>
      <w:jc w:val="center"/>
    </w:pPr>
    <w:rPr>
      <w:rFonts w:ascii="Times New Roman" w:hAnsi="Times New Roman" w:eastAsia="宋体" w:cs="Times New Roman"/>
      <w:i/>
      <w:color w:val="C0C0C0"/>
      <w:sz w:val="24"/>
      <w:lang w:val="fr-FR" w:eastAsia="fr-FR" w:bidi="ar-SA"/>
    </w:rPr>
  </w:style>
  <w:style w:type="paragraph" w:customStyle="1" w:styleId="382">
    <w:name w:val="ACadre"/>
    <w:basedOn w:val="1"/>
    <w:qFormat/>
    <w:uiPriority w:val="99"/>
    <w:pPr>
      <w:widowControl/>
      <w:spacing w:before="120" w:after="120"/>
    </w:pPr>
    <w:rPr>
      <w:b/>
      <w:kern w:val="0"/>
      <w:sz w:val="24"/>
      <w:szCs w:val="20"/>
      <w:lang w:val="fr-FR" w:eastAsia="fr-FR"/>
    </w:rPr>
  </w:style>
  <w:style w:type="paragraph" w:customStyle="1" w:styleId="383">
    <w:name w:val="Puce"/>
    <w:basedOn w:val="1"/>
    <w:qFormat/>
    <w:uiPriority w:val="99"/>
    <w:pPr>
      <w:widowControl/>
      <w:tabs>
        <w:tab w:val="left" w:pos="567"/>
        <w:tab w:val="left" w:pos="927"/>
      </w:tabs>
      <w:spacing w:before="120" w:after="120"/>
      <w:ind w:left="927" w:hanging="720"/>
    </w:pPr>
    <w:rPr>
      <w:kern w:val="0"/>
      <w:sz w:val="24"/>
      <w:szCs w:val="20"/>
      <w:lang w:val="fr-FR" w:eastAsia="fr-FR"/>
    </w:rPr>
  </w:style>
  <w:style w:type="paragraph" w:customStyle="1" w:styleId="384">
    <w:name w:val="xl35"/>
    <w:basedOn w:val="1"/>
    <w:qFormat/>
    <w:uiPriority w:val="99"/>
    <w:pPr>
      <w:widowControl/>
      <w:pBdr>
        <w:top w:val="single" w:color="808080" w:sz="4" w:space="0"/>
        <w:bottom w:val="single" w:color="808080" w:sz="8" w:space="0"/>
      </w:pBdr>
      <w:tabs>
        <w:tab w:val="left" w:pos="3927"/>
      </w:tabs>
      <w:spacing w:before="100" w:beforeAutospacing="1" w:after="100" w:afterAutospacing="1"/>
      <w:ind w:left="3927" w:hanging="420"/>
      <w:jc w:val="left"/>
      <w:textAlignment w:val="top"/>
    </w:pPr>
    <w:rPr>
      <w:rFonts w:ascii="Arial" w:hAnsi="Arial" w:eastAsia="Arial Unicode MS" w:cs="Arial"/>
      <w:kern w:val="0"/>
      <w:sz w:val="24"/>
      <w:lang w:val="fr-FR" w:eastAsia="fr-FR"/>
    </w:rPr>
  </w:style>
  <w:style w:type="paragraph" w:customStyle="1" w:styleId="385">
    <w:name w:val="_Style 36"/>
    <w:basedOn w:val="1"/>
    <w:next w:val="33"/>
    <w:qFormat/>
    <w:uiPriority w:val="99"/>
    <w:pPr>
      <w:spacing w:line="360" w:lineRule="auto"/>
      <w:ind w:left="1134" w:hanging="1134"/>
    </w:pPr>
    <w:rPr>
      <w:rFonts w:ascii="宋体" w:hAnsi="Courier New"/>
      <w:kern w:val="0"/>
      <w:sz w:val="24"/>
      <w:szCs w:val="20"/>
    </w:rPr>
  </w:style>
  <w:style w:type="paragraph" w:customStyle="1" w:styleId="386">
    <w:name w:val="Enumération[0]"/>
    <w:basedOn w:val="1"/>
    <w:qFormat/>
    <w:uiPriority w:val="99"/>
    <w:pPr>
      <w:widowControl/>
      <w:spacing w:before="60" w:after="60"/>
      <w:ind w:left="1418" w:hanging="284"/>
    </w:pPr>
    <w:rPr>
      <w:kern w:val="0"/>
      <w:sz w:val="24"/>
      <w:szCs w:val="20"/>
      <w:lang w:val="fr-FR" w:eastAsia="fr-FR"/>
    </w:rPr>
  </w:style>
  <w:style w:type="paragraph" w:customStyle="1" w:styleId="387">
    <w:name w:val="表格文本"/>
    <w:qFormat/>
    <w:uiPriority w:val="99"/>
    <w:pPr>
      <w:widowControl w:val="0"/>
      <w:adjustRightInd w:val="0"/>
      <w:snapToGrid w:val="0"/>
      <w:spacing w:line="300" w:lineRule="exact"/>
      <w:ind w:left="-59"/>
      <w:jc w:val="both"/>
    </w:pPr>
    <w:rPr>
      <w:rFonts w:ascii="宋体" w:hAnsi="宋体" w:eastAsia="楷体_GB2312" w:cs="Arial"/>
      <w:sz w:val="21"/>
      <w:lang w:val="en-US" w:eastAsia="zh-CN" w:bidi="ar-SA"/>
    </w:rPr>
  </w:style>
  <w:style w:type="paragraph" w:customStyle="1" w:styleId="388">
    <w:name w:val="Body Text 22"/>
    <w:basedOn w:val="1"/>
    <w:qFormat/>
    <w:uiPriority w:val="99"/>
    <w:pPr>
      <w:widowControl/>
      <w:ind w:left="851"/>
    </w:pPr>
    <w:rPr>
      <w:kern w:val="0"/>
      <w:sz w:val="24"/>
      <w:szCs w:val="20"/>
      <w:lang w:val="fr-FR" w:eastAsia="fr-FR"/>
    </w:rPr>
  </w:style>
  <w:style w:type="paragraph" w:customStyle="1" w:styleId="389">
    <w:name w:val="norme2"/>
    <w:basedOn w:val="33"/>
    <w:qFormat/>
    <w:uiPriority w:val="99"/>
    <w:pPr>
      <w:widowControl/>
      <w:spacing w:line="240" w:lineRule="auto"/>
      <w:jc w:val="left"/>
    </w:pPr>
    <w:rPr>
      <w:rFonts w:ascii="Times New Roman" w:hAnsi="Times New Roman"/>
      <w:kern w:val="2"/>
      <w:sz w:val="24"/>
      <w:szCs w:val="24"/>
      <w:lang w:val="fr-FR" w:eastAsia="fr-FR"/>
    </w:rPr>
  </w:style>
  <w:style w:type="paragraph" w:customStyle="1" w:styleId="390">
    <w:name w:val="Section[1]"/>
    <w:qFormat/>
    <w:uiPriority w:val="99"/>
    <w:pPr>
      <w:keepNext/>
      <w:tabs>
        <w:tab w:val="left" w:pos="1133"/>
      </w:tabs>
      <w:spacing w:before="240" w:after="120" w:line="276" w:lineRule="auto"/>
      <w:ind w:left="1133" w:hanging="1134"/>
    </w:pPr>
    <w:rPr>
      <w:rFonts w:ascii="Times New Roman" w:hAnsi="Times New Roman" w:eastAsia="宋体" w:cs="Times New Roman"/>
      <w:b/>
      <w:color w:val="C0C0C0"/>
      <w:sz w:val="24"/>
      <w:lang w:val="fr-FR" w:eastAsia="fr-FR" w:bidi="ar-SA"/>
    </w:rPr>
  </w:style>
  <w:style w:type="paragraph" w:customStyle="1" w:styleId="391">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392">
    <w:name w:val="Texte_pointe[3]"/>
    <w:qFormat/>
    <w:uiPriority w:val="99"/>
    <w:pPr>
      <w:tabs>
        <w:tab w:val="left" w:pos="1700"/>
        <w:tab w:val="left" w:pos="2551"/>
        <w:tab w:val="left" w:pos="5952"/>
      </w:tabs>
      <w:spacing w:before="120" w:after="120" w:line="276" w:lineRule="auto"/>
      <w:ind w:left="1700" w:hanging="284"/>
      <w:jc w:val="both"/>
    </w:pPr>
    <w:rPr>
      <w:rFonts w:ascii="Times New Roman" w:hAnsi="Times New Roman" w:eastAsia="宋体" w:cs="Times New Roman"/>
      <w:color w:val="C0C0C0"/>
      <w:sz w:val="24"/>
      <w:lang w:val="fr-FR" w:eastAsia="fr-FR" w:bidi="ar-SA"/>
    </w:rPr>
  </w:style>
  <w:style w:type="paragraph" w:customStyle="1" w:styleId="393">
    <w:name w:val="字母编号列项（一级）"/>
    <w:qFormat/>
    <w:uiPriority w:val="99"/>
    <w:pPr>
      <w:ind w:left="840" w:leftChars="200" w:hanging="420" w:hangingChars="200"/>
      <w:jc w:val="both"/>
    </w:pPr>
    <w:rPr>
      <w:rFonts w:ascii="宋体" w:hAnsi="Times New Roman" w:eastAsia="宋体" w:cs="Times New Roman"/>
      <w:sz w:val="21"/>
      <w:lang w:val="en-US" w:eastAsia="zh-CN" w:bidi="ar-SA"/>
    </w:rPr>
  </w:style>
  <w:style w:type="paragraph" w:customStyle="1" w:styleId="394">
    <w:name w:val="条款"/>
    <w:basedOn w:val="33"/>
    <w:qFormat/>
    <w:uiPriority w:val="99"/>
    <w:pPr>
      <w:spacing w:line="360" w:lineRule="auto"/>
      <w:ind w:left="-108" w:firstLine="480" w:firstLineChars="200"/>
    </w:pPr>
    <w:rPr>
      <w:rFonts w:hAnsi="宋体"/>
      <w:color w:val="000000"/>
      <w:sz w:val="24"/>
    </w:rPr>
  </w:style>
  <w:style w:type="paragraph" w:customStyle="1" w:styleId="395">
    <w:name w:val="Figures"/>
    <w:basedOn w:val="4"/>
    <w:qFormat/>
    <w:uiPriority w:val="99"/>
    <w:pPr>
      <w:keepLines w:val="0"/>
      <w:widowControl/>
      <w:tabs>
        <w:tab w:val="left" w:pos="360"/>
      </w:tabs>
      <w:spacing w:before="360" w:after="60" w:line="240" w:lineRule="auto"/>
      <w:ind w:left="567" w:hanging="567"/>
      <w:outlineLvl w:val="9"/>
    </w:pPr>
    <w:rPr>
      <w:sz w:val="24"/>
      <w:szCs w:val="20"/>
      <w:lang w:val="fr-FR" w:eastAsia="fr-FR"/>
    </w:rPr>
  </w:style>
  <w:style w:type="paragraph" w:customStyle="1" w:styleId="396">
    <w:name w:val="Tiret[3]"/>
    <w:basedOn w:val="335"/>
    <w:qFormat/>
    <w:uiPriority w:val="99"/>
    <w:pPr>
      <w:tabs>
        <w:tab w:val="left" w:pos="7938"/>
      </w:tabs>
      <w:ind w:left="2552"/>
    </w:pPr>
  </w:style>
  <w:style w:type="paragraph" w:customStyle="1" w:styleId="397">
    <w:name w:val="Texte_pointé[2]"/>
    <w:basedOn w:val="1"/>
    <w:qFormat/>
    <w:uiPriority w:val="99"/>
    <w:pPr>
      <w:widowControl/>
      <w:spacing w:before="60" w:after="60"/>
      <w:ind w:left="1985" w:hanging="284"/>
    </w:pPr>
    <w:rPr>
      <w:kern w:val="0"/>
      <w:sz w:val="24"/>
      <w:szCs w:val="20"/>
      <w:lang w:val="fr-FR" w:eastAsia="fr-FR"/>
    </w:rPr>
  </w:style>
  <w:style w:type="paragraph" w:customStyle="1" w:styleId="398">
    <w:name w:val="Char Char Char Char Char Char Char Char Char Char Char Char Char"/>
    <w:basedOn w:val="1"/>
    <w:qFormat/>
    <w:uiPriority w:val="99"/>
    <w:rPr>
      <w:rFonts w:ascii="Arial" w:hAnsi="Arial" w:cs="Arial"/>
      <w:sz w:val="20"/>
      <w:szCs w:val="20"/>
    </w:rPr>
  </w:style>
  <w:style w:type="paragraph" w:customStyle="1" w:styleId="399">
    <w:name w:val="条文 5"/>
    <w:next w:val="1"/>
    <w:qFormat/>
    <w:uiPriority w:val="99"/>
    <w:pPr>
      <w:tabs>
        <w:tab w:val="left" w:pos="1296"/>
        <w:tab w:val="left" w:pos="2940"/>
      </w:tabs>
      <w:spacing w:line="310" w:lineRule="exact"/>
      <w:ind w:left="1296" w:hanging="1296"/>
    </w:pPr>
    <w:rPr>
      <w:rFonts w:ascii="Times New Roman" w:hAnsi="Times New Roman" w:eastAsia="黑体" w:cs="Times New Roman"/>
      <w:sz w:val="21"/>
      <w:lang w:val="en-US" w:eastAsia="zh-CN" w:bidi="ar-SA"/>
    </w:rPr>
  </w:style>
  <w:style w:type="paragraph" w:customStyle="1" w:styleId="400">
    <w:name w:val="青岛标题4"/>
    <w:basedOn w:val="6"/>
    <w:qFormat/>
    <w:uiPriority w:val="99"/>
    <w:pPr>
      <w:spacing w:line="500" w:lineRule="atLeast"/>
      <w:jc w:val="left"/>
      <w:outlineLvl w:val="2"/>
    </w:pPr>
    <w:rPr>
      <w:rFonts w:eastAsia="宋体"/>
      <w:sz w:val="30"/>
    </w:rPr>
  </w:style>
  <w:style w:type="paragraph" w:customStyle="1" w:styleId="401">
    <w:name w:val="Text1"/>
    <w:basedOn w:val="1"/>
    <w:qFormat/>
    <w:uiPriority w:val="99"/>
    <w:pPr>
      <w:widowControl/>
      <w:spacing w:before="60" w:after="120"/>
      <w:ind w:left="1701"/>
    </w:pPr>
    <w:rPr>
      <w:rFonts w:ascii="Arial" w:hAnsi="Arial"/>
      <w:bCs/>
      <w:kern w:val="0"/>
      <w:sz w:val="22"/>
      <w:lang w:val="en-GB" w:eastAsia="fr-FR"/>
    </w:rPr>
  </w:style>
  <w:style w:type="paragraph" w:customStyle="1" w:styleId="402">
    <w:name w:val="青岛标题3"/>
    <w:basedOn w:val="5"/>
    <w:qFormat/>
    <w:uiPriority w:val="99"/>
    <w:pPr>
      <w:spacing w:before="260" w:after="260" w:line="500" w:lineRule="exact"/>
      <w:ind w:firstLine="0" w:firstLineChars="0"/>
      <w:outlineLvl w:val="1"/>
    </w:pPr>
    <w:rPr>
      <w:kern w:val="2"/>
      <w:sz w:val="32"/>
    </w:rPr>
  </w:style>
  <w:style w:type="paragraph" w:customStyle="1" w:styleId="403">
    <w:name w:val="样式2"/>
    <w:basedOn w:val="6"/>
    <w:link w:val="583"/>
    <w:qFormat/>
    <w:uiPriority w:val="0"/>
    <w:pPr>
      <w:keepNext w:val="0"/>
      <w:keepLines w:val="0"/>
      <w:tabs>
        <w:tab w:val="left" w:pos="372"/>
        <w:tab w:val="left" w:pos="7380"/>
      </w:tabs>
      <w:snapToGrid w:val="0"/>
      <w:spacing w:before="0" w:after="0" w:line="360" w:lineRule="auto"/>
      <w:ind w:left="1036" w:right="210" w:rightChars="100" w:firstLine="13" w:firstLineChars="6"/>
    </w:pPr>
    <w:rPr>
      <w:rFonts w:ascii="Times New Roman" w:hAnsi="Times New Roman" w:eastAsia="宋体"/>
      <w:b w:val="0"/>
      <w:bCs w:val="0"/>
      <w:sz w:val="21"/>
      <w:szCs w:val="21"/>
    </w:rPr>
  </w:style>
  <w:style w:type="paragraph" w:customStyle="1" w:styleId="404">
    <w:name w:val="Sous sommaire"/>
    <w:basedOn w:val="1"/>
    <w:qFormat/>
    <w:uiPriority w:val="99"/>
    <w:pPr>
      <w:widowControl/>
      <w:spacing w:before="240" w:after="240"/>
      <w:jc w:val="center"/>
    </w:pPr>
    <w:rPr>
      <w:b/>
      <w:kern w:val="0"/>
      <w:sz w:val="28"/>
      <w:szCs w:val="20"/>
      <w:lang w:val="fr-FR" w:eastAsia="fr-FR"/>
    </w:rPr>
  </w:style>
  <w:style w:type="paragraph" w:customStyle="1" w:styleId="405">
    <w:name w:val="xl41"/>
    <w:basedOn w:val="1"/>
    <w:qFormat/>
    <w:uiPriority w:val="99"/>
    <w:pPr>
      <w:widowControl/>
      <w:pBdr>
        <w:bottom w:val="single" w:color="auto" w:sz="4" w:space="0"/>
      </w:pBdr>
      <w:spacing w:before="100" w:beforeAutospacing="1" w:after="100" w:afterAutospacing="1"/>
      <w:jc w:val="right"/>
    </w:pPr>
    <w:rPr>
      <w:rFonts w:ascii="Arial Unicode MS" w:hAnsi="Arial Unicode MS" w:eastAsia="Arial Unicode MS" w:cs="Arial Unicode MS"/>
      <w:kern w:val="0"/>
      <w:sz w:val="20"/>
      <w:szCs w:val="20"/>
    </w:rPr>
  </w:style>
  <w:style w:type="paragraph" w:customStyle="1" w:styleId="406">
    <w:name w:val="Niv5 Puce5"/>
    <w:basedOn w:val="285"/>
    <w:qFormat/>
    <w:uiPriority w:val="99"/>
    <w:pPr>
      <w:ind w:left="2608"/>
    </w:pPr>
  </w:style>
  <w:style w:type="paragraph" w:customStyle="1" w:styleId="407">
    <w:name w:val="Char Char Char Char Char Char"/>
    <w:basedOn w:val="1"/>
    <w:qFormat/>
    <w:uiPriority w:val="99"/>
    <w:rPr>
      <w:rFonts w:ascii="Tahoma" w:hAnsi="Tahoma"/>
      <w:sz w:val="24"/>
      <w:szCs w:val="20"/>
    </w:rPr>
  </w:style>
  <w:style w:type="paragraph" w:customStyle="1" w:styleId="408">
    <w:name w:val="List No."/>
    <w:basedOn w:val="167"/>
    <w:qFormat/>
    <w:uiPriority w:val="99"/>
    <w:pPr>
      <w:ind w:left="471" w:leftChars="19" w:hanging="425" w:hangingChars="177"/>
    </w:pPr>
  </w:style>
  <w:style w:type="paragraph" w:customStyle="1" w:styleId="409">
    <w:name w:val="附录 表"/>
    <w:next w:val="1"/>
    <w:qFormat/>
    <w:uiPriority w:val="99"/>
    <w:pPr>
      <w:tabs>
        <w:tab w:val="left" w:pos="1260"/>
        <w:tab w:val="left" w:pos="2100"/>
      </w:tabs>
      <w:ind w:left="2100" w:hanging="420"/>
      <w:jc w:val="center"/>
    </w:pPr>
    <w:rPr>
      <w:rFonts w:ascii="Times New Roman" w:hAnsi="Times New Roman" w:eastAsia="黑体" w:cs="Times New Roman"/>
      <w:sz w:val="21"/>
      <w:lang w:val="en-US" w:eastAsia="zh-CN" w:bidi="ar-SA"/>
    </w:rPr>
  </w:style>
  <w:style w:type="paragraph" w:customStyle="1" w:styleId="410">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411">
    <w:name w:val="Texte_pointe[0]"/>
    <w:qFormat/>
    <w:uiPriority w:val="99"/>
    <w:pPr>
      <w:tabs>
        <w:tab w:val="left" w:pos="873"/>
        <w:tab w:val="left" w:pos="2551"/>
        <w:tab w:val="left" w:pos="5952"/>
      </w:tabs>
      <w:spacing w:before="240" w:after="120" w:line="276" w:lineRule="auto"/>
      <w:ind w:left="850" w:hanging="284"/>
      <w:jc w:val="both"/>
    </w:pPr>
    <w:rPr>
      <w:rFonts w:ascii="Times New Roman" w:hAnsi="Times New Roman" w:eastAsia="宋体" w:cs="Times New Roman"/>
      <w:color w:val="C0C0C0"/>
      <w:sz w:val="24"/>
      <w:lang w:val="fr-FR" w:eastAsia="fr-FR" w:bidi="ar-SA"/>
    </w:rPr>
  </w:style>
  <w:style w:type="paragraph" w:customStyle="1" w:styleId="412">
    <w:name w:val="样式 样式3 表格 + 小四"/>
    <w:basedOn w:val="1"/>
    <w:qFormat/>
    <w:uiPriority w:val="99"/>
    <w:pPr>
      <w:adjustRightInd w:val="0"/>
      <w:snapToGrid w:val="0"/>
      <w:spacing w:line="360" w:lineRule="auto"/>
      <w:ind w:firstLine="494" w:firstLineChars="206"/>
    </w:pPr>
    <w:rPr>
      <w:szCs w:val="21"/>
    </w:rPr>
  </w:style>
  <w:style w:type="paragraph" w:customStyle="1" w:styleId="413">
    <w:name w:val="标题3"/>
    <w:basedOn w:val="3"/>
    <w:qFormat/>
    <w:uiPriority w:val="99"/>
    <w:pPr>
      <w:keepNext/>
      <w:keepLines/>
      <w:widowControl w:val="0"/>
      <w:spacing w:beforeLines="50" w:afterLines="0" w:line="360" w:lineRule="auto"/>
    </w:pPr>
    <w:rPr>
      <w:rFonts w:ascii="宋体"/>
      <w:color w:val="auto"/>
      <w:kern w:val="44"/>
      <w:sz w:val="24"/>
      <w:szCs w:val="20"/>
    </w:rPr>
  </w:style>
  <w:style w:type="paragraph" w:customStyle="1" w:styleId="414">
    <w:name w:val="font6"/>
    <w:basedOn w:val="1"/>
    <w:qFormat/>
    <w:uiPriority w:val="0"/>
    <w:pPr>
      <w:widowControl/>
      <w:spacing w:before="100" w:beforeAutospacing="1" w:after="100" w:afterAutospacing="1"/>
      <w:jc w:val="left"/>
    </w:pPr>
    <w:rPr>
      <w:rFonts w:hint="eastAsia" w:ascii="宋体" w:hAnsi="宋体"/>
      <w:kern w:val="0"/>
      <w:sz w:val="20"/>
      <w:szCs w:val="20"/>
    </w:rPr>
  </w:style>
  <w:style w:type="paragraph" w:customStyle="1" w:styleId="415">
    <w:name w:val="Enumération"/>
    <w:basedOn w:val="1"/>
    <w:qFormat/>
    <w:uiPriority w:val="99"/>
    <w:pPr>
      <w:widowControl/>
      <w:spacing w:before="60" w:after="60"/>
      <w:ind w:left="1135" w:hanging="284"/>
    </w:pPr>
    <w:rPr>
      <w:kern w:val="0"/>
      <w:sz w:val="24"/>
      <w:szCs w:val="20"/>
      <w:lang w:val="fr-FR" w:eastAsia="fr-FR"/>
    </w:rPr>
  </w:style>
  <w:style w:type="paragraph" w:customStyle="1" w:styleId="416">
    <w:name w:val="Tarif"/>
    <w:basedOn w:val="1"/>
    <w:qFormat/>
    <w:uiPriority w:val="99"/>
    <w:pPr>
      <w:widowControl/>
      <w:pBdr>
        <w:top w:val="single" w:color="auto" w:sz="8" w:space="1"/>
        <w:left w:val="single" w:color="auto" w:sz="8" w:space="4"/>
        <w:bottom w:val="single" w:color="auto" w:sz="8" w:space="1"/>
        <w:right w:val="single" w:color="auto" w:sz="8" w:space="4"/>
      </w:pBdr>
      <w:shd w:val="pct10" w:color="auto" w:fill="FFFFFF"/>
      <w:tabs>
        <w:tab w:val="left" w:pos="360"/>
      </w:tabs>
      <w:ind w:right="284"/>
      <w:jc w:val="center"/>
    </w:pPr>
    <w:rPr>
      <w:rFonts w:ascii="Arial" w:hAnsi="Arial"/>
      <w:b/>
      <w:i/>
      <w:kern w:val="0"/>
      <w:sz w:val="28"/>
      <w:szCs w:val="20"/>
      <w:lang w:val="fr-FR" w:eastAsia="fr-FR"/>
    </w:rPr>
  </w:style>
  <w:style w:type="paragraph" w:customStyle="1" w:styleId="417">
    <w:name w:val="Char Char Char Char Char Char Char Char Char Char Char Char Char1"/>
    <w:basedOn w:val="1"/>
    <w:qFormat/>
    <w:uiPriority w:val="99"/>
  </w:style>
  <w:style w:type="paragraph" w:customStyle="1" w:styleId="418">
    <w:name w:val="Header of paragaraph"/>
    <w:basedOn w:val="42"/>
    <w:qFormat/>
    <w:uiPriority w:val="99"/>
    <w:pPr>
      <w:widowControl/>
      <w:pBdr>
        <w:bottom w:val="none" w:color="auto" w:sz="0" w:space="0"/>
      </w:pBdr>
      <w:tabs>
        <w:tab w:val="clear" w:pos="4153"/>
        <w:tab w:val="clear" w:pos="8306"/>
      </w:tabs>
      <w:snapToGrid/>
      <w:spacing w:after="120" w:line="240" w:lineRule="auto"/>
      <w:jc w:val="left"/>
    </w:pPr>
    <w:rPr>
      <w:rFonts w:ascii="Verdana" w:hAnsi="Verdana"/>
      <w:b/>
      <w:kern w:val="2"/>
      <w:sz w:val="22"/>
      <w:szCs w:val="20"/>
      <w:u w:val="single"/>
      <w:lang w:val="en-GB"/>
    </w:rPr>
  </w:style>
  <w:style w:type="paragraph" w:customStyle="1" w:styleId="419">
    <w:name w:val="引言 3"/>
    <w:next w:val="156"/>
    <w:qFormat/>
    <w:uiPriority w:val="99"/>
    <w:pPr>
      <w:tabs>
        <w:tab w:val="left" w:pos="2100"/>
      </w:tabs>
      <w:spacing w:line="310" w:lineRule="exact"/>
      <w:ind w:left="2100" w:hanging="420"/>
    </w:pPr>
    <w:rPr>
      <w:rFonts w:ascii="Times New Roman" w:hAnsi="Times New Roman" w:eastAsia="黑体" w:cs="Times New Roman"/>
      <w:sz w:val="21"/>
      <w:lang w:val="en-US" w:eastAsia="zh-CN" w:bidi="ar-SA"/>
    </w:rPr>
  </w:style>
  <w:style w:type="paragraph" w:customStyle="1" w:styleId="420">
    <w:name w:val="MyJin"/>
    <w:basedOn w:val="1"/>
    <w:qFormat/>
    <w:uiPriority w:val="0"/>
    <w:pPr>
      <w:spacing w:line="360" w:lineRule="auto"/>
      <w:ind w:left="100" w:leftChars="100" w:firstLine="1440" w:firstLineChars="200"/>
      <w:jc w:val="left"/>
    </w:pPr>
    <w:rPr>
      <w:rFonts w:ascii="Calibri" w:hAnsi="Calibri"/>
      <w:sz w:val="24"/>
      <w:szCs w:val="22"/>
    </w:rPr>
  </w:style>
  <w:style w:type="paragraph" w:customStyle="1" w:styleId="421">
    <w:name w:val="_Style 11"/>
    <w:basedOn w:val="1"/>
    <w:qFormat/>
    <w:uiPriority w:val="0"/>
    <w:rPr>
      <w:rFonts w:ascii="Tahoma" w:hAnsi="Tahoma"/>
      <w:sz w:val="24"/>
      <w:szCs w:val="20"/>
    </w:rPr>
  </w:style>
  <w:style w:type="paragraph" w:customStyle="1" w:styleId="422">
    <w:name w:val="1"/>
    <w:basedOn w:val="1"/>
    <w:next w:val="33"/>
    <w:qFormat/>
    <w:uiPriority w:val="0"/>
    <w:rPr>
      <w:rFonts w:ascii="宋体" w:hAnsi="Courier New"/>
      <w:szCs w:val="20"/>
    </w:rPr>
  </w:style>
  <w:style w:type="paragraph" w:customStyle="1" w:styleId="423">
    <w:name w:val="列出段落2"/>
    <w:basedOn w:val="1"/>
    <w:qFormat/>
    <w:uiPriority w:val="0"/>
    <w:pPr>
      <w:ind w:firstLine="420" w:firstLineChars="200"/>
    </w:pPr>
    <w:rPr>
      <w:rFonts w:ascii="Calibri" w:hAnsi="Calibri"/>
      <w:szCs w:val="22"/>
    </w:rPr>
  </w:style>
  <w:style w:type="paragraph" w:customStyle="1" w:styleId="424">
    <w:name w:val="列出段落21"/>
    <w:basedOn w:val="1"/>
    <w:qFormat/>
    <w:uiPriority w:val="34"/>
    <w:pPr>
      <w:ind w:firstLine="420" w:firstLineChars="200"/>
    </w:pPr>
    <w:rPr>
      <w:rFonts w:ascii="Calibri" w:hAnsi="Calibri"/>
      <w:szCs w:val="22"/>
    </w:rPr>
  </w:style>
  <w:style w:type="paragraph" w:customStyle="1" w:styleId="425">
    <w:name w:val="正文_13"/>
    <w:basedOn w:val="1"/>
    <w:qFormat/>
    <w:uiPriority w:val="0"/>
    <w:rPr>
      <w:szCs w:val="21"/>
    </w:rPr>
  </w:style>
  <w:style w:type="character" w:customStyle="1" w:styleId="426">
    <w:name w:val="font111"/>
    <w:qFormat/>
    <w:uiPriority w:val="0"/>
    <w:rPr>
      <w:rFonts w:hint="eastAsia" w:ascii="宋体" w:hAnsi="宋体" w:eastAsia="宋体" w:cs="宋体"/>
      <w:color w:val="000000"/>
      <w:sz w:val="18"/>
      <w:szCs w:val="18"/>
      <w:u w:val="none"/>
    </w:rPr>
  </w:style>
  <w:style w:type="character" w:customStyle="1" w:styleId="427">
    <w:name w:val="font101"/>
    <w:qFormat/>
    <w:uiPriority w:val="0"/>
    <w:rPr>
      <w:rFonts w:hint="eastAsia" w:ascii="宋体" w:hAnsi="宋体" w:eastAsia="宋体" w:cs="宋体"/>
      <w:color w:val="FF0000"/>
      <w:sz w:val="18"/>
      <w:szCs w:val="18"/>
      <w:u w:val="none"/>
    </w:rPr>
  </w:style>
  <w:style w:type="paragraph" w:customStyle="1" w:styleId="428">
    <w:name w:val="xl65"/>
    <w:basedOn w:val="1"/>
    <w:qFormat/>
    <w:uiPriority w:val="0"/>
    <w:pPr>
      <w:widowControl/>
      <w:pBdr>
        <w:bottom w:val="single" w:color="000000" w:sz="4" w:space="0"/>
        <w:right w:val="single" w:color="auto" w:sz="8" w:space="0"/>
      </w:pBdr>
      <w:spacing w:before="100" w:beforeAutospacing="1" w:after="100" w:afterAutospacing="1"/>
      <w:jc w:val="left"/>
      <w:textAlignment w:val="center"/>
    </w:pPr>
    <w:rPr>
      <w:color w:val="FFFFFF"/>
      <w:kern w:val="0"/>
      <w:szCs w:val="21"/>
    </w:rPr>
  </w:style>
  <w:style w:type="character" w:customStyle="1" w:styleId="429">
    <w:name w:val="HTML 预设格式 字符"/>
    <w:link w:val="58"/>
    <w:qFormat/>
    <w:locked/>
    <w:uiPriority w:val="99"/>
    <w:rPr>
      <w:rFonts w:ascii="Arial Unicode MS" w:hAnsi="Arial Unicode MS" w:eastAsia="Arial Unicode MS" w:cs="Arial Unicode MS"/>
      <w:sz w:val="18"/>
      <w:szCs w:val="18"/>
    </w:rPr>
  </w:style>
  <w:style w:type="character" w:customStyle="1" w:styleId="430">
    <w:name w:val="标题 4 字符"/>
    <w:link w:val="6"/>
    <w:qFormat/>
    <w:locked/>
    <w:uiPriority w:val="9"/>
    <w:rPr>
      <w:rFonts w:ascii="Arial" w:hAnsi="Arial" w:eastAsia="黑体"/>
      <w:b/>
      <w:bCs/>
      <w:kern w:val="2"/>
      <w:sz w:val="28"/>
      <w:szCs w:val="28"/>
    </w:rPr>
  </w:style>
  <w:style w:type="character" w:customStyle="1" w:styleId="431">
    <w:name w:val="标题 5 字符"/>
    <w:link w:val="7"/>
    <w:qFormat/>
    <w:locked/>
    <w:uiPriority w:val="0"/>
    <w:rPr>
      <w:rFonts w:ascii="Arial" w:hAnsi="Arial"/>
      <w:bCs/>
      <w:kern w:val="2"/>
      <w:sz w:val="21"/>
      <w:szCs w:val="28"/>
    </w:rPr>
  </w:style>
  <w:style w:type="character" w:customStyle="1" w:styleId="432">
    <w:name w:val="标题 6 字符"/>
    <w:link w:val="8"/>
    <w:qFormat/>
    <w:locked/>
    <w:uiPriority w:val="0"/>
    <w:rPr>
      <w:rFonts w:ascii="Arial" w:hAnsi="Arial"/>
      <w:bCs/>
      <w:kern w:val="2"/>
      <w:sz w:val="21"/>
      <w:szCs w:val="24"/>
    </w:rPr>
  </w:style>
  <w:style w:type="character" w:customStyle="1" w:styleId="433">
    <w:name w:val="标题 7 字符"/>
    <w:link w:val="9"/>
    <w:qFormat/>
    <w:locked/>
    <w:uiPriority w:val="0"/>
    <w:rPr>
      <w:rFonts w:ascii="Arial" w:hAnsi="Arial"/>
      <w:b/>
      <w:bCs/>
      <w:kern w:val="2"/>
      <w:sz w:val="24"/>
      <w:szCs w:val="24"/>
    </w:rPr>
  </w:style>
  <w:style w:type="character" w:customStyle="1" w:styleId="434">
    <w:name w:val="标题 8 字符"/>
    <w:link w:val="10"/>
    <w:qFormat/>
    <w:locked/>
    <w:uiPriority w:val="0"/>
    <w:rPr>
      <w:rFonts w:ascii="Arial" w:hAnsi="Arial" w:eastAsia="黑体"/>
      <w:kern w:val="2"/>
      <w:sz w:val="24"/>
      <w:szCs w:val="24"/>
    </w:rPr>
  </w:style>
  <w:style w:type="character" w:customStyle="1" w:styleId="435">
    <w:name w:val="标题 9 字符"/>
    <w:link w:val="11"/>
    <w:qFormat/>
    <w:locked/>
    <w:uiPriority w:val="0"/>
    <w:rPr>
      <w:rFonts w:ascii="Arial" w:hAnsi="Arial" w:eastAsia="黑体"/>
      <w:kern w:val="2"/>
      <w:sz w:val="21"/>
      <w:szCs w:val="21"/>
    </w:rPr>
  </w:style>
  <w:style w:type="character" w:customStyle="1" w:styleId="436">
    <w:name w:val="文档结构图 字符"/>
    <w:link w:val="21"/>
    <w:qFormat/>
    <w:locked/>
    <w:uiPriority w:val="0"/>
    <w:rPr>
      <w:kern w:val="2"/>
      <w:sz w:val="21"/>
      <w:szCs w:val="24"/>
      <w:shd w:val="clear" w:color="auto" w:fill="000080"/>
    </w:rPr>
  </w:style>
  <w:style w:type="character" w:customStyle="1" w:styleId="437">
    <w:name w:val="称呼 字符"/>
    <w:link w:val="25"/>
    <w:qFormat/>
    <w:locked/>
    <w:uiPriority w:val="99"/>
    <w:rPr>
      <w:kern w:val="2"/>
      <w:sz w:val="21"/>
      <w:szCs w:val="24"/>
    </w:rPr>
  </w:style>
  <w:style w:type="character" w:customStyle="1" w:styleId="438">
    <w:name w:val="正文文本 3 字符"/>
    <w:link w:val="26"/>
    <w:qFormat/>
    <w:locked/>
    <w:uiPriority w:val="99"/>
    <w:rPr>
      <w:kern w:val="2"/>
      <w:sz w:val="16"/>
      <w:szCs w:val="16"/>
    </w:rPr>
  </w:style>
  <w:style w:type="character" w:customStyle="1" w:styleId="439">
    <w:name w:val="正文文本缩进 字符"/>
    <w:link w:val="27"/>
    <w:qFormat/>
    <w:locked/>
    <w:uiPriority w:val="0"/>
    <w:rPr>
      <w:sz w:val="21"/>
      <w:szCs w:val="24"/>
    </w:rPr>
  </w:style>
  <w:style w:type="character" w:customStyle="1" w:styleId="440">
    <w:name w:val="正文文本缩进 2 字符"/>
    <w:link w:val="37"/>
    <w:qFormat/>
    <w:locked/>
    <w:uiPriority w:val="0"/>
    <w:rPr>
      <w:kern w:val="2"/>
      <w:sz w:val="24"/>
      <w:szCs w:val="24"/>
    </w:rPr>
  </w:style>
  <w:style w:type="character" w:customStyle="1" w:styleId="441">
    <w:name w:val="尾注文本 字符"/>
    <w:link w:val="38"/>
    <w:qFormat/>
    <w:uiPriority w:val="99"/>
    <w:rPr>
      <w:sz w:val="21"/>
    </w:rPr>
  </w:style>
  <w:style w:type="character" w:customStyle="1" w:styleId="442">
    <w:name w:val="正文文本首行缩进 2 字符"/>
    <w:link w:val="64"/>
    <w:qFormat/>
    <w:locked/>
    <w:uiPriority w:val="99"/>
    <w:rPr>
      <w:kern w:val="2"/>
      <w:sz w:val="21"/>
      <w:szCs w:val="24"/>
    </w:rPr>
  </w:style>
  <w:style w:type="character" w:customStyle="1" w:styleId="443">
    <w:name w:val="脚注文本 字符"/>
    <w:link w:val="49"/>
    <w:qFormat/>
    <w:locked/>
    <w:uiPriority w:val="99"/>
    <w:rPr>
      <w:kern w:val="2"/>
      <w:sz w:val="18"/>
      <w:szCs w:val="24"/>
    </w:rPr>
  </w:style>
  <w:style w:type="character" w:customStyle="1" w:styleId="444">
    <w:name w:val="正文文本缩进 3 字符"/>
    <w:link w:val="51"/>
    <w:qFormat/>
    <w:locked/>
    <w:uiPriority w:val="0"/>
    <w:rPr>
      <w:color w:val="000000"/>
      <w:kern w:val="2"/>
      <w:sz w:val="24"/>
      <w:szCs w:val="24"/>
    </w:rPr>
  </w:style>
  <w:style w:type="paragraph" w:customStyle="1" w:styleId="445">
    <w:name w:val="书籍标题2"/>
    <w:basedOn w:val="1"/>
    <w:qFormat/>
    <w:uiPriority w:val="99"/>
    <w:pPr>
      <w:spacing w:beforeLines="100" w:afterLines="100"/>
      <w:ind w:left="765" w:hanging="567"/>
      <w:jc w:val="left"/>
      <w:outlineLvl w:val="1"/>
    </w:pPr>
    <w:rPr>
      <w:b/>
      <w:bCs/>
      <w:spacing w:val="20"/>
      <w:sz w:val="32"/>
      <w:szCs w:val="32"/>
    </w:rPr>
  </w:style>
  <w:style w:type="paragraph" w:customStyle="1" w:styleId="446">
    <w:name w:val="xl6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color w:val="FFFFFF"/>
      <w:kern w:val="0"/>
      <w:szCs w:val="21"/>
    </w:rPr>
  </w:style>
  <w:style w:type="paragraph" w:customStyle="1" w:styleId="447">
    <w:name w:val="书籍标题3"/>
    <w:basedOn w:val="445"/>
    <w:qFormat/>
    <w:uiPriority w:val="99"/>
    <w:pPr>
      <w:ind w:left="707"/>
      <w:outlineLvl w:val="2"/>
    </w:pPr>
    <w:rPr>
      <w:sz w:val="28"/>
      <w:szCs w:val="28"/>
    </w:rPr>
  </w:style>
  <w:style w:type="paragraph" w:customStyle="1" w:styleId="448">
    <w:name w:val="xl4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kern w:val="0"/>
      <w:szCs w:val="21"/>
    </w:rPr>
  </w:style>
  <w:style w:type="paragraph" w:customStyle="1" w:styleId="449">
    <w:name w:val="xl58"/>
    <w:basedOn w:val="1"/>
    <w:qFormat/>
    <w:uiPriority w:val="99"/>
    <w:pPr>
      <w:widowControl/>
      <w:pBdr>
        <w:left w:val="single" w:color="auto" w:sz="8" w:space="0"/>
        <w:bottom w:val="single" w:color="auto" w:sz="8"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450">
    <w:name w:val="xl47"/>
    <w:basedOn w:val="1"/>
    <w:qFormat/>
    <w:uiPriority w:val="99"/>
    <w:pPr>
      <w:widowControl/>
      <w:pBdr>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18"/>
      <w:szCs w:val="18"/>
    </w:rPr>
  </w:style>
  <w:style w:type="paragraph" w:customStyle="1" w:styleId="451">
    <w:name w:val="xl52"/>
    <w:basedOn w:val="1"/>
    <w:qFormat/>
    <w:uiPriority w:val="99"/>
    <w:pPr>
      <w:widowControl/>
      <w:pBdr>
        <w:left w:val="single" w:color="auto" w:sz="4" w:space="0"/>
        <w:bottom w:val="single" w:color="000000" w:sz="4" w:space="0"/>
        <w:right w:val="single" w:color="auto" w:sz="4" w:space="0"/>
      </w:pBdr>
      <w:spacing w:before="100" w:beforeAutospacing="1" w:after="100" w:afterAutospacing="1"/>
      <w:jc w:val="right"/>
      <w:textAlignment w:val="center"/>
    </w:pPr>
    <w:rPr>
      <w:kern w:val="0"/>
      <w:szCs w:val="21"/>
    </w:rPr>
  </w:style>
  <w:style w:type="paragraph" w:customStyle="1" w:styleId="452">
    <w:name w:val="xl44"/>
    <w:basedOn w:val="1"/>
    <w:qFormat/>
    <w:uiPriority w:val="99"/>
    <w:pPr>
      <w:widowControl/>
      <w:pBdr>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2"/>
      <w:szCs w:val="22"/>
    </w:rPr>
  </w:style>
  <w:style w:type="paragraph" w:customStyle="1" w:styleId="453">
    <w:name w:val="样式 书籍标题3 + Arial 段前: 1 行 段后: 1 行"/>
    <w:basedOn w:val="447"/>
    <w:qFormat/>
    <w:uiPriority w:val="99"/>
    <w:pPr>
      <w:tabs>
        <w:tab w:val="left" w:pos="1260"/>
      </w:tabs>
      <w:spacing w:beforeLines="0" w:afterLines="0"/>
      <w:ind w:left="1260" w:hanging="420"/>
    </w:pPr>
    <w:rPr>
      <w:rFonts w:ascii="Arial" w:hAnsi="Arial" w:cs="Arial"/>
    </w:rPr>
  </w:style>
  <w:style w:type="paragraph" w:customStyle="1" w:styleId="454">
    <w:name w:val="xl67"/>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textAlignment w:val="top"/>
    </w:pPr>
    <w:rPr>
      <w:color w:val="FFFFFF"/>
      <w:kern w:val="0"/>
      <w:szCs w:val="21"/>
    </w:rPr>
  </w:style>
  <w:style w:type="paragraph" w:customStyle="1" w:styleId="455">
    <w:name w:val="菲页(卷)"/>
    <w:basedOn w:val="3"/>
    <w:next w:val="292"/>
    <w:qFormat/>
    <w:uiPriority w:val="99"/>
    <w:pPr>
      <w:keepNext/>
      <w:keepLines/>
      <w:tabs>
        <w:tab w:val="left" w:pos="720"/>
      </w:tabs>
      <w:spacing w:beforeLines="0" w:afterLines="0" w:line="240" w:lineRule="auto"/>
      <w:ind w:left="720" w:hanging="720"/>
      <w:outlineLvl w:val="1"/>
    </w:pPr>
    <w:rPr>
      <w:rFonts w:ascii="黑体" w:eastAsia="黑体" w:cs="黑体"/>
      <w:b w:val="0"/>
      <w:color w:val="auto"/>
      <w:szCs w:val="52"/>
    </w:rPr>
  </w:style>
  <w:style w:type="paragraph" w:customStyle="1" w:styleId="456">
    <w:name w:val="xl60"/>
    <w:basedOn w:val="1"/>
    <w:qFormat/>
    <w:uiPriority w:val="99"/>
    <w:pPr>
      <w:widowControl/>
      <w:pBdr>
        <w:left w:val="single" w:color="auto" w:sz="4" w:space="0"/>
        <w:bottom w:val="single" w:color="auto" w:sz="8" w:space="0"/>
        <w:right w:val="single" w:color="auto" w:sz="4" w:space="0"/>
      </w:pBdr>
      <w:spacing w:before="100" w:beforeAutospacing="1" w:after="100" w:afterAutospacing="1"/>
      <w:jc w:val="right"/>
      <w:textAlignment w:val="center"/>
    </w:pPr>
    <w:rPr>
      <w:kern w:val="0"/>
      <w:szCs w:val="21"/>
    </w:rPr>
  </w:style>
  <w:style w:type="paragraph" w:customStyle="1" w:styleId="457">
    <w:name w:val="xl54"/>
    <w:basedOn w:val="1"/>
    <w:qFormat/>
    <w:uiPriority w:val="99"/>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textAlignment w:val="center"/>
    </w:pPr>
    <w:rPr>
      <w:kern w:val="0"/>
      <w:szCs w:val="21"/>
    </w:rPr>
  </w:style>
  <w:style w:type="paragraph" w:customStyle="1" w:styleId="458">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color w:val="FFFFFF"/>
      <w:kern w:val="0"/>
      <w:szCs w:val="21"/>
    </w:rPr>
  </w:style>
  <w:style w:type="paragraph" w:customStyle="1" w:styleId="459">
    <w:name w:val="菲页2"/>
    <w:basedOn w:val="5"/>
    <w:qFormat/>
    <w:uiPriority w:val="99"/>
    <w:pPr>
      <w:widowControl/>
      <w:tabs>
        <w:tab w:val="left" w:pos="1260"/>
      </w:tabs>
      <w:spacing w:before="120" w:after="120"/>
      <w:ind w:left="1260" w:hanging="420" w:firstLineChars="0"/>
      <w:jc w:val="center"/>
    </w:pPr>
    <w:rPr>
      <w:rFonts w:ascii="黑体" w:hAnsi="宋体" w:eastAsia="黑体" w:cs="黑体"/>
      <w:b w:val="0"/>
      <w:bCs w:val="0"/>
      <w:sz w:val="44"/>
      <w:szCs w:val="44"/>
    </w:rPr>
  </w:style>
  <w:style w:type="paragraph" w:customStyle="1" w:styleId="460">
    <w:name w:val="font1"/>
    <w:basedOn w:val="1"/>
    <w:qFormat/>
    <w:uiPriority w:val="99"/>
    <w:pPr>
      <w:widowControl/>
      <w:spacing w:before="100" w:beforeAutospacing="1" w:after="100" w:afterAutospacing="1"/>
      <w:jc w:val="left"/>
    </w:pPr>
    <w:rPr>
      <w:rFonts w:ascii="宋体" w:hAnsi="宋体" w:cs="宋体"/>
      <w:kern w:val="0"/>
      <w:sz w:val="24"/>
    </w:rPr>
  </w:style>
  <w:style w:type="paragraph" w:customStyle="1" w:styleId="461">
    <w:name w:val="xl53"/>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textAlignment w:val="center"/>
    </w:pPr>
    <w:rPr>
      <w:kern w:val="0"/>
      <w:szCs w:val="21"/>
    </w:rPr>
  </w:style>
  <w:style w:type="paragraph" w:customStyle="1" w:styleId="462">
    <w:name w:val="xl46"/>
    <w:basedOn w:val="1"/>
    <w:qFormat/>
    <w:uiPriority w:val="99"/>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kern w:val="0"/>
      <w:szCs w:val="21"/>
    </w:rPr>
  </w:style>
  <w:style w:type="paragraph" w:customStyle="1" w:styleId="463">
    <w:name w:val="xl63"/>
    <w:basedOn w:val="1"/>
    <w:qFormat/>
    <w:uiPriority w:val="0"/>
    <w:pPr>
      <w:widowControl/>
      <w:pBdr>
        <w:top w:val="single" w:color="auto" w:sz="8" w:space="0"/>
        <w:left w:val="single" w:color="auto" w:sz="4" w:space="0"/>
        <w:bottom w:val="single" w:color="000000" w:sz="4" w:space="0"/>
        <w:right w:val="single" w:color="auto" w:sz="4" w:space="0"/>
      </w:pBdr>
      <w:spacing w:before="100" w:beforeAutospacing="1" w:after="100" w:afterAutospacing="1"/>
      <w:jc w:val="right"/>
      <w:textAlignment w:val="center"/>
    </w:pPr>
    <w:rPr>
      <w:kern w:val="0"/>
      <w:szCs w:val="21"/>
    </w:rPr>
  </w:style>
  <w:style w:type="paragraph" w:customStyle="1" w:styleId="464">
    <w:name w:val="xl49"/>
    <w:basedOn w:val="1"/>
    <w:qFormat/>
    <w:uiPriority w:val="99"/>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color w:val="000000"/>
      <w:kern w:val="0"/>
      <w:szCs w:val="21"/>
    </w:rPr>
  </w:style>
  <w:style w:type="paragraph" w:customStyle="1" w:styleId="465">
    <w:name w:val="xl51"/>
    <w:basedOn w:val="1"/>
    <w:qFormat/>
    <w:uiPriority w:val="99"/>
    <w:pPr>
      <w:widowControl/>
      <w:pBdr>
        <w:left w:val="single" w:color="auto" w:sz="4" w:space="0"/>
        <w:bottom w:val="single" w:color="auto" w:sz="4" w:space="0"/>
        <w:right w:val="single" w:color="auto" w:sz="8" w:space="0"/>
      </w:pBdr>
      <w:spacing w:before="100" w:beforeAutospacing="1" w:after="100" w:afterAutospacing="1"/>
      <w:jc w:val="center"/>
      <w:textAlignment w:val="center"/>
    </w:pPr>
    <w:rPr>
      <w:rFonts w:ascii="宋体" w:hAnsi="宋体" w:cs="宋体"/>
      <w:kern w:val="0"/>
      <w:sz w:val="22"/>
      <w:szCs w:val="22"/>
    </w:rPr>
  </w:style>
  <w:style w:type="paragraph" w:customStyle="1" w:styleId="466">
    <w:name w:val="xl66"/>
    <w:basedOn w:val="1"/>
    <w:qFormat/>
    <w:uiPriority w:val="0"/>
    <w:pPr>
      <w:widowControl/>
      <w:pBdr>
        <w:right w:val="single" w:color="000000" w:sz="4" w:space="0"/>
      </w:pBdr>
      <w:spacing w:before="100" w:beforeAutospacing="1" w:after="100" w:afterAutospacing="1"/>
      <w:jc w:val="right"/>
      <w:textAlignment w:val="center"/>
    </w:pPr>
    <w:rPr>
      <w:color w:val="FFFFFF"/>
      <w:kern w:val="0"/>
      <w:szCs w:val="21"/>
    </w:rPr>
  </w:style>
  <w:style w:type="paragraph" w:customStyle="1" w:styleId="467">
    <w:name w:val="xl64"/>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textAlignment w:val="center"/>
    </w:pPr>
    <w:rPr>
      <w:rFonts w:ascii="宋体" w:hAnsi="宋体" w:cs="宋体"/>
      <w:kern w:val="0"/>
      <w:sz w:val="18"/>
      <w:szCs w:val="18"/>
    </w:rPr>
  </w:style>
  <w:style w:type="paragraph" w:customStyle="1" w:styleId="468">
    <w:name w:val="xl61"/>
    <w:basedOn w:val="1"/>
    <w:qFormat/>
    <w:uiPriority w:val="99"/>
    <w:pPr>
      <w:widowControl/>
      <w:pBdr>
        <w:top w:val="single" w:color="auto" w:sz="4" w:space="0"/>
        <w:left w:val="single" w:color="auto" w:sz="4" w:space="0"/>
        <w:bottom w:val="single" w:color="auto" w:sz="8" w:space="0"/>
        <w:right w:val="single" w:color="auto" w:sz="8" w:space="0"/>
      </w:pBdr>
      <w:spacing w:before="100" w:beforeAutospacing="1" w:after="100" w:afterAutospacing="1"/>
      <w:jc w:val="center"/>
      <w:textAlignment w:val="center"/>
    </w:pPr>
    <w:rPr>
      <w:kern w:val="0"/>
      <w:szCs w:val="21"/>
    </w:rPr>
  </w:style>
  <w:style w:type="paragraph" w:customStyle="1" w:styleId="469">
    <w:name w:val="xl56"/>
    <w:basedOn w:val="1"/>
    <w:qFormat/>
    <w:uiPriority w:val="99"/>
    <w:pPr>
      <w:widowControl/>
      <w:pBdr>
        <w:left w:val="single" w:color="auto" w:sz="4" w:space="0"/>
        <w:bottom w:val="single" w:color="auto" w:sz="8" w:space="0"/>
        <w:right w:val="single" w:color="auto" w:sz="4" w:space="0"/>
      </w:pBdr>
      <w:spacing w:before="100" w:beforeAutospacing="1" w:after="100" w:afterAutospacing="1"/>
      <w:jc w:val="right"/>
      <w:textAlignment w:val="center"/>
    </w:pPr>
    <w:rPr>
      <w:kern w:val="0"/>
      <w:szCs w:val="21"/>
    </w:rPr>
  </w:style>
  <w:style w:type="paragraph" w:customStyle="1" w:styleId="470">
    <w:name w:val="xl57"/>
    <w:basedOn w:val="1"/>
    <w:qFormat/>
    <w:uiPriority w:val="99"/>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kern w:val="0"/>
      <w:szCs w:val="21"/>
    </w:rPr>
  </w:style>
  <w:style w:type="paragraph" w:customStyle="1" w:styleId="471">
    <w:name w:val="xl5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472">
    <w:name w:val="font10"/>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473">
    <w:name w:val="font11"/>
    <w:basedOn w:val="1"/>
    <w:qFormat/>
    <w:uiPriority w:val="0"/>
    <w:pPr>
      <w:widowControl/>
      <w:spacing w:before="100" w:beforeAutospacing="1" w:after="100" w:afterAutospacing="1"/>
      <w:jc w:val="left"/>
    </w:pPr>
    <w:rPr>
      <w:color w:val="000000"/>
      <w:kern w:val="0"/>
      <w:sz w:val="18"/>
      <w:szCs w:val="18"/>
    </w:rPr>
  </w:style>
  <w:style w:type="paragraph" w:customStyle="1" w:styleId="474">
    <w:name w:val="批注框文本1"/>
    <w:basedOn w:val="1"/>
    <w:qFormat/>
    <w:uiPriority w:val="99"/>
    <w:rPr>
      <w:sz w:val="16"/>
      <w:szCs w:val="16"/>
    </w:rPr>
  </w:style>
  <w:style w:type="paragraph" w:customStyle="1" w:styleId="475">
    <w:name w:val="p0"/>
    <w:basedOn w:val="1"/>
    <w:qFormat/>
    <w:uiPriority w:val="99"/>
    <w:pPr>
      <w:widowControl/>
    </w:pPr>
    <w:rPr>
      <w:kern w:val="0"/>
      <w:szCs w:val="21"/>
    </w:rPr>
  </w:style>
  <w:style w:type="paragraph" w:customStyle="1" w:styleId="476">
    <w:name w:val="xl59"/>
    <w:basedOn w:val="1"/>
    <w:qFormat/>
    <w:uiPriority w:val="99"/>
    <w:pPr>
      <w:widowControl/>
      <w:pBdr>
        <w:top w:val="single" w:color="auto" w:sz="4" w:space="0"/>
        <w:left w:val="single" w:color="auto" w:sz="4" w:space="0"/>
        <w:bottom w:val="single" w:color="auto" w:sz="8" w:space="0"/>
        <w:right w:val="single" w:color="auto" w:sz="4" w:space="0"/>
      </w:pBdr>
      <w:spacing w:before="100" w:beforeAutospacing="1" w:after="100" w:afterAutospacing="1"/>
      <w:textAlignment w:val="center"/>
    </w:pPr>
    <w:rPr>
      <w:rFonts w:ascii="宋体" w:hAnsi="宋体" w:cs="宋体"/>
      <w:kern w:val="0"/>
      <w:szCs w:val="21"/>
    </w:rPr>
  </w:style>
  <w:style w:type="paragraph" w:customStyle="1" w:styleId="477">
    <w:name w:val="目录文字"/>
    <w:basedOn w:val="1"/>
    <w:qFormat/>
    <w:uiPriority w:val="99"/>
    <w:pPr>
      <w:widowControl/>
      <w:spacing w:line="480" w:lineRule="auto"/>
      <w:jc w:val="left"/>
    </w:pPr>
    <w:rPr>
      <w:rFonts w:ascii="宋体" w:hAnsi="宋体" w:cs="宋体"/>
      <w:kern w:val="0"/>
      <w:sz w:val="24"/>
    </w:rPr>
  </w:style>
  <w:style w:type="paragraph" w:customStyle="1" w:styleId="478">
    <w:name w:val="xl62"/>
    <w:basedOn w:val="1"/>
    <w:qFormat/>
    <w:uiPriority w:val="99"/>
    <w:pPr>
      <w:widowControl/>
      <w:pBdr>
        <w:top w:val="single" w:color="auto" w:sz="8"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kern w:val="0"/>
      <w:szCs w:val="21"/>
    </w:rPr>
  </w:style>
  <w:style w:type="paragraph" w:customStyle="1" w:styleId="479">
    <w:name w:val="_Style 113"/>
    <w:basedOn w:val="1"/>
    <w:next w:val="46"/>
    <w:qFormat/>
    <w:uiPriority w:val="99"/>
    <w:rPr>
      <w:szCs w:val="21"/>
    </w:rPr>
  </w:style>
  <w:style w:type="paragraph" w:customStyle="1" w:styleId="480">
    <w:name w:val="标题5"/>
    <w:basedOn w:val="7"/>
    <w:next w:val="7"/>
    <w:qFormat/>
    <w:uiPriority w:val="99"/>
    <w:pPr>
      <w:keepNext/>
      <w:keepLines/>
      <w:widowControl w:val="0"/>
      <w:tabs>
        <w:tab w:val="clear" w:pos="1008"/>
      </w:tabs>
      <w:adjustRightInd/>
      <w:snapToGrid/>
      <w:spacing w:line="300" w:lineRule="exact"/>
      <w:ind w:left="0" w:firstLine="630" w:firstLineChars="300"/>
    </w:pPr>
    <w:rPr>
      <w:rFonts w:ascii="Times New Roman" w:hAnsi="Times New Roman"/>
      <w:b/>
      <w:bCs w:val="0"/>
      <w:color w:val="000000"/>
      <w:szCs w:val="21"/>
    </w:rPr>
  </w:style>
  <w:style w:type="paragraph" w:customStyle="1" w:styleId="481">
    <w:name w:val="xl4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18"/>
      <w:szCs w:val="18"/>
    </w:rPr>
  </w:style>
  <w:style w:type="paragraph" w:customStyle="1" w:styleId="482">
    <w:name w:val="正文缩进1"/>
    <w:basedOn w:val="1"/>
    <w:qFormat/>
    <w:uiPriority w:val="99"/>
    <w:pPr>
      <w:ind w:firstLine="420"/>
    </w:pPr>
    <w:rPr>
      <w:szCs w:val="21"/>
    </w:rPr>
  </w:style>
  <w:style w:type="character" w:customStyle="1" w:styleId="483">
    <w:name w:val="标题6 Char Char"/>
    <w:qFormat/>
    <w:uiPriority w:val="99"/>
    <w:rPr>
      <w:rFonts w:ascii="宋体" w:hAnsi="Arial" w:eastAsia="宋体"/>
      <w:b/>
      <w:kern w:val="2"/>
      <w:sz w:val="21"/>
    </w:rPr>
  </w:style>
  <w:style w:type="character" w:customStyle="1" w:styleId="484">
    <w:name w:val="Para head"/>
    <w:qFormat/>
    <w:uiPriority w:val="99"/>
    <w:rPr>
      <w:rFonts w:ascii="Arial" w:hAnsi="Arial"/>
      <w:sz w:val="20"/>
    </w:rPr>
  </w:style>
  <w:style w:type="character" w:customStyle="1" w:styleId="485">
    <w:name w:val="标题5 Char Char"/>
    <w:qFormat/>
    <w:uiPriority w:val="99"/>
    <w:rPr>
      <w:rFonts w:eastAsia="宋体"/>
      <w:color w:val="000000"/>
      <w:kern w:val="2"/>
      <w:sz w:val="21"/>
      <w:lang w:val="en-US" w:eastAsia="zh-CN"/>
    </w:rPr>
  </w:style>
  <w:style w:type="character" w:customStyle="1" w:styleId="486">
    <w:name w:val="font31"/>
    <w:qFormat/>
    <w:uiPriority w:val="99"/>
    <w:rPr>
      <w:rFonts w:ascii="宋体" w:hAnsi="宋体" w:eastAsia="宋体"/>
      <w:color w:val="auto"/>
      <w:sz w:val="16"/>
    </w:rPr>
  </w:style>
  <w:style w:type="character" w:customStyle="1" w:styleId="487">
    <w:name w:val="font21"/>
    <w:qFormat/>
    <w:uiPriority w:val="0"/>
    <w:rPr>
      <w:rFonts w:ascii="宋体" w:hAnsi="宋体" w:eastAsia="宋体"/>
      <w:color w:val="000000"/>
      <w:sz w:val="20"/>
      <w:vertAlign w:val="superscript"/>
    </w:rPr>
  </w:style>
  <w:style w:type="character" w:customStyle="1" w:styleId="488">
    <w:name w:val="font41"/>
    <w:qFormat/>
    <w:uiPriority w:val="99"/>
    <w:rPr>
      <w:rFonts w:ascii="宋体" w:hAnsi="宋体" w:eastAsia="宋体"/>
      <w:color w:val="000000"/>
      <w:sz w:val="20"/>
    </w:rPr>
  </w:style>
  <w:style w:type="character" w:customStyle="1" w:styleId="489">
    <w:name w:val="font01"/>
    <w:qFormat/>
    <w:uiPriority w:val="0"/>
    <w:rPr>
      <w:rFonts w:ascii="宋体" w:hAnsi="宋体" w:eastAsia="宋体"/>
      <w:color w:val="auto"/>
      <w:sz w:val="20"/>
    </w:rPr>
  </w:style>
  <w:style w:type="character" w:customStyle="1" w:styleId="490">
    <w:name w:val="font51"/>
    <w:qFormat/>
    <w:uiPriority w:val="99"/>
    <w:rPr>
      <w:rFonts w:ascii="宋体" w:hAnsi="宋体" w:eastAsia="宋体"/>
      <w:color w:val="000000"/>
      <w:sz w:val="20"/>
      <w:vertAlign w:val="superscript"/>
    </w:rPr>
  </w:style>
  <w:style w:type="character" w:customStyle="1" w:styleId="491">
    <w:name w:val="font61"/>
    <w:qFormat/>
    <w:uiPriority w:val="99"/>
    <w:rPr>
      <w:rFonts w:ascii="宋体" w:hAnsi="宋体" w:eastAsia="宋体"/>
      <w:color w:val="000000"/>
      <w:sz w:val="20"/>
      <w:vertAlign w:val="superscript"/>
    </w:rPr>
  </w:style>
  <w:style w:type="paragraph" w:customStyle="1" w:styleId="492">
    <w:name w:val="_Style 1"/>
    <w:basedOn w:val="1"/>
    <w:qFormat/>
    <w:uiPriority w:val="99"/>
    <w:pPr>
      <w:ind w:firstLine="420" w:firstLineChars="200"/>
    </w:pPr>
    <w:rPr>
      <w:szCs w:val="21"/>
    </w:rPr>
  </w:style>
  <w:style w:type="character" w:customStyle="1" w:styleId="493">
    <w:name w:val="tab2"/>
    <w:qFormat/>
    <w:uiPriority w:val="99"/>
    <w:rPr>
      <w:color w:val="333366"/>
    </w:rPr>
  </w:style>
  <w:style w:type="character" w:customStyle="1" w:styleId="494">
    <w:name w:val="required"/>
    <w:qFormat/>
    <w:uiPriority w:val="99"/>
    <w:rPr>
      <w:color w:val="FF0000"/>
    </w:rPr>
  </w:style>
  <w:style w:type="character" w:customStyle="1" w:styleId="495">
    <w:name w:val="fielderror"/>
    <w:qFormat/>
    <w:uiPriority w:val="99"/>
    <w:rPr>
      <w:color w:val="800000"/>
    </w:rPr>
  </w:style>
  <w:style w:type="character" w:customStyle="1" w:styleId="496">
    <w:name w:val="tab1"/>
    <w:qFormat/>
    <w:uiPriority w:val="99"/>
  </w:style>
  <w:style w:type="character" w:customStyle="1" w:styleId="497">
    <w:name w:val="hilite6"/>
    <w:qFormat/>
    <w:uiPriority w:val="99"/>
    <w:rPr>
      <w:color w:val="000000"/>
    </w:rPr>
  </w:style>
  <w:style w:type="character" w:customStyle="1" w:styleId="498">
    <w:name w:val="active6"/>
    <w:qFormat/>
    <w:uiPriority w:val="99"/>
    <w:rPr>
      <w:color w:val="FFFFFF"/>
    </w:rPr>
  </w:style>
  <w:style w:type="character" w:customStyle="1" w:styleId="499">
    <w:name w:val="active"/>
    <w:qFormat/>
    <w:uiPriority w:val="99"/>
    <w:rPr>
      <w:color w:val="FFFFFF"/>
    </w:rPr>
  </w:style>
  <w:style w:type="character" w:customStyle="1" w:styleId="500">
    <w:name w:val="hilite"/>
    <w:qFormat/>
    <w:uiPriority w:val="99"/>
    <w:rPr>
      <w:color w:val="000000"/>
    </w:rPr>
  </w:style>
  <w:style w:type="paragraph" w:customStyle="1" w:styleId="501">
    <w:name w:val="列出段落3"/>
    <w:basedOn w:val="1"/>
    <w:qFormat/>
    <w:uiPriority w:val="0"/>
    <w:pPr>
      <w:ind w:firstLine="420" w:firstLineChars="200"/>
    </w:pPr>
    <w:rPr>
      <w:rFonts w:ascii="Calibri" w:hAnsi="Calibri"/>
      <w:sz w:val="22"/>
      <w:szCs w:val="20"/>
    </w:rPr>
  </w:style>
  <w:style w:type="character" w:customStyle="1" w:styleId="502">
    <w:name w:val="fontborder"/>
    <w:qFormat/>
    <w:uiPriority w:val="99"/>
    <w:rPr>
      <w:bdr w:val="single" w:color="000000" w:sz="6" w:space="0"/>
    </w:rPr>
  </w:style>
  <w:style w:type="character" w:customStyle="1" w:styleId="503">
    <w:name w:val="fontstrikethrough"/>
    <w:qFormat/>
    <w:uiPriority w:val="99"/>
    <w:rPr>
      <w:strike/>
    </w:rPr>
  </w:style>
  <w:style w:type="paragraph" w:customStyle="1" w:styleId="504">
    <w:name w:val="投标6"/>
    <w:basedOn w:val="8"/>
    <w:qFormat/>
    <w:uiPriority w:val="99"/>
    <w:pPr>
      <w:keepNext/>
      <w:keepLines/>
      <w:widowControl w:val="0"/>
      <w:tabs>
        <w:tab w:val="left" w:pos="0"/>
      </w:tabs>
      <w:adjustRightInd/>
      <w:snapToGrid/>
      <w:spacing w:before="240" w:after="64" w:line="317" w:lineRule="auto"/>
      <w:ind w:left="0" w:firstLine="0" w:firstLineChars="0"/>
    </w:pPr>
    <w:rPr>
      <w:rFonts w:ascii="黑体" w:hAnsi="黑体" w:eastAsia="黑体"/>
      <w:b/>
      <w:bCs w:val="0"/>
      <w:sz w:val="24"/>
      <w:szCs w:val="20"/>
    </w:rPr>
  </w:style>
  <w:style w:type="paragraph" w:customStyle="1" w:styleId="505">
    <w:name w:val="投标1"/>
    <w:basedOn w:val="3"/>
    <w:next w:val="4"/>
    <w:qFormat/>
    <w:uiPriority w:val="99"/>
    <w:pPr>
      <w:keepNext/>
      <w:keepLines/>
      <w:widowControl w:val="0"/>
      <w:tabs>
        <w:tab w:val="left" w:pos="0"/>
      </w:tabs>
      <w:spacing w:beforeLines="0" w:afterLines="0" w:line="576" w:lineRule="auto"/>
    </w:pPr>
    <w:rPr>
      <w:rFonts w:ascii="Calibri" w:hAnsi="Calibri" w:eastAsia="黑体"/>
      <w:color w:val="auto"/>
      <w:kern w:val="44"/>
      <w:sz w:val="72"/>
      <w:szCs w:val="20"/>
    </w:rPr>
  </w:style>
  <w:style w:type="paragraph" w:customStyle="1" w:styleId="506">
    <w:name w:val="投标3"/>
    <w:basedOn w:val="5"/>
    <w:qFormat/>
    <w:uiPriority w:val="99"/>
    <w:pPr>
      <w:tabs>
        <w:tab w:val="left" w:pos="0"/>
        <w:tab w:val="left" w:pos="420"/>
      </w:tabs>
      <w:spacing w:before="260" w:after="260"/>
      <w:ind w:firstLine="0" w:firstLineChars="0"/>
    </w:pPr>
    <w:rPr>
      <w:rFonts w:ascii="Calibri" w:hAnsi="Calibri" w:eastAsia="黑体"/>
      <w:bCs w:val="0"/>
      <w:kern w:val="2"/>
      <w:sz w:val="44"/>
      <w:szCs w:val="20"/>
    </w:rPr>
  </w:style>
  <w:style w:type="paragraph" w:customStyle="1" w:styleId="507">
    <w:name w:val="投标4"/>
    <w:basedOn w:val="6"/>
    <w:qFormat/>
    <w:uiPriority w:val="99"/>
    <w:pPr>
      <w:tabs>
        <w:tab w:val="left" w:pos="420"/>
      </w:tabs>
      <w:ind w:firstLine="315"/>
    </w:pPr>
    <w:rPr>
      <w:bCs w:val="0"/>
      <w:sz w:val="32"/>
      <w:szCs w:val="20"/>
    </w:rPr>
  </w:style>
  <w:style w:type="paragraph" w:customStyle="1" w:styleId="508">
    <w:name w:val="批注主题[858D7CFB-ED40-4347-BF05-701D383B685F][858D7CFB-ED40-4347-BF05-701D383B685F]"/>
    <w:basedOn w:val="23"/>
    <w:next w:val="23"/>
    <w:qFormat/>
    <w:uiPriority w:val="99"/>
    <w:rPr>
      <w:b/>
      <w:bCs/>
    </w:rPr>
  </w:style>
  <w:style w:type="paragraph" w:customStyle="1" w:styleId="509">
    <w:name w:val="±í???"/>
    <w:basedOn w:val="1"/>
    <w:qFormat/>
    <w:uiPriority w:val="99"/>
    <w:pPr>
      <w:widowControl/>
      <w:overflowPunct w:val="0"/>
      <w:autoSpaceDE w:val="0"/>
      <w:autoSpaceDN w:val="0"/>
      <w:adjustRightInd w:val="0"/>
      <w:spacing w:line="300" w:lineRule="auto"/>
      <w:jc w:val="left"/>
      <w:textAlignment w:val="baseline"/>
    </w:pPr>
    <w:rPr>
      <w:kern w:val="0"/>
      <w:sz w:val="18"/>
      <w:szCs w:val="20"/>
    </w:rPr>
  </w:style>
  <w:style w:type="paragraph" w:customStyle="1" w:styleId="510">
    <w:name w:val="批注框文本[858D7CFB-ED40-4347-BF05-701D383B685F][858D7CFB-ED40-4347-BF05-701D383B685F]"/>
    <w:basedOn w:val="1"/>
    <w:qFormat/>
    <w:uiPriority w:val="99"/>
    <w:rPr>
      <w:sz w:val="18"/>
      <w:szCs w:val="18"/>
    </w:rPr>
  </w:style>
  <w:style w:type="paragraph" w:customStyle="1" w:styleId="511">
    <w:name w:val="投标2"/>
    <w:basedOn w:val="4"/>
    <w:qFormat/>
    <w:uiPriority w:val="99"/>
    <w:pPr>
      <w:tabs>
        <w:tab w:val="left" w:pos="0"/>
      </w:tabs>
      <w:spacing w:before="260" w:after="260" w:line="413" w:lineRule="auto"/>
    </w:pPr>
    <w:rPr>
      <w:rFonts w:ascii="Arial" w:hAnsi="Arial" w:eastAsia="黑体"/>
      <w:kern w:val="2"/>
      <w:sz w:val="52"/>
      <w:szCs w:val="20"/>
    </w:rPr>
  </w:style>
  <w:style w:type="paragraph" w:customStyle="1" w:styleId="512">
    <w:name w:val="投标5"/>
    <w:basedOn w:val="7"/>
    <w:qFormat/>
    <w:uiPriority w:val="99"/>
    <w:pPr>
      <w:keepNext/>
      <w:keepLines/>
      <w:widowControl w:val="0"/>
      <w:tabs>
        <w:tab w:val="left" w:pos="0"/>
        <w:tab w:val="clear" w:pos="1008"/>
      </w:tabs>
      <w:adjustRightInd/>
      <w:snapToGrid/>
      <w:spacing w:before="280" w:after="290" w:line="372" w:lineRule="auto"/>
      <w:ind w:left="0" w:firstLine="0" w:firstLineChars="0"/>
      <w:jc w:val="left"/>
    </w:pPr>
    <w:rPr>
      <w:rFonts w:ascii="Times New Roman" w:hAnsi="Times New Roman" w:eastAsia="黑体"/>
      <w:b/>
      <w:bCs w:val="0"/>
      <w:sz w:val="28"/>
      <w:szCs w:val="20"/>
    </w:rPr>
  </w:style>
  <w:style w:type="character" w:customStyle="1" w:styleId="513">
    <w:name w:val="文档正文 Char Char"/>
    <w:link w:val="514"/>
    <w:qFormat/>
    <w:uiPriority w:val="0"/>
    <w:rPr>
      <w:rFonts w:ascii="长城仿宋" w:eastAsia="仿宋_GB2312"/>
      <w:sz w:val="24"/>
    </w:rPr>
  </w:style>
  <w:style w:type="paragraph" w:customStyle="1" w:styleId="514">
    <w:name w:val="文档正文"/>
    <w:basedOn w:val="1"/>
    <w:link w:val="513"/>
    <w:qFormat/>
    <w:uiPriority w:val="0"/>
    <w:pPr>
      <w:adjustRightInd w:val="0"/>
      <w:spacing w:after="60" w:line="360" w:lineRule="exact"/>
      <w:ind w:firstLine="567"/>
      <w:textAlignment w:val="baseline"/>
    </w:pPr>
    <w:rPr>
      <w:rFonts w:ascii="长城仿宋" w:eastAsia="仿宋_GB2312"/>
      <w:kern w:val="0"/>
      <w:sz w:val="24"/>
      <w:szCs w:val="20"/>
    </w:rPr>
  </w:style>
  <w:style w:type="paragraph" w:customStyle="1" w:styleId="515">
    <w:name w:val="样式 标题 2proj2proj21proj22proj23proj24proj25proj26proj27p..."/>
    <w:basedOn w:val="4"/>
    <w:qFormat/>
    <w:uiPriority w:val="0"/>
    <w:pPr>
      <w:numPr>
        <w:ilvl w:val="0"/>
        <w:numId w:val="1"/>
      </w:numPr>
      <w:ind w:left="0" w:firstLine="482" w:firstLineChars="200"/>
      <w:jc w:val="both"/>
    </w:pPr>
    <w:rPr>
      <w:rFonts w:ascii="宋体" w:hAnsi="宋体" w:cs="宋体"/>
      <w:bCs/>
      <w:snapToGrid w:val="0"/>
      <w:kern w:val="2"/>
      <w:sz w:val="24"/>
      <w:lang w:val="zh-CN"/>
    </w:rPr>
  </w:style>
  <w:style w:type="character" w:customStyle="1" w:styleId="516">
    <w:name w:val="label1"/>
    <w:qFormat/>
    <w:uiPriority w:val="0"/>
    <w:rPr>
      <w:sz w:val="26"/>
      <w:szCs w:val="26"/>
    </w:rPr>
  </w:style>
  <w:style w:type="paragraph" w:customStyle="1" w:styleId="517">
    <w:name w:val="Char Char1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character" w:customStyle="1" w:styleId="518">
    <w:name w:val="grame"/>
    <w:basedOn w:val="68"/>
    <w:qFormat/>
    <w:uiPriority w:val="0"/>
  </w:style>
  <w:style w:type="paragraph" w:customStyle="1" w:styleId="519">
    <w:name w:val="Char Char Char Char Char Char Char Char Char1 Char Char Char Char Char Char Char Char Char Char Char Char Char"/>
    <w:basedOn w:val="3"/>
    <w:qFormat/>
    <w:uiPriority w:val="0"/>
    <w:pPr>
      <w:keepNext/>
      <w:keepLines/>
      <w:widowControl w:val="0"/>
      <w:snapToGrid w:val="0"/>
      <w:spacing w:beforeLines="0" w:afterLines="0" w:line="348" w:lineRule="auto"/>
      <w:jc w:val="both"/>
    </w:pPr>
    <w:rPr>
      <w:rFonts w:ascii="Tahoma" w:hAnsi="Tahoma"/>
      <w:color w:val="auto"/>
      <w:kern w:val="2"/>
      <w:sz w:val="24"/>
      <w:szCs w:val="20"/>
      <w:lang w:val="zh-CN"/>
    </w:rPr>
  </w:style>
  <w:style w:type="paragraph" w:customStyle="1" w:styleId="520">
    <w:name w:val="标准文本"/>
    <w:basedOn w:val="1"/>
    <w:link w:val="521"/>
    <w:qFormat/>
    <w:uiPriority w:val="0"/>
    <w:pPr>
      <w:spacing w:line="360" w:lineRule="auto"/>
      <w:ind w:firstLine="480" w:firstLineChars="200"/>
    </w:pPr>
    <w:rPr>
      <w:sz w:val="24"/>
      <w:szCs w:val="20"/>
      <w:lang w:val="zh-CN"/>
    </w:rPr>
  </w:style>
  <w:style w:type="character" w:customStyle="1" w:styleId="521">
    <w:name w:val="标准文本 Char"/>
    <w:link w:val="520"/>
    <w:qFormat/>
    <w:uiPriority w:val="0"/>
    <w:rPr>
      <w:kern w:val="2"/>
      <w:sz w:val="24"/>
      <w:lang w:val="zh-CN"/>
    </w:rPr>
  </w:style>
  <w:style w:type="paragraph" w:customStyle="1" w:styleId="522">
    <w:name w:val="msonormal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523">
    <w:name w:val="项目符号A"/>
    <w:basedOn w:val="1"/>
    <w:qFormat/>
    <w:uiPriority w:val="0"/>
    <w:pPr>
      <w:numPr>
        <w:ilvl w:val="0"/>
        <w:numId w:val="2"/>
      </w:numPr>
      <w:tabs>
        <w:tab w:val="left" w:pos="1260"/>
        <w:tab w:val="clear" w:pos="840"/>
      </w:tabs>
      <w:spacing w:line="360" w:lineRule="auto"/>
      <w:ind w:left="1260"/>
    </w:pPr>
    <w:rPr>
      <w:rFonts w:ascii="宋体" w:hAnsi="宋体"/>
      <w:color w:val="000000"/>
      <w:szCs w:val="21"/>
    </w:rPr>
  </w:style>
  <w:style w:type="paragraph" w:customStyle="1" w:styleId="524">
    <w:name w:val="tabletext"/>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525">
    <w:name w:val="列表内容"/>
    <w:basedOn w:val="1"/>
    <w:next w:val="1"/>
    <w:qFormat/>
    <w:uiPriority w:val="0"/>
    <w:pPr>
      <w:widowControl/>
      <w:tabs>
        <w:tab w:val="left" w:pos="840"/>
      </w:tabs>
      <w:ind w:left="840" w:hanging="420"/>
      <w:jc w:val="left"/>
    </w:pPr>
    <w:rPr>
      <w:kern w:val="0"/>
      <w:sz w:val="18"/>
      <w:szCs w:val="20"/>
    </w:rPr>
  </w:style>
  <w:style w:type="paragraph" w:customStyle="1" w:styleId="526">
    <w:name w:val="列出段落11"/>
    <w:basedOn w:val="1"/>
    <w:qFormat/>
    <w:uiPriority w:val="99"/>
    <w:pPr>
      <w:spacing w:before="100" w:beforeAutospacing="1" w:after="100" w:afterAutospacing="1" w:line="360" w:lineRule="auto"/>
      <w:ind w:firstLine="420" w:firstLineChars="200"/>
    </w:pPr>
    <w:rPr>
      <w:kern w:val="24"/>
      <w:sz w:val="24"/>
    </w:rPr>
  </w:style>
  <w:style w:type="paragraph" w:customStyle="1" w:styleId="527">
    <w:name w:val="默认段落字体 Para Char Char Char Char"/>
    <w:basedOn w:val="1"/>
    <w:qFormat/>
    <w:uiPriority w:val="0"/>
    <w:rPr>
      <w:szCs w:val="21"/>
    </w:rPr>
  </w:style>
  <w:style w:type="paragraph" w:customStyle="1" w:styleId="528">
    <w:name w:val="a2"/>
    <w:basedOn w:val="1"/>
    <w:qFormat/>
    <w:uiPriority w:val="0"/>
    <w:pPr>
      <w:widowControl/>
      <w:spacing w:before="100" w:beforeAutospacing="1" w:after="100" w:afterAutospacing="1"/>
      <w:jc w:val="left"/>
    </w:pPr>
    <w:rPr>
      <w:rFonts w:ascii="宋体" w:hAnsi="宋体" w:cs="宋体"/>
      <w:kern w:val="0"/>
      <w:sz w:val="24"/>
    </w:rPr>
  </w:style>
  <w:style w:type="character" w:customStyle="1" w:styleId="529">
    <w:name w:val="apple-style-span"/>
    <w:qFormat/>
    <w:uiPriority w:val="0"/>
  </w:style>
  <w:style w:type="character" w:customStyle="1" w:styleId="530">
    <w:name w:val="批注文字 Char1"/>
    <w:semiHidden/>
    <w:qFormat/>
    <w:uiPriority w:val="99"/>
    <w:rPr>
      <w:kern w:val="2"/>
      <w:sz w:val="21"/>
      <w:szCs w:val="21"/>
    </w:rPr>
  </w:style>
  <w:style w:type="character" w:customStyle="1" w:styleId="531">
    <w:name w:val="文件正文 Char"/>
    <w:link w:val="532"/>
    <w:qFormat/>
    <w:uiPriority w:val="0"/>
    <w:rPr>
      <w:rFonts w:ascii="Arial" w:hAnsi="Arial"/>
      <w:snapToGrid w:val="0"/>
      <w:spacing w:val="6"/>
      <w:sz w:val="24"/>
    </w:rPr>
  </w:style>
  <w:style w:type="paragraph" w:customStyle="1" w:styleId="532">
    <w:name w:val="文件正文"/>
    <w:basedOn w:val="1"/>
    <w:link w:val="531"/>
    <w:qFormat/>
    <w:uiPriority w:val="0"/>
    <w:pPr>
      <w:adjustRightInd w:val="0"/>
      <w:snapToGrid w:val="0"/>
      <w:spacing w:before="80" w:after="80" w:line="264" w:lineRule="auto"/>
      <w:ind w:firstLine="200" w:firstLineChars="200"/>
      <w:jc w:val="left"/>
    </w:pPr>
    <w:rPr>
      <w:rFonts w:ascii="Arial" w:hAnsi="Arial"/>
      <w:snapToGrid w:val="0"/>
      <w:spacing w:val="6"/>
      <w:kern w:val="0"/>
      <w:sz w:val="24"/>
      <w:szCs w:val="20"/>
    </w:rPr>
  </w:style>
  <w:style w:type="paragraph" w:customStyle="1" w:styleId="533">
    <w:name w:val="样式 文件正文 + 首行缩进:  2 字符"/>
    <w:basedOn w:val="532"/>
    <w:qFormat/>
    <w:uiPriority w:val="0"/>
    <w:pPr>
      <w:spacing w:line="312" w:lineRule="auto"/>
    </w:pPr>
    <w:rPr>
      <w:rFonts w:cs="宋体"/>
      <w:snapToGrid/>
      <w:spacing w:val="0"/>
    </w:rPr>
  </w:style>
  <w:style w:type="paragraph" w:customStyle="1" w:styleId="534">
    <w:name w:val="标书表格字体格式"/>
    <w:next w:val="1"/>
    <w:link w:val="535"/>
    <w:qFormat/>
    <w:uiPriority w:val="0"/>
    <w:rPr>
      <w:rFonts w:ascii="Times New Roman" w:hAnsi="Times New Roman" w:eastAsia="宋体" w:cs="Times New Roman"/>
      <w:szCs w:val="24"/>
      <w:lang w:val="en-US" w:eastAsia="zh-CN" w:bidi="ar-SA"/>
    </w:rPr>
  </w:style>
  <w:style w:type="character" w:customStyle="1" w:styleId="535">
    <w:name w:val="标书表格字体格式 Char"/>
    <w:link w:val="534"/>
    <w:qFormat/>
    <w:locked/>
    <w:uiPriority w:val="0"/>
    <w:rPr>
      <w:szCs w:val="24"/>
    </w:rPr>
  </w:style>
  <w:style w:type="paragraph" w:customStyle="1" w:styleId="536">
    <w:name w:val="5_多点明细"/>
    <w:basedOn w:val="7"/>
    <w:link w:val="537"/>
    <w:qFormat/>
    <w:uiPriority w:val="0"/>
    <w:pPr>
      <w:widowControl w:val="0"/>
      <w:tabs>
        <w:tab w:val="clear" w:pos="1008"/>
      </w:tabs>
      <w:adjustRightInd/>
      <w:snapToGrid/>
      <w:spacing w:line="240" w:lineRule="auto"/>
      <w:ind w:left="420" w:hanging="420" w:hangingChars="200"/>
    </w:pPr>
    <w:rPr>
      <w:rFonts w:ascii="Times New Roman" w:hAnsi="Times New Roman"/>
      <w:bCs w:val="0"/>
      <w:kern w:val="0"/>
      <w:sz w:val="20"/>
      <w:szCs w:val="20"/>
      <w:lang w:val="zh-CN" w:eastAsia="en-US"/>
    </w:rPr>
  </w:style>
  <w:style w:type="character" w:customStyle="1" w:styleId="537">
    <w:name w:val="5_多点明细 Char"/>
    <w:link w:val="536"/>
    <w:qFormat/>
    <w:uiPriority w:val="0"/>
    <w:rPr>
      <w:lang w:val="zh-CN" w:eastAsia="en-US"/>
    </w:rPr>
  </w:style>
  <w:style w:type="paragraph" w:customStyle="1" w:styleId="538">
    <w:name w:val="button"/>
    <w:basedOn w:val="1"/>
    <w:qFormat/>
    <w:uiPriority w:val="0"/>
    <w:pPr>
      <w:tabs>
        <w:tab w:val="left" w:pos="1080"/>
      </w:tabs>
      <w:spacing w:before="120" w:line="360" w:lineRule="auto"/>
      <w:ind w:left="357" w:right="624"/>
      <w:jc w:val="left"/>
    </w:pPr>
    <w:rPr>
      <w:rFonts w:ascii="Arial" w:hAnsi="Arial"/>
      <w:kern w:val="0"/>
      <w:sz w:val="24"/>
      <w:lang w:eastAsia="en-US" w:bidi="he-IL"/>
    </w:rPr>
  </w:style>
  <w:style w:type="paragraph" w:customStyle="1" w:styleId="539">
    <w:name w:val="Code_Text"/>
    <w:qFormat/>
    <w:uiPriority w:val="0"/>
    <w:pPr>
      <w:spacing w:before="20" w:after="20"/>
      <w:ind w:left="57"/>
    </w:pPr>
    <w:rPr>
      <w:rFonts w:ascii="Arial" w:hAnsi="Arial" w:eastAsia="宋体" w:cs="Times New Roman"/>
      <w:color w:val="000000"/>
      <w:lang w:val="fr-FR" w:eastAsia="fr-FR" w:bidi="he-IL"/>
    </w:rPr>
  </w:style>
  <w:style w:type="character" w:customStyle="1" w:styleId="540">
    <w:name w:val="Paragraph 2 Char Char"/>
    <w:link w:val="541"/>
    <w:qFormat/>
    <w:uiPriority w:val="0"/>
    <w:rPr>
      <w:rFonts w:ascii="Arial" w:hAnsi="Arial"/>
      <w:lang w:eastAsia="en-US"/>
    </w:rPr>
  </w:style>
  <w:style w:type="paragraph" w:customStyle="1" w:styleId="541">
    <w:name w:val="Paragraph 2"/>
    <w:basedOn w:val="1"/>
    <w:link w:val="540"/>
    <w:qFormat/>
    <w:uiPriority w:val="0"/>
    <w:pPr>
      <w:widowControl/>
      <w:tabs>
        <w:tab w:val="right" w:pos="900"/>
        <w:tab w:val="right" w:pos="10296"/>
      </w:tabs>
      <w:spacing w:before="60" w:after="60"/>
      <w:ind w:left="-840" w:leftChars="-350" w:firstLine="735" w:firstLineChars="350"/>
      <w:jc w:val="left"/>
      <w:outlineLvl w:val="3"/>
    </w:pPr>
    <w:rPr>
      <w:rFonts w:ascii="Arial" w:hAnsi="Arial"/>
      <w:kern w:val="0"/>
      <w:sz w:val="20"/>
      <w:szCs w:val="20"/>
      <w:lang w:eastAsia="en-US"/>
    </w:rPr>
  </w:style>
  <w:style w:type="character" w:customStyle="1" w:styleId="542">
    <w:name w:val="Bold"/>
    <w:qFormat/>
    <w:uiPriority w:val="0"/>
    <w:rPr>
      <w:b/>
    </w:rPr>
  </w:style>
  <w:style w:type="character" w:customStyle="1" w:styleId="543">
    <w:name w:val="正文文本 Char1"/>
    <w:qFormat/>
    <w:uiPriority w:val="0"/>
    <w:rPr>
      <w:rFonts w:ascii="Times New Roman" w:hAnsi="Times New Roman" w:eastAsia="宋体" w:cs="Times New Roman"/>
      <w:sz w:val="24"/>
      <w:szCs w:val="24"/>
    </w:rPr>
  </w:style>
  <w:style w:type="character" w:customStyle="1" w:styleId="544">
    <w:name w:val="标题 Char1"/>
    <w:basedOn w:val="68"/>
    <w:qFormat/>
    <w:uiPriority w:val="0"/>
    <w:rPr>
      <w:rFonts w:eastAsia="宋体" w:asciiTheme="majorHAnsi" w:hAnsiTheme="majorHAnsi" w:cstheme="majorBidi"/>
      <w:b/>
      <w:bCs/>
      <w:sz w:val="32"/>
      <w:szCs w:val="32"/>
    </w:rPr>
  </w:style>
  <w:style w:type="paragraph" w:customStyle="1" w:styleId="545">
    <w:name w:val="Paragraph 3"/>
    <w:basedOn w:val="1"/>
    <w:qFormat/>
    <w:uiPriority w:val="0"/>
    <w:pPr>
      <w:widowControl/>
      <w:tabs>
        <w:tab w:val="right" w:pos="10296"/>
      </w:tabs>
      <w:spacing w:before="60" w:after="60"/>
      <w:ind w:firstLine="420" w:firstLineChars="200"/>
      <w:jc w:val="left"/>
      <w:outlineLvl w:val="4"/>
    </w:pPr>
    <w:rPr>
      <w:rFonts w:ascii="Arial" w:hAnsi="Arial"/>
      <w:kern w:val="0"/>
      <w:sz w:val="20"/>
      <w:lang w:eastAsia="en-US"/>
    </w:rPr>
  </w:style>
  <w:style w:type="paragraph" w:customStyle="1" w:styleId="546">
    <w:name w:val="Paragraph 1"/>
    <w:basedOn w:val="1"/>
    <w:qFormat/>
    <w:uiPriority w:val="0"/>
    <w:pPr>
      <w:widowControl/>
      <w:tabs>
        <w:tab w:val="right" w:pos="10296"/>
      </w:tabs>
      <w:spacing w:before="60" w:after="60"/>
      <w:ind w:left="360"/>
      <w:jc w:val="left"/>
      <w:outlineLvl w:val="2"/>
    </w:pPr>
    <w:rPr>
      <w:rFonts w:ascii="宋体" w:hAnsi="宋体" w:cs="Calibri"/>
      <w:kern w:val="0"/>
      <w:szCs w:val="21"/>
    </w:rPr>
  </w:style>
  <w:style w:type="paragraph" w:customStyle="1" w:styleId="547">
    <w:name w:val="Char21"/>
    <w:basedOn w:val="1"/>
    <w:qFormat/>
    <w:uiPriority w:val="0"/>
    <w:pPr>
      <w:tabs>
        <w:tab w:val="left" w:pos="360"/>
      </w:tabs>
    </w:pPr>
    <w:rPr>
      <w:sz w:val="24"/>
    </w:rPr>
  </w:style>
  <w:style w:type="character" w:customStyle="1" w:styleId="548">
    <w:name w:val="首行缩进：2字符 Char Char"/>
    <w:link w:val="549"/>
    <w:qFormat/>
    <w:uiPriority w:val="0"/>
    <w:rPr>
      <w:rFonts w:ascii="宋体"/>
      <w:sz w:val="24"/>
      <w:szCs w:val="24"/>
    </w:rPr>
  </w:style>
  <w:style w:type="paragraph" w:customStyle="1" w:styleId="549">
    <w:name w:val="首行缩进：2字符 Char"/>
    <w:basedOn w:val="1"/>
    <w:link w:val="548"/>
    <w:qFormat/>
    <w:uiPriority w:val="0"/>
    <w:pPr>
      <w:spacing w:line="440" w:lineRule="exact"/>
      <w:outlineLvl w:val="1"/>
    </w:pPr>
    <w:rPr>
      <w:rFonts w:ascii="宋体"/>
      <w:kern w:val="0"/>
      <w:sz w:val="24"/>
    </w:rPr>
  </w:style>
  <w:style w:type="character" w:customStyle="1" w:styleId="550">
    <w:name w:val="apple-converted-space"/>
    <w:qFormat/>
    <w:uiPriority w:val="0"/>
  </w:style>
  <w:style w:type="paragraph" w:customStyle="1" w:styleId="551">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552">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4"/>
    </w:rPr>
  </w:style>
  <w:style w:type="paragraph" w:customStyle="1" w:styleId="553">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554">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555">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556">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kern w:val="0"/>
      <w:sz w:val="24"/>
    </w:rPr>
  </w:style>
  <w:style w:type="paragraph" w:customStyle="1" w:styleId="557">
    <w:name w:val="xl80"/>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558">
    <w:name w:val="xl81"/>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559">
    <w:name w:val="xl82"/>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560">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561">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562">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kern w:val="0"/>
      <w:sz w:val="24"/>
    </w:rPr>
  </w:style>
  <w:style w:type="paragraph" w:customStyle="1" w:styleId="563">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564">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565">
    <w:name w:val="xl88"/>
    <w:basedOn w:val="1"/>
    <w:qFormat/>
    <w:uiPriority w:val="0"/>
    <w:pPr>
      <w:widowControl/>
      <w:spacing w:before="100" w:beforeAutospacing="1" w:after="100" w:afterAutospacing="1"/>
      <w:jc w:val="center"/>
      <w:textAlignment w:val="center"/>
    </w:pPr>
    <w:rPr>
      <w:rFonts w:ascii="宋体" w:hAnsi="宋体" w:cs="宋体"/>
      <w:kern w:val="0"/>
      <w:sz w:val="24"/>
    </w:rPr>
  </w:style>
  <w:style w:type="paragraph" w:customStyle="1" w:styleId="566">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567">
    <w:name w:val="xl90"/>
    <w:basedOn w:val="1"/>
    <w:qFormat/>
    <w:uiPriority w:val="0"/>
    <w:pPr>
      <w:widowControl/>
      <w:spacing w:before="100" w:beforeAutospacing="1" w:after="100" w:afterAutospacing="1"/>
      <w:jc w:val="left"/>
      <w:textAlignment w:val="center"/>
    </w:pPr>
    <w:rPr>
      <w:rFonts w:ascii="宋体" w:hAnsi="宋体" w:cs="宋体"/>
      <w:kern w:val="0"/>
      <w:sz w:val="24"/>
    </w:rPr>
  </w:style>
  <w:style w:type="paragraph" w:customStyle="1" w:styleId="568">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569">
    <w:name w:val="xl92"/>
    <w:basedOn w:val="1"/>
    <w:qFormat/>
    <w:uiPriority w:val="0"/>
    <w:pPr>
      <w:widowControl/>
      <w:spacing w:before="100" w:beforeAutospacing="1" w:after="100" w:afterAutospacing="1"/>
      <w:jc w:val="center"/>
      <w:textAlignment w:val="center"/>
    </w:pPr>
    <w:rPr>
      <w:rFonts w:ascii="宋体" w:hAnsi="宋体" w:cs="宋体"/>
      <w:color w:val="FF0000"/>
      <w:kern w:val="0"/>
      <w:sz w:val="24"/>
    </w:rPr>
  </w:style>
  <w:style w:type="paragraph" w:customStyle="1" w:styleId="570">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FF0000"/>
      <w:kern w:val="0"/>
      <w:sz w:val="24"/>
    </w:rPr>
  </w:style>
  <w:style w:type="paragraph" w:customStyle="1" w:styleId="571">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572">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kern w:val="0"/>
      <w:sz w:val="24"/>
    </w:rPr>
  </w:style>
  <w:style w:type="paragraph" w:customStyle="1" w:styleId="573">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kern w:val="0"/>
      <w:sz w:val="24"/>
    </w:rPr>
  </w:style>
  <w:style w:type="character" w:customStyle="1" w:styleId="574">
    <w:name w:val="页眉 字符"/>
    <w:qFormat/>
    <w:uiPriority w:val="0"/>
    <w:rPr>
      <w:kern w:val="2"/>
      <w:sz w:val="18"/>
      <w:szCs w:val="18"/>
    </w:rPr>
  </w:style>
  <w:style w:type="character" w:customStyle="1" w:styleId="575">
    <w:name w:val="页脚 字符"/>
    <w:qFormat/>
    <w:uiPriority w:val="0"/>
    <w:rPr>
      <w:kern w:val="2"/>
      <w:sz w:val="18"/>
      <w:szCs w:val="18"/>
    </w:rPr>
  </w:style>
  <w:style w:type="paragraph" w:customStyle="1" w:styleId="576">
    <w:name w:val="修订1"/>
    <w:hidden/>
    <w:unhideWhenUsed/>
    <w:qFormat/>
    <w:uiPriority w:val="99"/>
    <w:rPr>
      <w:rFonts w:ascii="Calibri" w:hAnsi="Calibri" w:eastAsia="宋体" w:cs="Times New Roman"/>
      <w:kern w:val="2"/>
      <w:sz w:val="21"/>
      <w:szCs w:val="22"/>
      <w:lang w:val="en-US" w:eastAsia="zh-CN" w:bidi="ar-SA"/>
    </w:rPr>
  </w:style>
  <w:style w:type="character" w:customStyle="1" w:styleId="577">
    <w:name w:val="批注框文本 字符"/>
    <w:qFormat/>
    <w:uiPriority w:val="0"/>
    <w:rPr>
      <w:kern w:val="2"/>
      <w:sz w:val="18"/>
      <w:szCs w:val="18"/>
    </w:rPr>
  </w:style>
  <w:style w:type="paragraph" w:customStyle="1" w:styleId="578">
    <w:name w:val="Contr_List"/>
    <w:basedOn w:val="1"/>
    <w:qFormat/>
    <w:uiPriority w:val="0"/>
    <w:pPr>
      <w:widowControl/>
      <w:tabs>
        <w:tab w:val="left" w:pos="1080"/>
      </w:tabs>
      <w:spacing w:after="240"/>
      <w:ind w:left="1080"/>
      <w:jc w:val="left"/>
    </w:pPr>
    <w:rPr>
      <w:rFonts w:ascii="Arial" w:hAnsi="Arial"/>
      <w:kern w:val="0"/>
      <w:sz w:val="24"/>
      <w:lang w:val="en-GB" w:eastAsia="en-US"/>
    </w:rPr>
  </w:style>
  <w:style w:type="paragraph" w:customStyle="1" w:styleId="579">
    <w:name w:val="圆点列举项"/>
    <w:basedOn w:val="1"/>
    <w:qFormat/>
    <w:uiPriority w:val="0"/>
    <w:pPr>
      <w:widowControl/>
      <w:tabs>
        <w:tab w:val="left" w:pos="3840"/>
      </w:tabs>
      <w:adjustRightInd w:val="0"/>
      <w:snapToGrid w:val="0"/>
      <w:spacing w:before="30" w:after="30" w:line="300" w:lineRule="auto"/>
      <w:ind w:left="4918" w:firstLine="200" w:firstLineChars="200"/>
    </w:pPr>
    <w:rPr>
      <w:rFonts w:ascii="Arial" w:hAnsi="Arial"/>
      <w:sz w:val="18"/>
      <w:szCs w:val="20"/>
    </w:rPr>
  </w:style>
  <w:style w:type="paragraph" w:customStyle="1" w:styleId="580">
    <w:name w:val="SANGFOR_4_标题4"/>
    <w:basedOn w:val="6"/>
    <w:next w:val="1"/>
    <w:qFormat/>
    <w:uiPriority w:val="0"/>
    <w:pPr>
      <w:tabs>
        <w:tab w:val="left" w:pos="2055"/>
      </w:tabs>
      <w:spacing w:beforeLines="50" w:after="0" w:line="240" w:lineRule="auto"/>
      <w:ind w:left="2818" w:right="210" w:firstLine="151" w:firstLineChars="151"/>
    </w:pPr>
    <w:rPr>
      <w:rFonts w:ascii="Times New Roman" w:hAnsi="Times New Roman" w:eastAsia="宋体" w:cs="Arial"/>
      <w:sz w:val="24"/>
      <w:szCs w:val="24"/>
      <w:lang w:bidi="ne-NP"/>
    </w:rPr>
  </w:style>
  <w:style w:type="paragraph" w:customStyle="1" w:styleId="581">
    <w:name w:val="SANGFOR_5_标题5"/>
    <w:basedOn w:val="7"/>
    <w:next w:val="1"/>
    <w:qFormat/>
    <w:uiPriority w:val="0"/>
    <w:pPr>
      <w:keepNext/>
      <w:keepLines/>
      <w:widowControl w:val="0"/>
      <w:tabs>
        <w:tab w:val="left" w:pos="2160"/>
        <w:tab w:val="clear" w:pos="1008"/>
      </w:tabs>
      <w:adjustRightInd/>
      <w:snapToGrid/>
      <w:spacing w:beforeLines="50" w:afterLines="50" w:line="360" w:lineRule="auto"/>
      <w:ind w:left="3238" w:firstLine="0" w:firstLineChars="0"/>
    </w:pPr>
    <w:rPr>
      <w:rFonts w:ascii="Times New Roman" w:hAnsi="Times New Roman"/>
      <w:b/>
      <w:szCs w:val="21"/>
    </w:rPr>
  </w:style>
  <w:style w:type="paragraph" w:customStyle="1" w:styleId="582">
    <w:name w:val="序号悬挂缩进2"/>
    <w:basedOn w:val="1"/>
    <w:qFormat/>
    <w:uiPriority w:val="0"/>
    <w:pPr>
      <w:tabs>
        <w:tab w:val="left" w:pos="630"/>
        <w:tab w:val="left" w:pos="2520"/>
      </w:tabs>
      <w:spacing w:line="360" w:lineRule="auto"/>
      <w:ind w:left="2205" w:hanging="945"/>
    </w:pPr>
    <w:rPr>
      <w:rFonts w:ascii="宋体" w:hAnsi="Arial"/>
      <w:sz w:val="24"/>
      <w:szCs w:val="20"/>
    </w:rPr>
  </w:style>
  <w:style w:type="character" w:customStyle="1" w:styleId="583">
    <w:name w:val="样式2 Char"/>
    <w:basedOn w:val="68"/>
    <w:link w:val="403"/>
    <w:qFormat/>
    <w:uiPriority w:val="0"/>
    <w:rPr>
      <w:kern w:val="2"/>
      <w:sz w:val="21"/>
      <w:szCs w:val="21"/>
    </w:rPr>
  </w:style>
  <w:style w:type="character" w:customStyle="1" w:styleId="584">
    <w:name w:val="需求报告正文 Char"/>
    <w:link w:val="585"/>
    <w:qFormat/>
    <w:uiPriority w:val="0"/>
    <w:rPr>
      <w:rFonts w:ascii="宋体" w:hAnsi="宋体"/>
      <w:kern w:val="2"/>
      <w:sz w:val="24"/>
      <w:szCs w:val="24"/>
    </w:rPr>
  </w:style>
  <w:style w:type="paragraph" w:customStyle="1" w:styleId="585">
    <w:name w:val="需求报告正文"/>
    <w:basedOn w:val="1"/>
    <w:link w:val="584"/>
    <w:qFormat/>
    <w:uiPriority w:val="0"/>
    <w:pPr>
      <w:spacing w:line="360" w:lineRule="auto"/>
      <w:ind w:firstLine="480" w:firstLineChars="200"/>
      <w:jc w:val="left"/>
    </w:pPr>
    <w:rPr>
      <w:rFonts w:ascii="宋体" w:hAnsi="宋体"/>
      <w:sz w:val="24"/>
    </w:rPr>
  </w:style>
  <w:style w:type="paragraph" w:customStyle="1" w:styleId="586">
    <w:name w:val="样式 标题 1 + (符号) 宋体 加粗1"/>
    <w:basedOn w:val="3"/>
    <w:qFormat/>
    <w:uiPriority w:val="99"/>
    <w:pPr>
      <w:keepLines/>
      <w:pageBreakBefore/>
      <w:widowControl w:val="0"/>
      <w:tabs>
        <w:tab w:val="left" w:pos="1418"/>
        <w:tab w:val="left" w:pos="1843"/>
      </w:tabs>
      <w:spacing w:beforeLines="0" w:afterLines="0" w:line="360" w:lineRule="auto"/>
      <w:ind w:left="1555" w:hanging="1555"/>
    </w:pPr>
    <w:rPr>
      <w:rFonts w:ascii="宋体" w:hAnsi="宋体"/>
      <w:color w:val="auto"/>
      <w:kern w:val="44"/>
      <w:sz w:val="32"/>
      <w:szCs w:val="32"/>
    </w:rPr>
  </w:style>
  <w:style w:type="character" w:customStyle="1" w:styleId="587">
    <w:name w:val="0正文 Char"/>
    <w:link w:val="588"/>
    <w:qFormat/>
    <w:uiPriority w:val="0"/>
    <w:rPr>
      <w:sz w:val="24"/>
      <w:szCs w:val="24"/>
    </w:rPr>
  </w:style>
  <w:style w:type="paragraph" w:customStyle="1" w:styleId="588">
    <w:name w:val="0正文"/>
    <w:basedOn w:val="1"/>
    <w:link w:val="587"/>
    <w:qFormat/>
    <w:uiPriority w:val="0"/>
    <w:pPr>
      <w:adjustRightInd w:val="0"/>
      <w:spacing w:line="360" w:lineRule="auto"/>
      <w:ind w:firstLine="200" w:firstLineChars="200"/>
      <w:textAlignment w:val="baseline"/>
    </w:pPr>
    <w:rPr>
      <w:kern w:val="0"/>
      <w:sz w:val="24"/>
    </w:rPr>
  </w:style>
  <w:style w:type="paragraph" w:customStyle="1" w:styleId="589">
    <w:name w:val="S正文"/>
    <w:basedOn w:val="1"/>
    <w:link w:val="590"/>
    <w:qFormat/>
    <w:uiPriority w:val="0"/>
    <w:pPr>
      <w:spacing w:line="360" w:lineRule="auto"/>
      <w:ind w:firstLine="480" w:firstLineChars="200"/>
    </w:pPr>
    <w:rPr>
      <w:rFonts w:ascii="宋体" w:hAnsi="宋体"/>
      <w:color w:val="984806"/>
      <w:sz w:val="24"/>
    </w:rPr>
  </w:style>
  <w:style w:type="character" w:customStyle="1" w:styleId="590">
    <w:name w:val="S正文 Char"/>
    <w:link w:val="589"/>
    <w:qFormat/>
    <w:uiPriority w:val="0"/>
    <w:rPr>
      <w:rFonts w:ascii="宋体" w:hAnsi="宋体"/>
      <w:color w:val="984806"/>
      <w:kern w:val="2"/>
      <w:sz w:val="24"/>
      <w:szCs w:val="24"/>
    </w:rPr>
  </w:style>
  <w:style w:type="character" w:customStyle="1" w:styleId="591">
    <w:name w:val="列表段落 字符"/>
    <w:link w:val="592"/>
    <w:qFormat/>
    <w:uiPriority w:val="34"/>
    <w:rPr>
      <w:sz w:val="24"/>
      <w:szCs w:val="24"/>
    </w:rPr>
  </w:style>
  <w:style w:type="paragraph" w:customStyle="1" w:styleId="592">
    <w:name w:val="_Style 69"/>
    <w:basedOn w:val="1"/>
    <w:next w:val="109"/>
    <w:link w:val="591"/>
    <w:qFormat/>
    <w:uiPriority w:val="34"/>
    <w:pPr>
      <w:widowControl/>
      <w:spacing w:before="120" w:line="300" w:lineRule="auto"/>
      <w:ind w:firstLine="420" w:firstLineChars="200"/>
      <w:jc w:val="left"/>
    </w:pPr>
    <w:rPr>
      <w:kern w:val="0"/>
      <w:sz w:val="24"/>
    </w:rPr>
  </w:style>
  <w:style w:type="paragraph" w:customStyle="1" w:styleId="593">
    <w:name w:val="正文360首行缩进"/>
    <w:basedOn w:val="1"/>
    <w:link w:val="594"/>
    <w:qFormat/>
    <w:uiPriority w:val="0"/>
    <w:pPr>
      <w:widowControl/>
      <w:spacing w:after="50" w:line="300" w:lineRule="auto"/>
      <w:ind w:firstLine="200" w:firstLineChars="200"/>
      <w:jc w:val="left"/>
    </w:pPr>
    <w:rPr>
      <w:rFonts w:ascii="Arial" w:hAnsi="Arial"/>
      <w:kern w:val="0"/>
      <w:szCs w:val="21"/>
    </w:rPr>
  </w:style>
  <w:style w:type="character" w:customStyle="1" w:styleId="594">
    <w:name w:val="正文360首行缩进 Char"/>
    <w:link w:val="593"/>
    <w:qFormat/>
    <w:uiPriority w:val="0"/>
    <w:rPr>
      <w:rFonts w:ascii="Arial" w:hAnsi="Arial"/>
      <w:sz w:val="21"/>
      <w:szCs w:val="21"/>
    </w:rPr>
  </w:style>
  <w:style w:type="paragraph" w:customStyle="1" w:styleId="595">
    <w:name w:val="样式14"/>
    <w:basedOn w:val="1"/>
    <w:qFormat/>
    <w:uiPriority w:val="0"/>
    <w:pPr>
      <w:numPr>
        <w:ilvl w:val="0"/>
        <w:numId w:val="3"/>
      </w:numPr>
      <w:spacing w:line="360" w:lineRule="auto"/>
      <w:ind w:firstLine="0"/>
    </w:pPr>
    <w:rPr>
      <w:rFonts w:ascii="仿宋_GB2312" w:hAnsi="宋体"/>
      <w:caps/>
      <w:sz w:val="24"/>
      <w:szCs w:val="28"/>
      <w:lang w:val="zh-CN"/>
    </w:rPr>
  </w:style>
  <w:style w:type="paragraph" w:customStyle="1" w:styleId="596">
    <w:name w:val="正文（360）"/>
    <w:link w:val="597"/>
    <w:qFormat/>
    <w:uiPriority w:val="0"/>
    <w:pPr>
      <w:spacing w:line="324" w:lineRule="auto"/>
      <w:ind w:firstLine="200" w:firstLineChars="200"/>
    </w:pPr>
    <w:rPr>
      <w:rFonts w:ascii="Arial" w:hAnsi="Arial" w:eastAsia="宋体" w:cs="Times New Roman"/>
      <w:sz w:val="24"/>
      <w:szCs w:val="21"/>
      <w:lang w:val="en-US" w:eastAsia="zh-CN" w:bidi="ar-SA"/>
    </w:rPr>
  </w:style>
  <w:style w:type="character" w:customStyle="1" w:styleId="597">
    <w:name w:val="正文（360） Char"/>
    <w:link w:val="596"/>
    <w:qFormat/>
    <w:uiPriority w:val="0"/>
    <w:rPr>
      <w:rFonts w:ascii="Arial" w:hAnsi="Arial"/>
      <w:sz w:val="24"/>
      <w:szCs w:val="21"/>
    </w:rPr>
  </w:style>
  <w:style w:type="character" w:customStyle="1" w:styleId="598">
    <w:name w:val="*正文 Char"/>
    <w:link w:val="599"/>
    <w:qFormat/>
    <w:locked/>
    <w:uiPriority w:val="0"/>
    <w:rPr>
      <w:rFonts w:ascii="宋体" w:hAnsi="宋体" w:eastAsia="华文仿宋"/>
      <w:sz w:val="28"/>
      <w:szCs w:val="24"/>
      <w:lang w:val="zh-CN"/>
    </w:rPr>
  </w:style>
  <w:style w:type="paragraph" w:customStyle="1" w:styleId="599">
    <w:name w:val="*正文"/>
    <w:basedOn w:val="1"/>
    <w:link w:val="598"/>
    <w:qFormat/>
    <w:uiPriority w:val="0"/>
    <w:pPr>
      <w:spacing w:line="360" w:lineRule="auto"/>
      <w:ind w:firstLine="200" w:firstLineChars="200"/>
    </w:pPr>
    <w:rPr>
      <w:rFonts w:ascii="宋体" w:hAnsi="宋体" w:eastAsia="华文仿宋"/>
      <w:kern w:val="0"/>
      <w:sz w:val="28"/>
      <w:lang w:val="zh-CN"/>
    </w:rPr>
  </w:style>
  <w:style w:type="paragraph" w:customStyle="1" w:styleId="600">
    <w:name w:val="#"/>
    <w:basedOn w:val="1"/>
    <w:qFormat/>
    <w:uiPriority w:val="0"/>
    <w:pPr>
      <w:tabs>
        <w:tab w:val="left" w:pos="1077"/>
      </w:tabs>
      <w:spacing w:line="360" w:lineRule="auto"/>
      <w:ind w:firstLine="357"/>
    </w:pPr>
    <w:rPr>
      <w:sz w:val="24"/>
    </w:rPr>
  </w:style>
  <w:style w:type="paragraph" w:customStyle="1" w:styleId="601">
    <w:name w:val="章标题"/>
    <w:next w:val="1"/>
    <w:qFormat/>
    <w:uiPriority w:val="0"/>
    <w:pPr>
      <w:spacing w:beforeLines="50" w:afterLines="50"/>
      <w:jc w:val="both"/>
      <w:outlineLvl w:val="1"/>
    </w:pPr>
    <w:rPr>
      <w:rFonts w:ascii="黑体" w:hAnsi="Times New Roman" w:eastAsia="黑体" w:cs="Times New Roman"/>
      <w:sz w:val="24"/>
      <w:lang w:val="en-US" w:eastAsia="zh-CN" w:bidi="ar-SA"/>
    </w:rPr>
  </w:style>
  <w:style w:type="paragraph" w:customStyle="1" w:styleId="602">
    <w:name w:val="TOC 标题1"/>
    <w:basedOn w:val="3"/>
    <w:next w:val="1"/>
    <w:unhideWhenUsed/>
    <w:qFormat/>
    <w:uiPriority w:val="39"/>
    <w:pPr>
      <w:keepNext/>
      <w:keepLines/>
      <w:spacing w:beforeLines="0" w:afterLines="0" w:line="259" w:lineRule="auto"/>
      <w:jc w:val="left"/>
      <w:outlineLvl w:val="9"/>
    </w:pPr>
    <w:rPr>
      <w:rFonts w:asciiTheme="majorHAnsi" w:hAnsiTheme="majorHAnsi" w:eastAsiaTheme="majorEastAsia" w:cstheme="majorBidi"/>
      <w:b w:val="0"/>
      <w:color w:val="376092" w:themeColor="accent1" w:themeShade="BF"/>
      <w:sz w:val="32"/>
      <w:szCs w:val="32"/>
    </w:rPr>
  </w:style>
  <w:style w:type="paragraph" w:customStyle="1" w:styleId="603">
    <w:name w:val="p15"/>
    <w:basedOn w:val="1"/>
    <w:qFormat/>
    <w:uiPriority w:val="0"/>
    <w:pPr>
      <w:spacing w:line="360" w:lineRule="auto"/>
      <w:ind w:firstLine="420" w:firstLineChars="200"/>
    </w:pPr>
    <w:rPr>
      <w:kern w:val="0"/>
      <w:sz w:val="24"/>
    </w:rPr>
  </w:style>
  <w:style w:type="paragraph" w:customStyle="1" w:styleId="604">
    <w:name w:val="WPSOffice手动目录 1"/>
    <w:qFormat/>
    <w:uiPriority w:val="0"/>
    <w:rPr>
      <w:rFonts w:ascii="Times New Roman" w:hAnsi="Times New Roman" w:eastAsia="宋体" w:cs="Times New Roman"/>
      <w:lang w:val="en-US" w:eastAsia="zh-CN" w:bidi="ar-SA"/>
    </w:rPr>
  </w:style>
  <w:style w:type="paragraph" w:customStyle="1" w:styleId="605">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606">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607">
    <w:name w:val="列出段落4"/>
    <w:basedOn w:val="1"/>
    <w:qFormat/>
    <w:uiPriority w:val="34"/>
    <w:pPr>
      <w:spacing w:after="200" w:line="276" w:lineRule="auto"/>
      <w:ind w:firstLine="420" w:firstLineChars="200"/>
    </w:pPr>
    <w:rPr>
      <w:szCs w:val="21"/>
    </w:rPr>
  </w:style>
  <w:style w:type="paragraph" w:customStyle="1" w:styleId="608">
    <w:name w:val="Table Paragraph"/>
    <w:basedOn w:val="1"/>
    <w:qFormat/>
    <w:uiPriority w:val="1"/>
    <w:pPr>
      <w:spacing w:before="2" w:line="289" w:lineRule="exact"/>
    </w:pPr>
  </w:style>
  <w:style w:type="table" w:customStyle="1" w:styleId="609">
    <w:name w:val="Table Normal"/>
    <w:semiHidden/>
    <w:unhideWhenUsed/>
    <w:qFormat/>
    <w:uiPriority w:val="2"/>
    <w:tblPr>
      <w:tblCellMar>
        <w:top w:w="0" w:type="dxa"/>
        <w:left w:w="0" w:type="dxa"/>
        <w:bottom w:w="0" w:type="dxa"/>
        <w:right w:w="0" w:type="dxa"/>
      </w:tblCellMar>
    </w:tblPr>
  </w:style>
  <w:style w:type="character" w:customStyle="1" w:styleId="610">
    <w:name w:val="first-child"/>
    <w:basedOn w:val="68"/>
    <w:qFormat/>
    <w:uiPriority w:val="0"/>
  </w:style>
  <w:style w:type="character" w:customStyle="1" w:styleId="611">
    <w:name w:val="first-child1"/>
    <w:basedOn w:val="68"/>
    <w:qFormat/>
    <w:uiPriority w:val="0"/>
  </w:style>
  <w:style w:type="character" w:customStyle="1" w:styleId="612">
    <w:name w:val="hilite5"/>
    <w:basedOn w:val="68"/>
    <w:qFormat/>
    <w:uiPriority w:val="0"/>
    <w:rPr>
      <w:color w:val="000000"/>
    </w:rPr>
  </w:style>
  <w:style w:type="character" w:customStyle="1" w:styleId="613">
    <w:name w:val="NormalCharacter"/>
    <w:qFormat/>
    <w:uiPriority w:val="0"/>
    <w:rPr>
      <w:rFonts w:ascii="Times New Roman" w:hAnsi="Times New Roman" w:eastAsia="宋体" w:cs="Times New Roman"/>
      <w:kern w:val="2"/>
      <w:sz w:val="21"/>
      <w:szCs w:val="21"/>
      <w:lang w:val="en-US" w:eastAsia="zh-CN" w:bidi="ar-SA"/>
    </w:rPr>
  </w:style>
  <w:style w:type="paragraph" w:customStyle="1" w:styleId="614">
    <w:name w:val="UserStyle_111"/>
    <w:qFormat/>
    <w:uiPriority w:val="0"/>
    <w:pPr>
      <w:textAlignment w:val="baseline"/>
    </w:pPr>
    <w:rPr>
      <w:rFonts w:ascii="......." w:hAnsi="......." w:eastAsia="......." w:cstheme="minorBidi"/>
      <w:color w:val="000000"/>
      <w:sz w:val="24"/>
      <w:szCs w:val="24"/>
      <w:lang w:val="en-US" w:eastAsia="zh-CN" w:bidi="ar-SA"/>
    </w:rPr>
  </w:style>
  <w:style w:type="paragraph" w:customStyle="1" w:styleId="615">
    <w:name w:val="正文_11"/>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616">
    <w:name w:val="underline"/>
    <w:basedOn w:val="68"/>
    <w:qFormat/>
    <w:uiPriority w:val="0"/>
    <w:rPr>
      <w:u w:val="single"/>
    </w:rPr>
  </w:style>
  <w:style w:type="character" w:customStyle="1" w:styleId="617">
    <w:name w:val="列出段落 Char"/>
    <w:link w:val="158"/>
    <w:qFormat/>
    <w:locked/>
    <w:uiPriority w:val="34"/>
    <w:rPr>
      <w:kern w:val="2"/>
      <w:sz w:val="21"/>
      <w:szCs w:val="24"/>
    </w:rPr>
  </w:style>
  <w:style w:type="paragraph" w:styleId="618">
    <w:name w:val="No Spacing"/>
    <w:qFormat/>
    <w:uiPriority w:val="1"/>
    <w:pPr>
      <w:widowControl w:val="0"/>
      <w:ind w:firstLine="200" w:firstLineChars="200"/>
    </w:pPr>
    <w:rPr>
      <w:rFonts w:ascii="Times New Roman" w:hAnsi="Times New Roman" w:eastAsia="宋体" w:cs="Times New Roman"/>
      <w:kern w:val="2"/>
      <w:sz w:val="24"/>
      <w:lang w:val="en-US" w:eastAsia="zh-CN" w:bidi="ar-SA"/>
    </w:rPr>
  </w:style>
  <w:style w:type="paragraph" w:customStyle="1" w:styleId="619">
    <w:name w:val="修订2"/>
    <w:hidden/>
    <w:semiHidden/>
    <w:uiPriority w:val="99"/>
    <w:rPr>
      <w:rFonts w:ascii="Times New Roman" w:hAnsi="Times New Roman" w:eastAsia="宋体" w:cs="Times New Roman"/>
      <w:kern w:val="2"/>
      <w:sz w:val="21"/>
      <w:szCs w:val="24"/>
      <w:lang w:val="en-US" w:eastAsia="zh-CN" w:bidi="ar-SA"/>
    </w:rPr>
  </w:style>
  <w:style w:type="paragraph" w:customStyle="1" w:styleId="620">
    <w:name w:val="正文文字缩进"/>
    <w:qFormat/>
    <w:uiPriority w:val="0"/>
    <w:pPr>
      <w:spacing w:line="351" w:lineRule="atLeast"/>
      <w:ind w:firstLine="555"/>
      <w:textAlignment w:val="baseline"/>
    </w:pPr>
    <w:rPr>
      <w:rFonts w:ascii="Times New Roman" w:hAnsi="Times New Roman" w:eastAsia="宋体" w:cs="Times New Roman"/>
      <w:color w:val="000000"/>
      <w:sz w:val="28"/>
      <w:lang w:val="en-US" w:eastAsia="zh-CN" w:bidi="ar-SA"/>
    </w:rPr>
  </w:style>
  <w:style w:type="paragraph" w:customStyle="1" w:styleId="621">
    <w:name w:val="普通(网站)1"/>
    <w:basedOn w:val="1"/>
    <w:qFormat/>
    <w:uiPriority w:val="0"/>
    <w:rPr>
      <w:rFonts w:ascii="Calibri" w:hAnsi="Calibri"/>
      <w:sz w:val="24"/>
      <w:szCs w:val="22"/>
    </w:rPr>
  </w:style>
  <w:style w:type="paragraph" w:customStyle="1" w:styleId="622">
    <w:name w:val="Revision"/>
    <w:hidden/>
    <w:semiHidden/>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620A7D-2F1C-46AE-84CF-19CF911A2A33}">
  <ds:schemaRefs/>
</ds:datastoreItem>
</file>

<file path=docProps/app.xml><?xml version="1.0" encoding="utf-8"?>
<Properties xmlns="http://schemas.openxmlformats.org/officeDocument/2006/extended-properties" xmlns:vt="http://schemas.openxmlformats.org/officeDocument/2006/docPropsVTypes">
  <Template>Normal.dotm</Template>
  <Pages>11</Pages>
  <Words>1334</Words>
  <Characters>7610</Characters>
  <Lines>63</Lines>
  <Paragraphs>17</Paragraphs>
  <TotalTime>0</TotalTime>
  <ScaleCrop>false</ScaleCrop>
  <LinksUpToDate>false</LinksUpToDate>
  <CharactersWithSpaces>8927</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2023-10-10T01:45:00Z</dcterms:created>
  <dcterms:modified xsi:type="dcterms:W3CDTF">2023-10-26T02:01:32Z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7168B766481741C0A27197EDA951D1BD_13</vt:lpwstr>
  </property>
</Properties>
</file>