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DC5A3F">
      <w:pPr>
        <w:adjustRightInd w:val="0"/>
        <w:snapToGrid w:val="0"/>
        <w:spacing w:after="156" w:afterLines="50" w:line="360" w:lineRule="auto"/>
        <w:jc w:val="center"/>
        <w:outlineLvl w:val="0"/>
        <w:rPr>
          <w:rFonts w:hint="eastAsia" w:ascii="黑体" w:eastAsia="黑体"/>
          <w:b/>
          <w:kern w:val="44"/>
          <w:sz w:val="48"/>
          <w:szCs w:val="20"/>
          <w:highlight w:val="none"/>
        </w:rPr>
      </w:pPr>
      <w:bookmarkStart w:id="4" w:name="_GoBack"/>
      <w:bookmarkEnd w:id="4"/>
      <w:bookmarkStart w:id="0" w:name="_Toc129880039"/>
      <w:r>
        <w:rPr>
          <w:rFonts w:hint="eastAsia" w:ascii="宋体" w:hAnsi="宋体"/>
          <w:b/>
          <w:sz w:val="30"/>
          <w:szCs w:val="30"/>
          <w:highlight w:val="none"/>
        </w:rPr>
        <w:t>第八部分 采购需求</w:t>
      </w:r>
      <w:bookmarkEnd w:id="0"/>
    </w:p>
    <w:p w14:paraId="14BDAA45">
      <w:pPr>
        <w:adjustRightInd w:val="0"/>
        <w:snapToGrid w:val="0"/>
        <w:spacing w:before="156" w:beforeLines="50" w:after="156" w:afterLines="50" w:line="360" w:lineRule="auto"/>
        <w:jc w:val="center"/>
        <w:rPr>
          <w:rFonts w:hint="eastAsia" w:ascii="宋体" w:hAnsi="宋体"/>
          <w:b/>
          <w:sz w:val="24"/>
          <w:highlight w:val="none"/>
        </w:rPr>
      </w:pPr>
      <w:r>
        <w:rPr>
          <w:rFonts w:hint="eastAsia" w:ascii="宋体" w:hAnsi="宋体"/>
          <w:b/>
          <w:sz w:val="24"/>
          <w:highlight w:val="none"/>
        </w:rPr>
        <w:t>货物需求一览表</w:t>
      </w:r>
    </w:p>
    <w:tbl>
      <w:tblPr>
        <w:tblStyle w:val="3"/>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00"/>
        <w:gridCol w:w="2585"/>
      </w:tblGrid>
      <w:tr w14:paraId="2A9E8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14:paraId="037E2D44">
            <w:pPr>
              <w:jc w:val="center"/>
              <w:rPr>
                <w:rFonts w:hint="eastAsia" w:ascii="宋体" w:hAnsi="宋体" w:cs="宋体"/>
                <w:sz w:val="24"/>
                <w:highlight w:val="none"/>
              </w:rPr>
            </w:pPr>
            <w:r>
              <w:rPr>
                <w:rFonts w:hint="eastAsia" w:ascii="宋体" w:hAnsi="宋体" w:cs="宋体"/>
                <w:sz w:val="24"/>
                <w:highlight w:val="none"/>
              </w:rPr>
              <w:t>包号</w:t>
            </w:r>
          </w:p>
        </w:tc>
        <w:tc>
          <w:tcPr>
            <w:tcW w:w="2640" w:type="dxa"/>
            <w:noWrap w:val="0"/>
            <w:vAlign w:val="center"/>
          </w:tcPr>
          <w:p w14:paraId="626B8ECC">
            <w:pPr>
              <w:jc w:val="center"/>
              <w:rPr>
                <w:rFonts w:hint="eastAsia" w:ascii="宋体" w:hAnsi="宋体" w:cs="宋体"/>
                <w:sz w:val="24"/>
                <w:highlight w:val="none"/>
              </w:rPr>
            </w:pPr>
            <w:r>
              <w:rPr>
                <w:rFonts w:hint="eastAsia" w:ascii="宋体" w:hAnsi="宋体" w:cs="宋体"/>
                <w:sz w:val="24"/>
                <w:highlight w:val="none"/>
              </w:rPr>
              <w:t>货物名称</w:t>
            </w:r>
          </w:p>
        </w:tc>
        <w:tc>
          <w:tcPr>
            <w:tcW w:w="635" w:type="dxa"/>
            <w:noWrap w:val="0"/>
            <w:vAlign w:val="center"/>
          </w:tcPr>
          <w:p w14:paraId="2C0F6979">
            <w:pPr>
              <w:jc w:val="center"/>
              <w:rPr>
                <w:rFonts w:hint="eastAsia" w:ascii="宋体" w:hAnsi="宋体" w:cs="宋体"/>
                <w:sz w:val="24"/>
                <w:highlight w:val="none"/>
              </w:rPr>
            </w:pPr>
            <w:r>
              <w:rPr>
                <w:rFonts w:hint="eastAsia" w:ascii="宋体" w:hAnsi="宋体" w:cs="宋体"/>
                <w:sz w:val="24"/>
                <w:highlight w:val="none"/>
              </w:rPr>
              <w:t>数量</w:t>
            </w:r>
          </w:p>
        </w:tc>
        <w:tc>
          <w:tcPr>
            <w:tcW w:w="1320" w:type="dxa"/>
            <w:noWrap w:val="0"/>
            <w:vAlign w:val="center"/>
          </w:tcPr>
          <w:p w14:paraId="105E6C79">
            <w:pPr>
              <w:jc w:val="center"/>
              <w:rPr>
                <w:rFonts w:hint="eastAsia" w:ascii="宋体" w:hAnsi="宋体" w:cs="宋体"/>
                <w:sz w:val="24"/>
                <w:highlight w:val="none"/>
              </w:rPr>
            </w:pPr>
            <w:r>
              <w:rPr>
                <w:rFonts w:hint="eastAsia" w:ascii="宋体" w:hAnsi="宋体" w:cs="宋体"/>
                <w:sz w:val="24"/>
                <w:highlight w:val="none"/>
              </w:rPr>
              <w:t>交货期</w:t>
            </w:r>
          </w:p>
        </w:tc>
        <w:tc>
          <w:tcPr>
            <w:tcW w:w="1700" w:type="dxa"/>
            <w:noWrap w:val="0"/>
            <w:vAlign w:val="center"/>
          </w:tcPr>
          <w:p w14:paraId="4017F579">
            <w:pPr>
              <w:jc w:val="center"/>
              <w:rPr>
                <w:rFonts w:hint="eastAsia" w:ascii="宋体" w:hAnsi="宋体" w:cs="宋体"/>
                <w:sz w:val="24"/>
                <w:highlight w:val="none"/>
              </w:rPr>
            </w:pPr>
            <w:r>
              <w:rPr>
                <w:rFonts w:hint="eastAsia" w:ascii="宋体" w:hAnsi="宋体" w:cs="宋体"/>
                <w:sz w:val="24"/>
                <w:highlight w:val="none"/>
              </w:rPr>
              <w:t>指定到货港</w:t>
            </w:r>
          </w:p>
        </w:tc>
        <w:tc>
          <w:tcPr>
            <w:tcW w:w="2585" w:type="dxa"/>
            <w:noWrap w:val="0"/>
            <w:vAlign w:val="center"/>
          </w:tcPr>
          <w:p w14:paraId="08C986E6">
            <w:pPr>
              <w:jc w:val="center"/>
              <w:rPr>
                <w:rFonts w:hint="eastAsia" w:ascii="宋体" w:hAnsi="宋体" w:cs="宋体"/>
                <w:sz w:val="24"/>
                <w:highlight w:val="none"/>
                <w:shd w:val="pct10" w:color="auto" w:fill="FFFFFF"/>
              </w:rPr>
            </w:pPr>
            <w:r>
              <w:rPr>
                <w:rFonts w:hint="eastAsia" w:ascii="宋体" w:hAnsi="宋体" w:cs="宋体"/>
                <w:sz w:val="24"/>
                <w:highlight w:val="none"/>
              </w:rPr>
              <w:t>项目现场（交货地点）</w:t>
            </w:r>
          </w:p>
        </w:tc>
      </w:tr>
      <w:tr w14:paraId="334BE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14:paraId="701B0FA3">
            <w:pPr>
              <w:jc w:val="center"/>
              <w:rPr>
                <w:rFonts w:hint="eastAsia" w:ascii="宋体" w:hAnsi="宋体" w:cs="宋体"/>
                <w:sz w:val="24"/>
                <w:highlight w:val="none"/>
              </w:rPr>
            </w:pPr>
            <w:r>
              <w:rPr>
                <w:rFonts w:hint="eastAsia" w:ascii="宋体" w:hAnsi="宋体" w:cs="宋体"/>
                <w:sz w:val="24"/>
                <w:highlight w:val="none"/>
              </w:rPr>
              <w:t>1</w:t>
            </w:r>
          </w:p>
        </w:tc>
        <w:tc>
          <w:tcPr>
            <w:tcW w:w="2640" w:type="dxa"/>
            <w:noWrap w:val="0"/>
            <w:vAlign w:val="center"/>
          </w:tcPr>
          <w:p w14:paraId="68B05603">
            <w:pPr>
              <w:jc w:val="center"/>
              <w:rPr>
                <w:rFonts w:ascii="宋体" w:hAnsi="宋体" w:cs="宋体"/>
                <w:sz w:val="24"/>
                <w:highlight w:val="none"/>
              </w:rPr>
            </w:pPr>
            <w:r>
              <w:rPr>
                <w:rFonts w:hint="eastAsia"/>
                <w:sz w:val="24"/>
                <w:szCs w:val="32"/>
                <w:highlight w:val="none"/>
              </w:rPr>
              <w:t>全自动氨基酸分析仪</w:t>
            </w:r>
          </w:p>
        </w:tc>
        <w:tc>
          <w:tcPr>
            <w:tcW w:w="635" w:type="dxa"/>
            <w:noWrap w:val="0"/>
            <w:vAlign w:val="center"/>
          </w:tcPr>
          <w:p w14:paraId="3310D3E7">
            <w:pPr>
              <w:jc w:val="center"/>
              <w:rPr>
                <w:rFonts w:ascii="宋体" w:hAnsi="宋体" w:cs="宋体"/>
                <w:sz w:val="24"/>
                <w:highlight w:val="none"/>
              </w:rPr>
            </w:pPr>
            <w:r>
              <w:rPr>
                <w:rFonts w:hint="eastAsia" w:ascii="宋体" w:hAnsi="宋体" w:cs="宋体"/>
                <w:sz w:val="24"/>
                <w:highlight w:val="none"/>
              </w:rPr>
              <w:t>1套</w:t>
            </w:r>
          </w:p>
        </w:tc>
        <w:tc>
          <w:tcPr>
            <w:tcW w:w="1320" w:type="dxa"/>
            <w:noWrap w:val="0"/>
            <w:vAlign w:val="center"/>
          </w:tcPr>
          <w:p w14:paraId="52D0587A">
            <w:pPr>
              <w:jc w:val="center"/>
              <w:rPr>
                <w:rFonts w:hint="eastAsia" w:ascii="宋体" w:hAnsi="宋体" w:cs="宋体"/>
                <w:sz w:val="24"/>
                <w:highlight w:val="none"/>
              </w:rPr>
            </w:pPr>
            <w:r>
              <w:rPr>
                <w:rFonts w:hint="eastAsia" w:ascii="宋体" w:hAnsi="宋体" w:cs="宋体"/>
                <w:sz w:val="24"/>
                <w:highlight w:val="none"/>
              </w:rPr>
              <w:t>合同签订后90天内</w:t>
            </w:r>
          </w:p>
        </w:tc>
        <w:tc>
          <w:tcPr>
            <w:tcW w:w="1700" w:type="dxa"/>
            <w:noWrap w:val="0"/>
            <w:vAlign w:val="center"/>
          </w:tcPr>
          <w:p w14:paraId="61494B63">
            <w:pPr>
              <w:jc w:val="center"/>
              <w:rPr>
                <w:rFonts w:hint="eastAsia" w:ascii="宋体" w:hAnsi="宋体" w:cs="宋体"/>
                <w:sz w:val="24"/>
                <w:highlight w:val="none"/>
              </w:rPr>
            </w:pPr>
            <w:r>
              <w:rPr>
                <w:rFonts w:hint="eastAsia" w:ascii="宋体" w:hAnsi="宋体" w:cs="宋体"/>
                <w:sz w:val="24"/>
                <w:highlight w:val="none"/>
              </w:rPr>
              <w:t>/</w:t>
            </w:r>
          </w:p>
        </w:tc>
        <w:tc>
          <w:tcPr>
            <w:tcW w:w="2585" w:type="dxa"/>
            <w:noWrap w:val="0"/>
            <w:vAlign w:val="center"/>
          </w:tcPr>
          <w:p w14:paraId="249A915E">
            <w:pPr>
              <w:jc w:val="center"/>
              <w:rPr>
                <w:rFonts w:hint="eastAsia" w:ascii="宋体" w:hAnsi="宋体" w:cs="宋体"/>
                <w:sz w:val="24"/>
                <w:highlight w:val="none"/>
              </w:rPr>
            </w:pPr>
            <w:r>
              <w:rPr>
                <w:rFonts w:hint="eastAsia" w:ascii="宋体" w:hAnsi="宋体" w:cs="宋体"/>
                <w:sz w:val="24"/>
                <w:highlight w:val="none"/>
              </w:rPr>
              <w:t>中国科学院昆明植物研究所指定地点</w:t>
            </w:r>
          </w:p>
        </w:tc>
      </w:tr>
    </w:tbl>
    <w:p w14:paraId="554570AF">
      <w:pPr>
        <w:adjustRightInd w:val="0"/>
        <w:snapToGrid w:val="0"/>
        <w:jc w:val="center"/>
        <w:rPr>
          <w:rFonts w:hint="eastAsia" w:ascii="宋体" w:hAnsi="宋体"/>
          <w:b/>
          <w:sz w:val="30"/>
          <w:szCs w:val="30"/>
          <w:highlight w:val="none"/>
        </w:rPr>
      </w:pPr>
    </w:p>
    <w:p w14:paraId="570CA132">
      <w:pPr>
        <w:rPr>
          <w:rFonts w:hint="eastAsia" w:ascii="Bookman Old Style" w:hAnsi="Bookman Old Style"/>
          <w:sz w:val="24"/>
          <w:highlight w:val="none"/>
        </w:rPr>
      </w:pPr>
      <w:r>
        <w:rPr>
          <w:rFonts w:hint="eastAsia"/>
          <w:sz w:val="24"/>
          <w:highlight w:val="none"/>
        </w:rPr>
        <w:t>注：投标人须对上述投标内容中完整的一包进行投标，</w:t>
      </w:r>
      <w:r>
        <w:rPr>
          <w:rFonts w:hint="eastAsia" w:ascii="Bookman Old Style" w:hAnsi="Bookman Old Style"/>
          <w:sz w:val="24"/>
          <w:highlight w:val="none"/>
        </w:rPr>
        <w:t>不完整的投标将视为非响应性投标予以拒绝。</w:t>
      </w:r>
    </w:p>
    <w:p w14:paraId="0DE37687">
      <w:pPr>
        <w:adjustRightInd w:val="0"/>
        <w:snapToGrid w:val="0"/>
        <w:rPr>
          <w:rFonts w:hint="eastAsia" w:ascii="宋体" w:hAnsi="宋体"/>
          <w:szCs w:val="21"/>
          <w:highlight w:val="none"/>
        </w:rPr>
      </w:pPr>
    </w:p>
    <w:p w14:paraId="2B0ECEAD">
      <w:pPr>
        <w:adjustRightInd w:val="0"/>
        <w:snapToGrid w:val="0"/>
        <w:rPr>
          <w:rFonts w:hint="eastAsia" w:ascii="宋体" w:hAnsi="宋体"/>
          <w:szCs w:val="21"/>
          <w:highlight w:val="none"/>
        </w:rPr>
      </w:pPr>
    </w:p>
    <w:p w14:paraId="1EFC9897">
      <w:pPr>
        <w:adjustRightInd w:val="0"/>
        <w:snapToGrid w:val="0"/>
        <w:rPr>
          <w:rFonts w:hint="eastAsia" w:ascii="宋体" w:hAnsi="宋体"/>
          <w:szCs w:val="21"/>
          <w:highlight w:val="none"/>
        </w:rPr>
      </w:pPr>
    </w:p>
    <w:p w14:paraId="130CADFD">
      <w:pPr>
        <w:adjustRightInd w:val="0"/>
        <w:snapToGrid w:val="0"/>
        <w:spacing w:line="360" w:lineRule="auto"/>
        <w:rPr>
          <w:rFonts w:ascii="宋体" w:hAnsi="宋体"/>
          <w:b/>
          <w:sz w:val="28"/>
          <w:szCs w:val="28"/>
          <w:highlight w:val="none"/>
        </w:rPr>
      </w:pPr>
      <w:r>
        <w:rPr>
          <w:rFonts w:ascii="宋体" w:hAnsi="宋体"/>
          <w:b/>
          <w:sz w:val="30"/>
          <w:szCs w:val="30"/>
          <w:highlight w:val="none"/>
        </w:rPr>
        <w:br w:type="page"/>
      </w:r>
      <w:r>
        <w:rPr>
          <w:rFonts w:hint="eastAsia" w:ascii="宋体" w:hAnsi="宋体"/>
          <w:b/>
          <w:sz w:val="28"/>
          <w:szCs w:val="28"/>
          <w:highlight w:val="none"/>
        </w:rPr>
        <w:t>一、总则</w:t>
      </w:r>
    </w:p>
    <w:p w14:paraId="4C55B237">
      <w:pPr>
        <w:adjustRightInd w:val="0"/>
        <w:snapToGrid w:val="0"/>
        <w:spacing w:line="360" w:lineRule="auto"/>
        <w:rPr>
          <w:rFonts w:ascii="宋体" w:hAnsi="宋体"/>
          <w:b/>
          <w:sz w:val="28"/>
          <w:szCs w:val="28"/>
          <w:highlight w:val="none"/>
        </w:rPr>
      </w:pPr>
      <w:r>
        <w:rPr>
          <w:rFonts w:ascii="宋体" w:hAnsi="宋体"/>
          <w:b/>
          <w:sz w:val="28"/>
          <w:szCs w:val="28"/>
          <w:highlight w:val="none"/>
        </w:rPr>
        <w:t>1</w:t>
      </w:r>
      <w:r>
        <w:rPr>
          <w:rFonts w:hint="eastAsia" w:ascii="宋体" w:hAnsi="宋体"/>
          <w:b/>
          <w:sz w:val="28"/>
          <w:szCs w:val="28"/>
          <w:highlight w:val="none"/>
        </w:rPr>
        <w:t>、投标要求</w:t>
      </w:r>
    </w:p>
    <w:p w14:paraId="38B0C569">
      <w:pPr>
        <w:spacing w:line="360" w:lineRule="auto"/>
        <w:ind w:left="554" w:hanging="554" w:hangingChars="231"/>
        <w:rPr>
          <w:rFonts w:hint="eastAsia" w:ascii="宋体" w:hAnsi="宋体"/>
          <w:sz w:val="24"/>
          <w:highlight w:val="none"/>
        </w:rPr>
      </w:pPr>
      <w:r>
        <w:rPr>
          <w:rFonts w:ascii="宋体" w:hAnsi="宋体"/>
          <w:sz w:val="24"/>
          <w:highlight w:val="none"/>
        </w:rPr>
        <w:t xml:space="preserve">1.1 </w:t>
      </w:r>
      <w:r>
        <w:rPr>
          <w:rFonts w:hint="eastAsia" w:ascii="宋体" w:hAnsi="宋体"/>
          <w:sz w:val="24"/>
          <w:highlight w:val="none"/>
        </w:rPr>
        <w:t xml:space="preserve"> 投标人在准备投标书时，务必在所提供的商品的技术规格文件中，标明型号、商标名称、目录号。</w:t>
      </w:r>
    </w:p>
    <w:p w14:paraId="72DA5FA7">
      <w:pPr>
        <w:spacing w:line="360" w:lineRule="auto"/>
        <w:ind w:left="554" w:hanging="554" w:hangingChars="231"/>
        <w:rPr>
          <w:rFonts w:hint="eastAsia" w:ascii="宋体" w:hAnsi="宋体"/>
          <w:sz w:val="24"/>
          <w:highlight w:val="none"/>
        </w:rPr>
      </w:pPr>
      <w:r>
        <w:rPr>
          <w:rFonts w:hint="eastAsia" w:ascii="宋体" w:hAnsi="宋体"/>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419DD88A">
      <w:pPr>
        <w:spacing w:line="360" w:lineRule="auto"/>
        <w:ind w:left="554" w:hanging="554" w:hangingChars="231"/>
        <w:rPr>
          <w:rFonts w:hint="eastAsia" w:ascii="宋体"/>
          <w:sz w:val="24"/>
          <w:highlight w:val="none"/>
        </w:rPr>
      </w:pPr>
      <w:r>
        <w:rPr>
          <w:rFonts w:hint="eastAsia" w:ascii="宋体" w:hAnsi="宋体"/>
          <w:sz w:val="24"/>
          <w:highlight w:val="none"/>
        </w:rPr>
        <w:t xml:space="preserve">1.3  </w:t>
      </w:r>
      <w:r>
        <w:rPr>
          <w:rFonts w:hint="eastAsia"/>
          <w:sz w:val="24"/>
          <w:highlight w:val="none"/>
        </w:rPr>
        <w:t>投标人提供的</w:t>
      </w:r>
      <w:r>
        <w:rPr>
          <w:rFonts w:hint="eastAsia" w:ascii="宋体"/>
          <w:sz w:val="24"/>
          <w:highlight w:val="none"/>
        </w:rPr>
        <w:t>产品</w:t>
      </w:r>
      <w:r>
        <w:rPr>
          <w:rFonts w:hint="eastAsia"/>
          <w:sz w:val="24"/>
          <w:highlight w:val="none"/>
        </w:rPr>
        <w:t>样本，必须是“原件”而非复印件，</w:t>
      </w:r>
      <w:r>
        <w:rPr>
          <w:rFonts w:hint="eastAsia" w:ascii="宋体"/>
          <w:sz w:val="24"/>
          <w:highlight w:val="none"/>
        </w:rPr>
        <w:t>图表、简图、电路图以及印刷电路板图等都应</w:t>
      </w:r>
      <w:r>
        <w:rPr>
          <w:rFonts w:hint="eastAsia"/>
          <w:sz w:val="24"/>
          <w:highlight w:val="none"/>
        </w:rPr>
        <w:t>清晰易读。买方有权</w:t>
      </w:r>
      <w:r>
        <w:rPr>
          <w:rFonts w:hint="eastAsia" w:ascii="宋体"/>
          <w:sz w:val="24"/>
          <w:highlight w:val="none"/>
        </w:rPr>
        <w:t>不付任何附加费用</w:t>
      </w:r>
      <w:r>
        <w:rPr>
          <w:rFonts w:hint="eastAsia"/>
          <w:sz w:val="24"/>
          <w:highlight w:val="none"/>
        </w:rPr>
        <w:t>复制这些资料</w:t>
      </w:r>
      <w:r>
        <w:rPr>
          <w:rFonts w:hint="eastAsia" w:ascii="宋体"/>
          <w:sz w:val="24"/>
          <w:highlight w:val="none"/>
        </w:rPr>
        <w:t>以供参考。</w:t>
      </w:r>
    </w:p>
    <w:p w14:paraId="0F2000A7">
      <w:pPr>
        <w:spacing w:line="360" w:lineRule="auto"/>
        <w:ind w:left="554" w:hanging="554" w:hangingChars="231"/>
        <w:rPr>
          <w:rFonts w:hint="eastAsia" w:ascii="宋体"/>
          <w:sz w:val="24"/>
          <w:highlight w:val="none"/>
        </w:rPr>
      </w:pPr>
      <w:r>
        <w:rPr>
          <w:rFonts w:hint="eastAsia" w:ascii="宋体"/>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110987B2">
      <w:pPr>
        <w:adjustRightInd w:val="0"/>
        <w:snapToGrid w:val="0"/>
        <w:spacing w:line="360" w:lineRule="auto"/>
        <w:rPr>
          <w:rFonts w:ascii="宋体" w:hAnsi="宋体"/>
          <w:b/>
          <w:sz w:val="28"/>
          <w:szCs w:val="28"/>
          <w:highlight w:val="none"/>
        </w:rPr>
      </w:pPr>
      <w:r>
        <w:rPr>
          <w:rFonts w:hint="eastAsia" w:ascii="宋体" w:hAnsi="宋体"/>
          <w:b/>
          <w:sz w:val="28"/>
          <w:szCs w:val="28"/>
          <w:highlight w:val="none"/>
        </w:rPr>
        <w:t>2、评标标准</w:t>
      </w:r>
    </w:p>
    <w:p w14:paraId="0BDA5441">
      <w:pPr>
        <w:spacing w:line="360" w:lineRule="auto"/>
        <w:ind w:left="554" w:hanging="554" w:hangingChars="231"/>
        <w:rPr>
          <w:rFonts w:hint="eastAsia" w:ascii="宋体"/>
          <w:sz w:val="24"/>
          <w:highlight w:val="none"/>
        </w:rPr>
      </w:pPr>
      <w:r>
        <w:rPr>
          <w:rFonts w:ascii="宋体" w:hAnsi="宋体"/>
          <w:sz w:val="24"/>
          <w:highlight w:val="none"/>
        </w:rPr>
        <w:t>2.</w:t>
      </w:r>
      <w:r>
        <w:rPr>
          <w:rFonts w:hint="eastAsia" w:ascii="宋体" w:hAnsi="宋体"/>
          <w:sz w:val="24"/>
          <w:highlight w:val="none"/>
        </w:rPr>
        <w:t xml:space="preserve">1  </w:t>
      </w:r>
      <w:r>
        <w:rPr>
          <w:rFonts w:hint="eastAsia"/>
          <w:sz w:val="24"/>
          <w:highlight w:val="none"/>
        </w:rPr>
        <w:t>除招标文件中指定的附件和专用工具外，</w:t>
      </w:r>
      <w:r>
        <w:rPr>
          <w:rFonts w:hint="eastAsia" w:ascii="宋体"/>
          <w:sz w:val="24"/>
          <w:highlight w:val="none"/>
        </w:rPr>
        <w:t>投标人应提供仪器设备的正常运行和常规保养所需的全套标准附件、专用工具</w:t>
      </w:r>
      <w:r>
        <w:rPr>
          <w:rFonts w:hint="eastAsia"/>
          <w:sz w:val="24"/>
          <w:highlight w:val="none"/>
        </w:rPr>
        <w:t>和消耗品</w:t>
      </w:r>
      <w:r>
        <w:rPr>
          <w:rFonts w:hint="eastAsia" w:ascii="宋体"/>
          <w:sz w:val="24"/>
          <w:highlight w:val="none"/>
        </w:rPr>
        <w:t>。投标人在投标书中需列出这些附件和工具的数量和单价的清单，这些附件和工具的报价的总值需计入投标价中。</w:t>
      </w:r>
    </w:p>
    <w:p w14:paraId="6E9C8B80">
      <w:pPr>
        <w:spacing w:line="360" w:lineRule="auto"/>
        <w:ind w:left="554" w:hanging="554" w:hangingChars="231"/>
        <w:rPr>
          <w:rFonts w:hint="eastAsia"/>
          <w:sz w:val="24"/>
          <w:highlight w:val="none"/>
        </w:rPr>
      </w:pPr>
      <w:r>
        <w:rPr>
          <w:rFonts w:hint="eastAsia" w:ascii="宋体" w:hAnsi="宋体"/>
          <w:sz w:val="24"/>
          <w:highlight w:val="none"/>
        </w:rPr>
        <w:t xml:space="preserve">2.2  </w:t>
      </w:r>
      <w:r>
        <w:rPr>
          <w:rFonts w:hint="eastAsia"/>
          <w:sz w:val="24"/>
          <w:highlight w:val="none"/>
        </w:rPr>
        <w:t>对于标书</w:t>
      </w:r>
      <w:r>
        <w:rPr>
          <w:rFonts w:hint="eastAsia" w:ascii="宋体"/>
          <w:sz w:val="24"/>
          <w:highlight w:val="none"/>
        </w:rPr>
        <w:t>技术规范中已列</w:t>
      </w:r>
      <w:r>
        <w:rPr>
          <w:rFonts w:hint="eastAsia"/>
          <w:sz w:val="24"/>
          <w:highlight w:val="none"/>
        </w:rPr>
        <w:t>出的作为查询选件的附件、零配件、专用工具和消耗品，投标书中</w:t>
      </w:r>
      <w:r>
        <w:rPr>
          <w:rFonts w:hint="eastAsia" w:ascii="宋体"/>
          <w:sz w:val="24"/>
          <w:highlight w:val="none"/>
        </w:rPr>
        <w:t>应列明其数量、单价、总价供买方参考。投标人也可推荐买方没有要求的附件或专用工具作为选件，并列明其数量、单价、总价供买方参考。选件价格不计入评标价中。</w:t>
      </w:r>
    </w:p>
    <w:p w14:paraId="2A4FCFEA">
      <w:pPr>
        <w:spacing w:line="360" w:lineRule="auto"/>
        <w:ind w:left="554" w:hanging="554" w:hangingChars="231"/>
        <w:rPr>
          <w:rFonts w:hint="eastAsia" w:ascii="宋体" w:hAnsi="宋体"/>
          <w:sz w:val="24"/>
          <w:highlight w:val="none"/>
        </w:rPr>
      </w:pPr>
      <w:r>
        <w:rPr>
          <w:rFonts w:hint="eastAsia" w:ascii="宋体" w:hAnsi="宋体"/>
          <w:sz w:val="24"/>
          <w:highlight w:val="none"/>
        </w:rPr>
        <w:t>2.3  为便于用户进行接收仪器的准备工作，卖方应在合同生效后</w:t>
      </w:r>
      <w:r>
        <w:rPr>
          <w:rFonts w:hint="eastAsia" w:ascii="宋体" w:hAnsi="宋体"/>
          <w:b/>
          <w:sz w:val="24"/>
          <w:highlight w:val="none"/>
        </w:rPr>
        <w:t>60</w:t>
      </w:r>
      <w:r>
        <w:rPr>
          <w:rFonts w:hint="eastAsia" w:ascii="宋体" w:hAnsi="宋体"/>
          <w:sz w:val="24"/>
          <w:highlight w:val="none"/>
        </w:rPr>
        <w:t>天内向用户提供一套完整的使用说明书、操作手册、维修及安装说明等文件。另一套完整上述资料应在交货时随货包装提供给用户，这些费用应计入投标价中。</w:t>
      </w:r>
    </w:p>
    <w:p w14:paraId="3DEE2937">
      <w:pPr>
        <w:spacing w:line="360" w:lineRule="auto"/>
        <w:ind w:left="554" w:hanging="554" w:hangingChars="231"/>
        <w:rPr>
          <w:rFonts w:hint="eastAsia" w:ascii="宋体" w:hAnsi="宋体"/>
          <w:sz w:val="24"/>
          <w:highlight w:val="none"/>
        </w:rPr>
      </w:pPr>
      <w:r>
        <w:rPr>
          <w:rFonts w:hint="eastAsia" w:ascii="宋体" w:hAnsi="宋体"/>
          <w:sz w:val="24"/>
          <w:highlight w:val="none"/>
        </w:rPr>
        <w:t>2</w:t>
      </w:r>
      <w:r>
        <w:rPr>
          <w:rFonts w:ascii="宋体" w:hAnsi="宋体"/>
          <w:sz w:val="24"/>
          <w:highlight w:val="none"/>
        </w:rPr>
        <w:t>.</w:t>
      </w:r>
      <w:r>
        <w:rPr>
          <w:rFonts w:hint="eastAsia" w:ascii="宋体" w:hAnsi="宋体"/>
          <w:sz w:val="24"/>
          <w:highlight w:val="none"/>
        </w:rPr>
        <w:t>4</w:t>
      </w:r>
      <w:r>
        <w:rPr>
          <w:rFonts w:ascii="宋体" w:hAnsi="宋体"/>
          <w:sz w:val="24"/>
          <w:highlight w:val="none"/>
        </w:rPr>
        <w:t xml:space="preserve"> </w:t>
      </w:r>
      <w:r>
        <w:rPr>
          <w:rFonts w:hint="eastAsia" w:ascii="宋体" w:hAnsi="宋体"/>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4F89CB26">
      <w:pPr>
        <w:spacing w:line="360" w:lineRule="auto"/>
        <w:ind w:left="554" w:hanging="554" w:hangingChars="231"/>
        <w:rPr>
          <w:rFonts w:ascii="宋体" w:hAnsi="宋体"/>
          <w:sz w:val="24"/>
          <w:highlight w:val="none"/>
        </w:rPr>
      </w:pPr>
      <w:r>
        <w:rPr>
          <w:rFonts w:ascii="宋体" w:hAnsi="宋体"/>
          <w:sz w:val="24"/>
          <w:highlight w:val="none"/>
        </w:rPr>
        <w:t>2.</w:t>
      </w:r>
      <w:r>
        <w:rPr>
          <w:rFonts w:hint="eastAsia" w:ascii="宋体" w:hAnsi="宋体"/>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6504A064">
      <w:pPr>
        <w:adjustRightInd w:val="0"/>
        <w:snapToGrid w:val="0"/>
        <w:spacing w:line="360" w:lineRule="auto"/>
        <w:rPr>
          <w:rFonts w:hint="eastAsia" w:ascii="宋体" w:hAnsi="宋体"/>
          <w:b/>
          <w:sz w:val="28"/>
          <w:szCs w:val="28"/>
          <w:highlight w:val="none"/>
        </w:rPr>
      </w:pPr>
      <w:r>
        <w:rPr>
          <w:rFonts w:hint="eastAsia" w:ascii="宋体" w:hAnsi="宋体"/>
          <w:b/>
          <w:sz w:val="28"/>
          <w:szCs w:val="28"/>
          <w:highlight w:val="none"/>
        </w:rPr>
        <w:t>3、工作条件</w:t>
      </w:r>
    </w:p>
    <w:p w14:paraId="421ED999">
      <w:pPr>
        <w:spacing w:after="312" w:afterLines="100" w:line="360" w:lineRule="auto"/>
        <w:rPr>
          <w:rFonts w:hint="eastAsia" w:ascii="宋体" w:hAnsi="宋体"/>
          <w:sz w:val="24"/>
          <w:highlight w:val="none"/>
        </w:rPr>
      </w:pPr>
      <w:r>
        <w:rPr>
          <w:rFonts w:hint="eastAsia" w:ascii="宋体" w:hAnsi="宋体"/>
          <w:sz w:val="24"/>
          <w:highlight w:val="none"/>
        </w:rPr>
        <w:t>除非在技术规格中另有说明，所有仪器、设备和系统都应符合下列要求：</w:t>
      </w:r>
      <w:r>
        <w:rPr>
          <w:rFonts w:ascii="宋体" w:hAnsi="宋体"/>
          <w:sz w:val="24"/>
          <w:highlight w:val="none"/>
        </w:rPr>
        <w:t xml:space="preserve"> </w:t>
      </w:r>
    </w:p>
    <w:p w14:paraId="25D250E4">
      <w:pPr>
        <w:spacing w:line="360" w:lineRule="auto"/>
        <w:ind w:left="554" w:hanging="554" w:hangingChars="231"/>
        <w:rPr>
          <w:rFonts w:hint="eastAsia" w:ascii="宋体" w:hAnsi="宋体"/>
          <w:sz w:val="24"/>
          <w:highlight w:val="none"/>
        </w:rPr>
      </w:pPr>
      <w:r>
        <w:rPr>
          <w:rFonts w:hint="eastAsia" w:ascii="宋体" w:hAnsi="宋体"/>
          <w:sz w:val="24"/>
          <w:highlight w:val="none"/>
        </w:rPr>
        <w:t>3.1  适于在气温为摄氏</w:t>
      </w:r>
      <w:r>
        <w:rPr>
          <w:rFonts w:ascii="宋体" w:hAnsi="宋体"/>
          <w:b/>
          <w:sz w:val="24"/>
          <w:highlight w:val="none"/>
        </w:rPr>
        <w:t>-40</w:t>
      </w:r>
      <w:r>
        <w:rPr>
          <w:rFonts w:hint="eastAsia" w:ascii="宋体" w:hAnsi="宋体"/>
          <w:b/>
          <w:sz w:val="24"/>
          <w:highlight w:val="none"/>
        </w:rPr>
        <w:t>℃～＋</w:t>
      </w:r>
      <w:r>
        <w:rPr>
          <w:rFonts w:ascii="宋体" w:hAnsi="宋体"/>
          <w:b/>
          <w:sz w:val="24"/>
          <w:highlight w:val="none"/>
        </w:rPr>
        <w:t>50</w:t>
      </w:r>
      <w:r>
        <w:rPr>
          <w:rFonts w:hint="eastAsia" w:ascii="宋体" w:hAnsi="宋体"/>
          <w:b/>
          <w:sz w:val="24"/>
          <w:highlight w:val="none"/>
        </w:rPr>
        <w:t>℃</w:t>
      </w:r>
      <w:r>
        <w:rPr>
          <w:rFonts w:hint="eastAsia" w:ascii="宋体" w:hAnsi="宋体"/>
          <w:sz w:val="24"/>
          <w:highlight w:val="none"/>
        </w:rPr>
        <w:t>和相对湿度为</w:t>
      </w:r>
      <w:r>
        <w:rPr>
          <w:rFonts w:ascii="宋体" w:hAnsi="宋体"/>
          <w:b/>
          <w:sz w:val="24"/>
          <w:highlight w:val="none"/>
        </w:rPr>
        <w:t>90</w:t>
      </w:r>
      <w:r>
        <w:rPr>
          <w:rFonts w:hint="eastAsia" w:ascii="宋体" w:hAnsi="宋体"/>
          <w:b/>
          <w:sz w:val="24"/>
          <w:highlight w:val="none"/>
        </w:rPr>
        <w:t>％</w:t>
      </w:r>
      <w:r>
        <w:rPr>
          <w:rFonts w:hint="eastAsia" w:ascii="宋体" w:hAnsi="宋体"/>
          <w:sz w:val="24"/>
          <w:highlight w:val="none"/>
        </w:rPr>
        <w:t>的环境条件下运输和贮存。</w:t>
      </w:r>
    </w:p>
    <w:p w14:paraId="2E3368C1">
      <w:pPr>
        <w:spacing w:line="360" w:lineRule="auto"/>
        <w:ind w:left="554" w:hanging="554" w:hangingChars="231"/>
        <w:rPr>
          <w:rFonts w:hint="eastAsia" w:ascii="宋体" w:hAnsi="宋体"/>
          <w:sz w:val="24"/>
          <w:highlight w:val="none"/>
        </w:rPr>
      </w:pPr>
      <w:r>
        <w:rPr>
          <w:rFonts w:hint="eastAsia" w:ascii="宋体" w:hAnsi="宋体"/>
          <w:sz w:val="24"/>
          <w:highlight w:val="none"/>
        </w:rPr>
        <w:t>3.2  适于在电源</w:t>
      </w:r>
      <w:r>
        <w:rPr>
          <w:rFonts w:ascii="宋体" w:hAnsi="宋体"/>
          <w:b/>
          <w:sz w:val="24"/>
          <w:highlight w:val="none"/>
        </w:rPr>
        <w:t>220V</w:t>
      </w:r>
      <w:r>
        <w:rPr>
          <w:rFonts w:hint="eastAsia" w:ascii="宋体" w:hAnsi="宋体"/>
          <w:b/>
          <w:sz w:val="24"/>
          <w:highlight w:val="none"/>
        </w:rPr>
        <w:t>（</w:t>
      </w:r>
      <w:r>
        <w:rPr>
          <w:rFonts w:ascii="宋体" w:hAnsi="宋体"/>
          <w:b/>
          <w:sz w:val="24"/>
          <w:highlight w:val="none"/>
        </w:rPr>
        <w:sym w:font="Symbol" w:char="F0B1"/>
      </w:r>
      <w:r>
        <w:rPr>
          <w:rFonts w:ascii="宋体" w:hAnsi="宋体"/>
          <w:b/>
          <w:sz w:val="24"/>
          <w:highlight w:val="none"/>
        </w:rPr>
        <w:t>10</w:t>
      </w:r>
      <w:r>
        <w:rPr>
          <w:rFonts w:hint="eastAsia" w:ascii="宋体" w:hAnsi="宋体"/>
          <w:b/>
          <w:sz w:val="24"/>
          <w:highlight w:val="none"/>
        </w:rPr>
        <w:t>％）</w:t>
      </w:r>
      <w:r>
        <w:rPr>
          <w:rFonts w:ascii="宋体" w:hAnsi="宋体"/>
          <w:b/>
          <w:sz w:val="24"/>
          <w:highlight w:val="none"/>
        </w:rPr>
        <w:t>/50Hz</w:t>
      </w:r>
      <w:r>
        <w:rPr>
          <w:rFonts w:hint="eastAsia" w:ascii="宋体" w:hAnsi="宋体"/>
          <w:sz w:val="24"/>
          <w:highlight w:val="none"/>
        </w:rPr>
        <w:t>、气温摄氏</w:t>
      </w:r>
      <w:r>
        <w:rPr>
          <w:rFonts w:hint="eastAsia" w:ascii="宋体" w:hAnsi="宋体"/>
          <w:b/>
          <w:sz w:val="24"/>
          <w:highlight w:val="none"/>
        </w:rPr>
        <w:t>+1</w:t>
      </w:r>
      <w:r>
        <w:rPr>
          <w:rFonts w:ascii="宋体" w:hAnsi="宋体"/>
          <w:b/>
          <w:sz w:val="24"/>
          <w:highlight w:val="none"/>
        </w:rPr>
        <w:t>5</w:t>
      </w:r>
      <w:r>
        <w:rPr>
          <w:rFonts w:hint="eastAsia" w:ascii="宋体" w:hAnsi="宋体"/>
          <w:b/>
          <w:sz w:val="24"/>
          <w:highlight w:val="none"/>
        </w:rPr>
        <w:t>℃～＋3</w:t>
      </w:r>
      <w:r>
        <w:rPr>
          <w:rFonts w:ascii="宋体" w:hAnsi="宋体"/>
          <w:b/>
          <w:sz w:val="24"/>
          <w:highlight w:val="none"/>
        </w:rPr>
        <w:t>0</w:t>
      </w:r>
      <w:r>
        <w:rPr>
          <w:rFonts w:hint="eastAsia" w:ascii="宋体" w:hAnsi="宋体"/>
          <w:b/>
          <w:sz w:val="24"/>
          <w:highlight w:val="none"/>
        </w:rPr>
        <w:t>℃</w:t>
      </w:r>
      <w:r>
        <w:rPr>
          <w:rFonts w:hint="eastAsia" w:ascii="宋体" w:hAnsi="宋体"/>
          <w:sz w:val="24"/>
          <w:highlight w:val="none"/>
        </w:rPr>
        <w:t>和相对湿度小于</w:t>
      </w:r>
      <w:r>
        <w:rPr>
          <w:rFonts w:ascii="宋体" w:hAnsi="宋体"/>
          <w:b/>
          <w:sz w:val="24"/>
          <w:highlight w:val="none"/>
        </w:rPr>
        <w:t>8</w:t>
      </w:r>
      <w:r>
        <w:rPr>
          <w:rFonts w:hint="eastAsia" w:ascii="宋体" w:hAnsi="宋体"/>
          <w:b/>
          <w:sz w:val="24"/>
          <w:highlight w:val="none"/>
        </w:rPr>
        <w:t>0％</w:t>
      </w:r>
      <w:r>
        <w:rPr>
          <w:rFonts w:hint="eastAsia" w:ascii="宋体" w:hAnsi="宋体"/>
          <w:sz w:val="24"/>
          <w:highlight w:val="none"/>
        </w:rPr>
        <w:t>的环境条件下运行。</w:t>
      </w:r>
      <w:r>
        <w:rPr>
          <w:rFonts w:hint="eastAsia" w:ascii="宋体" w:hAnsi="宋体"/>
          <w:b/>
          <w:sz w:val="24"/>
          <w:highlight w:val="none"/>
        </w:rPr>
        <w:t>能够连续正常工作。</w:t>
      </w:r>
    </w:p>
    <w:p w14:paraId="2428C390">
      <w:pPr>
        <w:spacing w:line="360" w:lineRule="auto"/>
        <w:ind w:left="554" w:hanging="554" w:hangingChars="231"/>
        <w:rPr>
          <w:rFonts w:hint="eastAsia" w:ascii="宋体" w:hAnsi="宋体"/>
          <w:sz w:val="24"/>
          <w:highlight w:val="none"/>
        </w:rPr>
      </w:pPr>
      <w:r>
        <w:rPr>
          <w:rFonts w:hint="eastAsia" w:ascii="宋体" w:hAnsi="宋体"/>
          <w:sz w:val="24"/>
          <w:highlight w:val="none"/>
        </w:rPr>
        <w:t>3.3  配置符合中国有关标准要求的插头，如果没有这样的插头，则需</w:t>
      </w:r>
      <w:r>
        <w:rPr>
          <w:rFonts w:hint="eastAsia" w:ascii="宋体"/>
          <w:sz w:val="24"/>
          <w:highlight w:val="none"/>
        </w:rPr>
        <w:t>提供适当的转</w:t>
      </w:r>
      <w:r>
        <w:rPr>
          <w:rFonts w:hint="eastAsia" w:ascii="宋体" w:hAnsi="宋体"/>
          <w:sz w:val="24"/>
          <w:highlight w:val="none"/>
        </w:rPr>
        <w:t>换插座。</w:t>
      </w:r>
    </w:p>
    <w:p w14:paraId="7545295C">
      <w:pPr>
        <w:spacing w:line="360" w:lineRule="auto"/>
        <w:ind w:left="554" w:hanging="554" w:hangingChars="231"/>
        <w:rPr>
          <w:rFonts w:hint="eastAsia" w:ascii="宋体" w:hAnsi="宋体"/>
          <w:sz w:val="24"/>
          <w:highlight w:val="none"/>
        </w:rPr>
      </w:pPr>
      <w:r>
        <w:rPr>
          <w:rFonts w:hint="eastAsia" w:ascii="宋体" w:hAnsi="宋体"/>
          <w:sz w:val="24"/>
          <w:highlight w:val="none"/>
        </w:rPr>
        <w:t>3.4  如产品达不到上述要求，投标人应注明其偏差。如仪器设备需要特殊工作条件（如水、电源、磁场强度、温度、湿度、动强度等）投标人应在投标书中加以说明。</w:t>
      </w:r>
    </w:p>
    <w:p w14:paraId="37DA59F6">
      <w:pPr>
        <w:rPr>
          <w:rFonts w:hint="eastAsia" w:eastAsia="黑体"/>
          <w:b/>
          <w:bCs/>
          <w:kern w:val="44"/>
          <w:sz w:val="24"/>
          <w:highlight w:val="none"/>
        </w:rPr>
      </w:pPr>
    </w:p>
    <w:p w14:paraId="470C9651">
      <w:pPr>
        <w:adjustRightInd w:val="0"/>
        <w:snapToGrid w:val="0"/>
        <w:spacing w:line="360" w:lineRule="auto"/>
        <w:rPr>
          <w:rFonts w:hint="eastAsia" w:ascii="宋体" w:hAnsi="宋体"/>
          <w:b/>
          <w:sz w:val="28"/>
          <w:szCs w:val="28"/>
          <w:highlight w:val="none"/>
        </w:rPr>
      </w:pPr>
      <w:r>
        <w:rPr>
          <w:rFonts w:hint="eastAsia" w:ascii="宋体" w:hAnsi="宋体"/>
          <w:b/>
          <w:sz w:val="28"/>
          <w:szCs w:val="28"/>
          <w:highlight w:val="none"/>
        </w:rPr>
        <w:t>4、验收标准</w:t>
      </w:r>
    </w:p>
    <w:p w14:paraId="3DD8EDE0">
      <w:pPr>
        <w:spacing w:after="312" w:afterLines="100" w:line="360" w:lineRule="auto"/>
        <w:rPr>
          <w:rFonts w:hint="eastAsia" w:ascii="宋体" w:hAnsi="宋体"/>
          <w:sz w:val="24"/>
          <w:highlight w:val="none"/>
        </w:rPr>
      </w:pPr>
      <w:r>
        <w:rPr>
          <w:rFonts w:hint="eastAsia" w:ascii="宋体" w:hAnsi="宋体"/>
          <w:sz w:val="24"/>
          <w:highlight w:val="none"/>
        </w:rPr>
        <w:t>除非另有说明，所有仪器、设备和系统按下列要求进行验收：</w:t>
      </w:r>
      <w:r>
        <w:rPr>
          <w:rFonts w:ascii="宋体" w:hAnsi="宋体"/>
          <w:sz w:val="24"/>
          <w:highlight w:val="none"/>
        </w:rPr>
        <w:t xml:space="preserve"> </w:t>
      </w:r>
    </w:p>
    <w:p w14:paraId="04E682D9">
      <w:pPr>
        <w:spacing w:line="360" w:lineRule="auto"/>
        <w:ind w:left="554" w:hanging="554" w:hangingChars="231"/>
        <w:rPr>
          <w:rFonts w:hint="eastAsia" w:ascii="宋体" w:hAnsi="宋体"/>
          <w:sz w:val="24"/>
          <w:highlight w:val="none"/>
        </w:rPr>
      </w:pPr>
      <w:r>
        <w:rPr>
          <w:rFonts w:hint="eastAsia" w:ascii="宋体" w:hAnsi="宋体"/>
          <w:sz w:val="24"/>
          <w:highlight w:val="none"/>
        </w:rPr>
        <w:t>4.1  仪器设备运抵安装现场后，买方将与卖方共同开箱验收</w:t>
      </w:r>
      <w:r>
        <w:rPr>
          <w:rFonts w:ascii="宋体" w:hAnsi="宋体"/>
          <w:sz w:val="24"/>
          <w:highlight w:val="none"/>
        </w:rPr>
        <w:t xml:space="preserve">, </w:t>
      </w:r>
      <w:r>
        <w:rPr>
          <w:rFonts w:hint="eastAsia" w:ascii="宋体" w:hAnsi="宋体"/>
          <w:sz w:val="24"/>
          <w:highlight w:val="none"/>
        </w:rPr>
        <w:t>如卖方届时不派人来</w:t>
      </w:r>
      <w:r>
        <w:rPr>
          <w:rFonts w:ascii="宋体" w:hAnsi="宋体"/>
          <w:sz w:val="24"/>
          <w:highlight w:val="none"/>
        </w:rPr>
        <w:t xml:space="preserve">, </w:t>
      </w:r>
      <w:r>
        <w:rPr>
          <w:rFonts w:hint="eastAsia" w:ascii="宋体" w:hAnsi="宋体"/>
          <w:sz w:val="24"/>
          <w:highlight w:val="none"/>
        </w:rPr>
        <w:t>则验收结果应以买方的验收报告为最终验收结果。验收时发现短缺、破损</w:t>
      </w:r>
      <w:r>
        <w:rPr>
          <w:rFonts w:ascii="宋体" w:hAnsi="宋体"/>
          <w:sz w:val="24"/>
          <w:highlight w:val="none"/>
        </w:rPr>
        <w:t xml:space="preserve">, </w:t>
      </w:r>
      <w:r>
        <w:rPr>
          <w:rFonts w:hint="eastAsia" w:ascii="宋体" w:hAnsi="宋体"/>
          <w:sz w:val="24"/>
          <w:highlight w:val="none"/>
        </w:rPr>
        <w:t>买方有权要求卖方负责更换。</w:t>
      </w:r>
    </w:p>
    <w:p w14:paraId="2E194B6A">
      <w:pPr>
        <w:spacing w:line="360" w:lineRule="auto"/>
        <w:ind w:left="554" w:hanging="554" w:hangingChars="231"/>
        <w:rPr>
          <w:rFonts w:hint="eastAsia" w:ascii="宋体" w:hAnsi="宋体"/>
          <w:sz w:val="24"/>
          <w:highlight w:val="none"/>
        </w:rPr>
      </w:pPr>
      <w:r>
        <w:rPr>
          <w:rFonts w:hint="eastAsia" w:ascii="宋体" w:hAnsi="宋体"/>
          <w:sz w:val="24"/>
          <w:highlight w:val="none"/>
        </w:rPr>
        <w:t xml:space="preserve">4.2  </w:t>
      </w:r>
      <w:r>
        <w:rPr>
          <w:rFonts w:hint="eastAsia"/>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267723D2">
      <w:pPr>
        <w:spacing w:line="360" w:lineRule="auto"/>
        <w:ind w:left="554" w:hanging="554" w:hangingChars="231"/>
        <w:rPr>
          <w:rFonts w:hint="eastAsia" w:ascii="宋体" w:hAnsi="宋体"/>
          <w:sz w:val="24"/>
          <w:highlight w:val="none"/>
        </w:rPr>
      </w:pPr>
      <w:r>
        <w:rPr>
          <w:rFonts w:hint="eastAsia" w:ascii="宋体" w:hAnsi="宋体"/>
          <w:sz w:val="24"/>
          <w:highlight w:val="none"/>
        </w:rPr>
        <w:t xml:space="preserve">4.3  </w:t>
      </w:r>
      <w:r>
        <w:rPr>
          <w:rFonts w:ascii="宋体" w:hAnsi="宋体"/>
          <w:sz w:val="24"/>
          <w:highlight w:val="none"/>
        </w:rPr>
        <w:t>验收由采购人、中标人及相关人员依国家有关标准、合同及有关附件要求进行，验收完毕由采购人及中标人在验收报告上签名。</w:t>
      </w:r>
    </w:p>
    <w:p w14:paraId="228D5D6A">
      <w:pPr>
        <w:pStyle w:val="2"/>
        <w:spacing w:line="360" w:lineRule="auto"/>
        <w:ind w:left="410" w:hanging="410" w:hangingChars="170"/>
        <w:rPr>
          <w:rFonts w:hint="eastAsia" w:hAnsi="宋体"/>
          <w:b/>
          <w:sz w:val="24"/>
          <w:szCs w:val="24"/>
          <w:highlight w:val="none"/>
        </w:rPr>
      </w:pPr>
    </w:p>
    <w:p w14:paraId="18D78CAB">
      <w:pPr>
        <w:adjustRightInd w:val="0"/>
        <w:snapToGrid w:val="0"/>
        <w:spacing w:line="360" w:lineRule="auto"/>
        <w:rPr>
          <w:rFonts w:hint="eastAsia" w:hAnsi="宋体"/>
          <w:b/>
          <w:sz w:val="24"/>
          <w:highlight w:val="none"/>
        </w:rPr>
      </w:pPr>
      <w:r>
        <w:rPr>
          <w:rFonts w:hint="eastAsia"/>
          <w:b/>
          <w:bCs/>
          <w:sz w:val="24"/>
          <w:highlight w:val="none"/>
        </w:rPr>
        <w:t>5、本采购需求书中标注“*”号技术条款的为实质性要求，不满足其投标将视为无效投标被拒绝。</w:t>
      </w:r>
    </w:p>
    <w:p w14:paraId="7427B7FD">
      <w:pPr>
        <w:adjustRightInd w:val="0"/>
        <w:snapToGrid w:val="0"/>
        <w:spacing w:line="360" w:lineRule="auto"/>
        <w:rPr>
          <w:rFonts w:hint="eastAsia" w:ascii="宋体" w:hAnsi="宋体"/>
          <w:b/>
          <w:sz w:val="24"/>
          <w:highlight w:val="none"/>
        </w:rPr>
      </w:pPr>
    </w:p>
    <w:p w14:paraId="7A5B9E19">
      <w:pPr>
        <w:adjustRightInd w:val="0"/>
        <w:snapToGrid w:val="0"/>
        <w:spacing w:line="360" w:lineRule="auto"/>
        <w:rPr>
          <w:rFonts w:hint="eastAsia" w:ascii="宋体" w:hAnsi="宋体"/>
          <w:b/>
          <w:sz w:val="24"/>
          <w:highlight w:val="none"/>
        </w:rPr>
      </w:pPr>
      <w:r>
        <w:rPr>
          <w:rFonts w:hint="eastAsia" w:ascii="宋体" w:hAnsi="宋体"/>
          <w:b/>
          <w:sz w:val="24"/>
          <w:highlight w:val="none"/>
        </w:rPr>
        <w:t>6、如在具体规格要求中有本总则不一致之处，以具体规格中的要求为准。</w:t>
      </w:r>
    </w:p>
    <w:p w14:paraId="00D3F1A2">
      <w:pPr>
        <w:adjustRightInd w:val="0"/>
        <w:snapToGrid w:val="0"/>
        <w:spacing w:line="360" w:lineRule="auto"/>
        <w:rPr>
          <w:rFonts w:hint="eastAsia" w:ascii="宋体" w:hAnsi="宋体"/>
          <w:b/>
          <w:sz w:val="28"/>
          <w:szCs w:val="28"/>
          <w:highlight w:val="none"/>
        </w:rPr>
      </w:pPr>
      <w:r>
        <w:rPr>
          <w:rFonts w:ascii="宋体" w:hAnsi="宋体"/>
          <w:b/>
          <w:sz w:val="28"/>
          <w:highlight w:val="none"/>
        </w:rPr>
        <w:br w:type="page"/>
      </w:r>
      <w:r>
        <w:rPr>
          <w:rFonts w:hint="eastAsia" w:ascii="宋体" w:hAnsi="宋体"/>
          <w:b/>
          <w:sz w:val="28"/>
          <w:szCs w:val="28"/>
          <w:highlight w:val="none"/>
        </w:rPr>
        <w:t>二、具体规格要求</w:t>
      </w:r>
    </w:p>
    <w:p w14:paraId="5A3B5F44">
      <w:pPr>
        <w:spacing w:after="156" w:afterLines="50" w:line="360" w:lineRule="auto"/>
        <w:ind w:left="601" w:hanging="601"/>
        <w:rPr>
          <w:rFonts w:hint="eastAsia" w:cs="宋体"/>
          <w:bCs/>
          <w:color w:val="000000"/>
          <w:sz w:val="24"/>
          <w:highlight w:val="none"/>
        </w:rPr>
      </w:pPr>
      <w:r>
        <w:rPr>
          <w:rFonts w:hint="eastAsia" w:cs="宋体"/>
          <w:bCs/>
          <w:color w:val="000000"/>
          <w:sz w:val="24"/>
          <w:highlight w:val="none"/>
        </w:rPr>
        <w:t>一、</w:t>
      </w:r>
      <w:bookmarkStart w:id="1" w:name="_Toc175513259"/>
      <w:r>
        <w:rPr>
          <w:rFonts w:hint="eastAsia" w:cs="宋体"/>
          <w:bCs/>
          <w:color w:val="000000"/>
          <w:sz w:val="24"/>
          <w:highlight w:val="none"/>
        </w:rPr>
        <w:t>项目描述和内容概要</w:t>
      </w:r>
      <w:bookmarkEnd w:id="1"/>
      <w:r>
        <w:rPr>
          <w:rFonts w:hint="eastAsia" w:cs="宋体"/>
          <w:bCs/>
          <w:color w:val="000000"/>
          <w:sz w:val="24"/>
          <w:highlight w:val="none"/>
        </w:rPr>
        <w:t xml:space="preserve">：  </w:t>
      </w:r>
    </w:p>
    <w:p w14:paraId="6F0EF60A">
      <w:pPr>
        <w:spacing w:line="360" w:lineRule="auto"/>
        <w:ind w:firstLine="480" w:firstLineChars="200"/>
        <w:rPr>
          <w:rFonts w:cs="宋体"/>
          <w:bCs/>
          <w:color w:val="000000"/>
          <w:sz w:val="24"/>
          <w:highlight w:val="none"/>
        </w:rPr>
      </w:pPr>
      <w:r>
        <w:rPr>
          <w:rFonts w:cs="宋体"/>
          <w:bCs/>
          <w:color w:val="000000"/>
          <w:sz w:val="24"/>
          <w:highlight w:val="none"/>
        </w:rPr>
        <w:t>氨基酸等是</w:t>
      </w:r>
      <w:r>
        <w:rPr>
          <w:rFonts w:hint="eastAsia" w:cs="宋体"/>
          <w:bCs/>
          <w:color w:val="000000"/>
          <w:sz w:val="24"/>
          <w:highlight w:val="none"/>
        </w:rPr>
        <w:t>植物组织</w:t>
      </w:r>
      <w:r>
        <w:rPr>
          <w:rFonts w:cs="宋体"/>
          <w:bCs/>
          <w:color w:val="000000"/>
          <w:sz w:val="24"/>
          <w:highlight w:val="none"/>
        </w:rPr>
        <w:t>内含物的重要组成部分，对植物的生长发育和种子的萌发至关重要。检测</w:t>
      </w:r>
      <w:r>
        <w:rPr>
          <w:rFonts w:hint="eastAsia" w:cs="宋体"/>
          <w:bCs/>
          <w:color w:val="000000"/>
          <w:sz w:val="24"/>
          <w:highlight w:val="none"/>
        </w:rPr>
        <w:t>植物材料</w:t>
      </w:r>
      <w:r>
        <w:rPr>
          <w:rFonts w:cs="宋体"/>
          <w:bCs/>
          <w:color w:val="000000"/>
          <w:sz w:val="24"/>
          <w:highlight w:val="none"/>
        </w:rPr>
        <w:t>的氨基酸含量对于筛选具有重要经济价值的种质具有重要的指导意义。目前种子库已保存11000余种野生植物种子，但种子</w:t>
      </w:r>
      <w:r>
        <w:rPr>
          <w:rFonts w:hint="eastAsia" w:cs="宋体"/>
          <w:bCs/>
          <w:color w:val="000000"/>
          <w:sz w:val="24"/>
          <w:highlight w:val="none"/>
        </w:rPr>
        <w:t>中</w:t>
      </w:r>
      <w:r>
        <w:rPr>
          <w:rFonts w:cs="宋体"/>
          <w:bCs/>
          <w:color w:val="000000"/>
          <w:sz w:val="24"/>
          <w:highlight w:val="none"/>
        </w:rPr>
        <w:t>氨基酸种类和含量等生物学基础信息尚不知晓。</w:t>
      </w:r>
      <w:r>
        <w:rPr>
          <w:rFonts w:hint="eastAsia" w:cs="宋体"/>
          <w:bCs/>
          <w:color w:val="000000"/>
          <w:sz w:val="24"/>
          <w:highlight w:val="none"/>
        </w:rPr>
        <w:t>拟购置一台全自动氨基酸分析仪实现对植物组织样本中氨基酸成分进行测定，进而</w:t>
      </w:r>
      <w:r>
        <w:rPr>
          <w:rFonts w:cs="宋体"/>
          <w:bCs/>
          <w:color w:val="000000"/>
          <w:sz w:val="24"/>
          <w:highlight w:val="none"/>
        </w:rPr>
        <w:t>为选育出产量更高、品质更优、抗逆性更强的品种，促进农业生产和满足人类需求提供重要基础。</w:t>
      </w:r>
    </w:p>
    <w:p w14:paraId="2692C944">
      <w:pPr>
        <w:spacing w:after="156" w:afterLines="50" w:line="360" w:lineRule="auto"/>
        <w:ind w:left="601" w:hanging="601"/>
        <w:rPr>
          <w:rFonts w:hint="eastAsia" w:cs="宋体"/>
          <w:bCs/>
          <w:color w:val="000000"/>
          <w:sz w:val="24"/>
          <w:highlight w:val="none"/>
        </w:rPr>
      </w:pPr>
      <w:r>
        <w:rPr>
          <w:rFonts w:hint="eastAsia" w:cs="宋体"/>
          <w:bCs/>
          <w:color w:val="000000"/>
          <w:sz w:val="24"/>
          <w:highlight w:val="none"/>
        </w:rPr>
        <w:t>二、</w:t>
      </w:r>
      <w:bookmarkStart w:id="2" w:name="_Toc175513264"/>
      <w:bookmarkStart w:id="3" w:name="_Toc103094061"/>
      <w:r>
        <w:rPr>
          <w:rFonts w:hint="eastAsia" w:cs="宋体"/>
          <w:bCs/>
          <w:color w:val="000000"/>
          <w:sz w:val="24"/>
          <w:highlight w:val="none"/>
        </w:rPr>
        <w:t>项目技术</w:t>
      </w:r>
      <w:bookmarkEnd w:id="2"/>
      <w:bookmarkEnd w:id="3"/>
      <w:r>
        <w:rPr>
          <w:rFonts w:hint="eastAsia" w:cs="宋体"/>
          <w:bCs/>
          <w:color w:val="000000"/>
          <w:sz w:val="24"/>
          <w:highlight w:val="none"/>
        </w:rPr>
        <w:t>规格</w:t>
      </w:r>
    </w:p>
    <w:p w14:paraId="232407B6">
      <w:pPr>
        <w:adjustRightInd w:val="0"/>
        <w:snapToGrid w:val="0"/>
        <w:spacing w:line="360" w:lineRule="auto"/>
        <w:rPr>
          <w:rFonts w:hint="eastAsia"/>
          <w:color w:val="000000"/>
          <w:sz w:val="24"/>
          <w:highlight w:val="none"/>
        </w:rPr>
      </w:pPr>
      <w:r>
        <w:rPr>
          <w:rFonts w:hint="eastAsia"/>
          <w:color w:val="000000"/>
          <w:sz w:val="24"/>
          <w:highlight w:val="none"/>
        </w:rPr>
        <w:t>1.原理要求：依据阳离子交换色谱柱分离、茚三酮柱后衍生、可见光光度法检测，符合国家标准和国际标准的专用氨基酸分析仪。</w:t>
      </w:r>
    </w:p>
    <w:p w14:paraId="311D501D">
      <w:pPr>
        <w:adjustRightInd w:val="0"/>
        <w:snapToGrid w:val="0"/>
        <w:spacing w:line="360" w:lineRule="auto"/>
        <w:rPr>
          <w:rFonts w:hint="eastAsia"/>
          <w:color w:val="000000"/>
          <w:sz w:val="24"/>
          <w:highlight w:val="none"/>
        </w:rPr>
      </w:pPr>
      <w:r>
        <w:rPr>
          <w:rFonts w:hint="eastAsia"/>
          <w:color w:val="000000"/>
          <w:sz w:val="24"/>
          <w:highlight w:val="none"/>
        </w:rPr>
        <w:t xml:space="preserve">2.环境条件： </w:t>
      </w:r>
    </w:p>
    <w:p w14:paraId="772552CB">
      <w:pPr>
        <w:adjustRightInd w:val="0"/>
        <w:snapToGrid w:val="0"/>
        <w:spacing w:line="360" w:lineRule="auto"/>
        <w:rPr>
          <w:rFonts w:hint="eastAsia"/>
          <w:color w:val="000000"/>
          <w:sz w:val="24"/>
          <w:highlight w:val="none"/>
        </w:rPr>
      </w:pPr>
      <w:r>
        <w:rPr>
          <w:rFonts w:hint="eastAsia"/>
          <w:color w:val="000000"/>
          <w:sz w:val="24"/>
          <w:highlight w:val="none"/>
        </w:rPr>
        <w:t>2.1 电源电压：210-240 V，50~60±0.5 Hz</w:t>
      </w:r>
    </w:p>
    <w:p w14:paraId="5E00850D">
      <w:pPr>
        <w:adjustRightInd w:val="0"/>
        <w:snapToGrid w:val="0"/>
        <w:spacing w:line="360" w:lineRule="auto"/>
        <w:rPr>
          <w:rFonts w:hint="eastAsia"/>
          <w:color w:val="000000"/>
          <w:sz w:val="24"/>
          <w:highlight w:val="none"/>
        </w:rPr>
      </w:pPr>
      <w:r>
        <w:rPr>
          <w:rFonts w:hint="eastAsia"/>
          <w:color w:val="000000"/>
          <w:sz w:val="24"/>
          <w:highlight w:val="none"/>
        </w:rPr>
        <w:t>2.2 温度：5~35℃</w:t>
      </w:r>
    </w:p>
    <w:p w14:paraId="200D405F">
      <w:pPr>
        <w:adjustRightInd w:val="0"/>
        <w:snapToGrid w:val="0"/>
        <w:spacing w:line="360" w:lineRule="auto"/>
        <w:rPr>
          <w:rFonts w:hint="eastAsia"/>
          <w:color w:val="000000"/>
          <w:sz w:val="24"/>
          <w:highlight w:val="none"/>
        </w:rPr>
      </w:pPr>
      <w:r>
        <w:rPr>
          <w:rFonts w:hint="eastAsia"/>
          <w:color w:val="000000"/>
          <w:sz w:val="24"/>
          <w:highlight w:val="none"/>
        </w:rPr>
        <w:t>2.3 相对湿度：＜90%</w:t>
      </w:r>
    </w:p>
    <w:p w14:paraId="61D5230D">
      <w:pPr>
        <w:adjustRightInd w:val="0"/>
        <w:snapToGrid w:val="0"/>
        <w:spacing w:line="360" w:lineRule="auto"/>
        <w:rPr>
          <w:rFonts w:hint="eastAsia"/>
          <w:color w:val="000000"/>
          <w:sz w:val="24"/>
          <w:highlight w:val="none"/>
        </w:rPr>
      </w:pPr>
      <w:r>
        <w:rPr>
          <w:rFonts w:hint="eastAsia"/>
          <w:color w:val="000000"/>
          <w:sz w:val="24"/>
          <w:highlight w:val="none"/>
        </w:rPr>
        <w:t>3.技术要求：</w:t>
      </w:r>
    </w:p>
    <w:p w14:paraId="2AA99409">
      <w:pPr>
        <w:adjustRightInd w:val="0"/>
        <w:snapToGrid w:val="0"/>
        <w:spacing w:line="360" w:lineRule="auto"/>
        <w:rPr>
          <w:rFonts w:hint="eastAsia"/>
          <w:color w:val="000000"/>
          <w:sz w:val="24"/>
          <w:highlight w:val="none"/>
        </w:rPr>
      </w:pPr>
      <w:r>
        <w:rPr>
          <w:rFonts w:hint="eastAsia"/>
          <w:color w:val="000000"/>
          <w:sz w:val="24"/>
          <w:highlight w:val="none"/>
        </w:rPr>
        <w:t>3.1功能：一次进样可分析18-25种水解氨基酸，无需更换缓冲液和分离柱</w:t>
      </w:r>
    </w:p>
    <w:p w14:paraId="769D3A93">
      <w:pPr>
        <w:adjustRightInd w:val="0"/>
        <w:snapToGrid w:val="0"/>
        <w:spacing w:line="360" w:lineRule="auto"/>
        <w:rPr>
          <w:rFonts w:hint="eastAsia"/>
          <w:color w:val="000000"/>
          <w:sz w:val="24"/>
          <w:highlight w:val="none"/>
        </w:rPr>
      </w:pPr>
      <w:r>
        <w:rPr>
          <w:rFonts w:hint="eastAsia"/>
          <w:color w:val="000000"/>
          <w:sz w:val="24"/>
          <w:highlight w:val="none"/>
        </w:rPr>
        <w:t># 3.1.1 保留时间重现性：全部水解氨基酸RSD≤0.3%</w:t>
      </w:r>
    </w:p>
    <w:p w14:paraId="4C4CE8DB">
      <w:pPr>
        <w:adjustRightInd w:val="0"/>
        <w:snapToGrid w:val="0"/>
        <w:spacing w:line="360" w:lineRule="auto"/>
        <w:rPr>
          <w:rFonts w:hint="eastAsia"/>
          <w:color w:val="000000"/>
          <w:sz w:val="24"/>
          <w:highlight w:val="none"/>
        </w:rPr>
      </w:pPr>
      <w:r>
        <w:rPr>
          <w:rFonts w:hint="eastAsia"/>
          <w:color w:val="000000"/>
          <w:sz w:val="24"/>
          <w:highlight w:val="none"/>
        </w:rPr>
        <w:t># 3.1.2 峰面积重现性：全部水解氨基酸RSD≤1.0%</w:t>
      </w:r>
    </w:p>
    <w:p w14:paraId="70DB80B0">
      <w:pPr>
        <w:adjustRightInd w:val="0"/>
        <w:snapToGrid w:val="0"/>
        <w:spacing w:line="360" w:lineRule="auto"/>
        <w:rPr>
          <w:rFonts w:hint="eastAsia"/>
          <w:color w:val="000000"/>
          <w:sz w:val="24"/>
          <w:highlight w:val="none"/>
        </w:rPr>
      </w:pPr>
      <w:r>
        <w:rPr>
          <w:rFonts w:hint="eastAsia"/>
          <w:color w:val="000000"/>
          <w:sz w:val="24"/>
          <w:highlight w:val="none"/>
        </w:rPr>
        <w:t># 3.1.3 检出限：全部氨基酸≤3pmol (S/N＝2)，Asp≤2.5pmol，His≤1pmol</w:t>
      </w:r>
    </w:p>
    <w:p w14:paraId="1911ED1D">
      <w:pPr>
        <w:adjustRightInd w:val="0"/>
        <w:snapToGrid w:val="0"/>
        <w:spacing w:line="360" w:lineRule="auto"/>
        <w:rPr>
          <w:rFonts w:hint="eastAsia"/>
          <w:color w:val="000000"/>
          <w:sz w:val="24"/>
          <w:highlight w:val="none"/>
        </w:rPr>
      </w:pPr>
      <w:r>
        <w:rPr>
          <w:rFonts w:hint="eastAsia"/>
          <w:color w:val="000000"/>
          <w:sz w:val="24"/>
          <w:highlight w:val="none"/>
        </w:rPr>
        <w:t># 3.1.4 分离度：全部水解氨基酸≥98%（平均），苏氨酸/丝氨酸Thr-Ser≥95%, 甘氨酸/丙氨酸Gly-Ala≥94%，亮氨酸/异亮氨酸Leu-Ile≥95%</w:t>
      </w:r>
    </w:p>
    <w:p w14:paraId="59C994FC">
      <w:pPr>
        <w:adjustRightInd w:val="0"/>
        <w:snapToGrid w:val="0"/>
        <w:spacing w:line="360" w:lineRule="auto"/>
        <w:rPr>
          <w:rFonts w:hint="eastAsia"/>
          <w:color w:val="000000"/>
          <w:sz w:val="24"/>
          <w:highlight w:val="none"/>
        </w:rPr>
      </w:pPr>
      <w:r>
        <w:rPr>
          <w:rFonts w:hint="eastAsia"/>
          <w:color w:val="000000"/>
          <w:sz w:val="24"/>
          <w:highlight w:val="none"/>
        </w:rPr>
        <w:t># 3.1.5 仪器线性：甘氨酸Gly≥0.999；组氨酸His≥0.999</w:t>
      </w:r>
    </w:p>
    <w:p w14:paraId="41063245">
      <w:pPr>
        <w:adjustRightInd w:val="0"/>
        <w:snapToGrid w:val="0"/>
        <w:spacing w:line="360" w:lineRule="auto"/>
        <w:rPr>
          <w:rFonts w:hint="eastAsia"/>
          <w:color w:val="000000"/>
          <w:sz w:val="24"/>
          <w:highlight w:val="none"/>
        </w:rPr>
      </w:pPr>
      <w:r>
        <w:rPr>
          <w:rFonts w:hint="eastAsia"/>
          <w:color w:val="000000"/>
          <w:sz w:val="24"/>
          <w:highlight w:val="none"/>
        </w:rPr>
        <w:t>4．氨基酸分析仪主机</w:t>
      </w:r>
    </w:p>
    <w:p w14:paraId="4757D62C">
      <w:pPr>
        <w:adjustRightInd w:val="0"/>
        <w:snapToGrid w:val="0"/>
        <w:spacing w:line="360" w:lineRule="auto"/>
        <w:rPr>
          <w:rFonts w:hint="eastAsia"/>
          <w:color w:val="000000"/>
          <w:sz w:val="24"/>
          <w:highlight w:val="none"/>
        </w:rPr>
      </w:pPr>
      <w:r>
        <w:rPr>
          <w:rFonts w:hint="eastAsia"/>
          <w:color w:val="000000"/>
          <w:sz w:val="24"/>
          <w:highlight w:val="none"/>
        </w:rPr>
        <w:t>4.1 分离柱：</w:t>
      </w:r>
    </w:p>
    <w:p w14:paraId="5866CDF3">
      <w:pPr>
        <w:adjustRightInd w:val="0"/>
        <w:snapToGrid w:val="0"/>
        <w:spacing w:line="360" w:lineRule="auto"/>
        <w:rPr>
          <w:rFonts w:hint="eastAsia"/>
          <w:color w:val="000000"/>
          <w:sz w:val="24"/>
          <w:highlight w:val="none"/>
        </w:rPr>
      </w:pPr>
      <w:r>
        <w:rPr>
          <w:rFonts w:hint="eastAsia"/>
          <w:color w:val="000000"/>
          <w:sz w:val="24"/>
          <w:highlight w:val="none"/>
        </w:rPr>
        <w:t>*4.1.1规格：长度不大于130mm, 以保证分析时间较短</w:t>
      </w:r>
    </w:p>
    <w:p w14:paraId="6A108E8B">
      <w:pPr>
        <w:adjustRightInd w:val="0"/>
        <w:snapToGrid w:val="0"/>
        <w:spacing w:line="360" w:lineRule="auto"/>
        <w:rPr>
          <w:rFonts w:hint="eastAsia"/>
          <w:color w:val="000000"/>
          <w:sz w:val="24"/>
          <w:highlight w:val="none"/>
        </w:rPr>
      </w:pPr>
      <w:r>
        <w:rPr>
          <w:rFonts w:hint="eastAsia"/>
          <w:color w:val="000000"/>
          <w:sz w:val="24"/>
          <w:highlight w:val="none"/>
        </w:rPr>
        <w:t>#4.1.2填料：≤7μm高理论塔板数阳离子交换树脂</w:t>
      </w:r>
    </w:p>
    <w:p w14:paraId="2410F2BE">
      <w:pPr>
        <w:adjustRightInd w:val="0"/>
        <w:snapToGrid w:val="0"/>
        <w:spacing w:line="360" w:lineRule="auto"/>
        <w:rPr>
          <w:rFonts w:hint="eastAsia"/>
          <w:color w:val="000000"/>
          <w:sz w:val="24"/>
          <w:highlight w:val="none"/>
        </w:rPr>
      </w:pPr>
      <w:r>
        <w:rPr>
          <w:rFonts w:hint="eastAsia"/>
          <w:color w:val="000000"/>
          <w:sz w:val="24"/>
          <w:highlight w:val="none"/>
        </w:rPr>
        <w:t>4.2 输液泵：</w:t>
      </w:r>
    </w:p>
    <w:p w14:paraId="5CAF4E82">
      <w:pPr>
        <w:adjustRightInd w:val="0"/>
        <w:snapToGrid w:val="0"/>
        <w:spacing w:line="360" w:lineRule="auto"/>
        <w:rPr>
          <w:rFonts w:hint="eastAsia"/>
          <w:color w:val="000000"/>
          <w:sz w:val="24"/>
          <w:highlight w:val="none"/>
        </w:rPr>
      </w:pPr>
      <w:r>
        <w:rPr>
          <w:rFonts w:hint="eastAsia"/>
          <w:color w:val="000000"/>
          <w:sz w:val="24"/>
          <w:highlight w:val="none"/>
        </w:rPr>
        <w:t>*4.2.1高压高精度双柱塞泵，非四元梯度泵，耐腐蚀性强</w:t>
      </w:r>
    </w:p>
    <w:p w14:paraId="6A58DDCC">
      <w:pPr>
        <w:adjustRightInd w:val="0"/>
        <w:snapToGrid w:val="0"/>
        <w:spacing w:line="360" w:lineRule="auto"/>
        <w:rPr>
          <w:rFonts w:hint="eastAsia"/>
          <w:color w:val="000000"/>
          <w:sz w:val="24"/>
          <w:highlight w:val="none"/>
        </w:rPr>
      </w:pPr>
      <w:r>
        <w:rPr>
          <w:rFonts w:hint="eastAsia"/>
          <w:color w:val="000000"/>
          <w:sz w:val="24"/>
          <w:highlight w:val="none"/>
        </w:rPr>
        <w:t>4.2.2 压力范围：0-40MPa</w:t>
      </w:r>
    </w:p>
    <w:p w14:paraId="43816769">
      <w:pPr>
        <w:adjustRightInd w:val="0"/>
        <w:snapToGrid w:val="0"/>
        <w:spacing w:line="360" w:lineRule="auto"/>
        <w:rPr>
          <w:rFonts w:hint="eastAsia"/>
          <w:color w:val="000000"/>
          <w:sz w:val="24"/>
          <w:highlight w:val="none"/>
        </w:rPr>
      </w:pPr>
      <w:r>
        <w:rPr>
          <w:rFonts w:hint="eastAsia"/>
          <w:color w:val="000000"/>
          <w:sz w:val="24"/>
          <w:highlight w:val="none"/>
        </w:rPr>
        <w:t>4.2.3 流量范围：0.000-9.999mL/min</w:t>
      </w:r>
    </w:p>
    <w:p w14:paraId="733B9FC6">
      <w:pPr>
        <w:adjustRightInd w:val="0"/>
        <w:snapToGrid w:val="0"/>
        <w:spacing w:line="360" w:lineRule="auto"/>
        <w:rPr>
          <w:rFonts w:hint="eastAsia"/>
          <w:color w:val="000000"/>
          <w:sz w:val="24"/>
          <w:highlight w:val="none"/>
        </w:rPr>
      </w:pPr>
      <w:r>
        <w:rPr>
          <w:rFonts w:hint="eastAsia"/>
          <w:color w:val="000000"/>
          <w:sz w:val="24"/>
          <w:highlight w:val="none"/>
        </w:rPr>
        <w:t>4.2.4 内置全通道真空脱气机，在线脱气</w:t>
      </w:r>
    </w:p>
    <w:p w14:paraId="7D125180">
      <w:pPr>
        <w:adjustRightInd w:val="0"/>
        <w:snapToGrid w:val="0"/>
        <w:spacing w:line="360" w:lineRule="auto"/>
        <w:rPr>
          <w:rFonts w:hint="eastAsia"/>
          <w:color w:val="000000"/>
          <w:sz w:val="24"/>
          <w:highlight w:val="none"/>
        </w:rPr>
      </w:pPr>
      <w:r>
        <w:rPr>
          <w:rFonts w:hint="eastAsia"/>
          <w:color w:val="000000"/>
          <w:sz w:val="24"/>
          <w:highlight w:val="none"/>
        </w:rPr>
        <w:t>4.3 自动进样器</w:t>
      </w:r>
    </w:p>
    <w:p w14:paraId="7994EC81">
      <w:pPr>
        <w:adjustRightInd w:val="0"/>
        <w:snapToGrid w:val="0"/>
        <w:spacing w:line="360" w:lineRule="auto"/>
        <w:rPr>
          <w:rFonts w:hint="eastAsia"/>
          <w:color w:val="000000"/>
          <w:sz w:val="24"/>
          <w:highlight w:val="none"/>
        </w:rPr>
      </w:pPr>
      <w:r>
        <w:rPr>
          <w:rFonts w:hint="eastAsia"/>
          <w:color w:val="000000"/>
          <w:sz w:val="24"/>
          <w:highlight w:val="none"/>
        </w:rPr>
        <w:t>#4.3.1进样量：0-100μl</w:t>
      </w:r>
    </w:p>
    <w:p w14:paraId="7CE7A051">
      <w:pPr>
        <w:adjustRightInd w:val="0"/>
        <w:snapToGrid w:val="0"/>
        <w:spacing w:line="360" w:lineRule="auto"/>
        <w:rPr>
          <w:rFonts w:hint="eastAsia"/>
          <w:color w:val="000000"/>
          <w:sz w:val="24"/>
          <w:highlight w:val="none"/>
        </w:rPr>
      </w:pPr>
      <w:r>
        <w:rPr>
          <w:rFonts w:hint="eastAsia"/>
          <w:color w:val="000000"/>
          <w:sz w:val="24"/>
          <w:highlight w:val="none"/>
        </w:rPr>
        <w:t>4.3.2 样品位数：120位（1.5ml标准瓶）</w:t>
      </w:r>
    </w:p>
    <w:p w14:paraId="29514542">
      <w:pPr>
        <w:adjustRightInd w:val="0"/>
        <w:snapToGrid w:val="0"/>
        <w:spacing w:line="360" w:lineRule="auto"/>
        <w:rPr>
          <w:rFonts w:hint="eastAsia"/>
          <w:color w:val="000000"/>
          <w:sz w:val="24"/>
          <w:highlight w:val="none"/>
        </w:rPr>
      </w:pPr>
      <w:r>
        <w:rPr>
          <w:rFonts w:hint="eastAsia"/>
          <w:color w:val="000000"/>
          <w:sz w:val="24"/>
          <w:highlight w:val="none"/>
        </w:rPr>
        <w:t xml:space="preserve">4.4 柱温箱  </w:t>
      </w:r>
    </w:p>
    <w:p w14:paraId="45A19A54">
      <w:pPr>
        <w:adjustRightInd w:val="0"/>
        <w:snapToGrid w:val="0"/>
        <w:spacing w:line="360" w:lineRule="auto"/>
        <w:rPr>
          <w:rFonts w:hint="eastAsia"/>
          <w:color w:val="000000"/>
          <w:sz w:val="24"/>
          <w:highlight w:val="none"/>
        </w:rPr>
      </w:pPr>
      <w:r>
        <w:rPr>
          <w:rFonts w:hint="eastAsia"/>
          <w:color w:val="000000"/>
          <w:sz w:val="24"/>
          <w:highlight w:val="none"/>
        </w:rPr>
        <w:t>4.4.1 温控方式：20-100℃，半导体博尔贴</w:t>
      </w:r>
    </w:p>
    <w:p w14:paraId="544627FC">
      <w:pPr>
        <w:adjustRightInd w:val="0"/>
        <w:snapToGrid w:val="0"/>
        <w:spacing w:line="360" w:lineRule="auto"/>
        <w:rPr>
          <w:rFonts w:hint="eastAsia"/>
          <w:color w:val="000000"/>
          <w:sz w:val="24"/>
          <w:highlight w:val="none"/>
        </w:rPr>
      </w:pPr>
      <w:r>
        <w:rPr>
          <w:rFonts w:hint="eastAsia"/>
          <w:color w:val="000000"/>
          <w:sz w:val="24"/>
          <w:highlight w:val="none"/>
        </w:rPr>
        <w:t>#4.4.2具有温度梯度分离模式，即通过温度梯度变化来优化分离度（提供相关证明文件）</w:t>
      </w:r>
    </w:p>
    <w:p w14:paraId="1820BAA5">
      <w:pPr>
        <w:adjustRightInd w:val="0"/>
        <w:snapToGrid w:val="0"/>
        <w:spacing w:line="360" w:lineRule="auto"/>
        <w:rPr>
          <w:rFonts w:hint="eastAsia"/>
          <w:color w:val="000000"/>
          <w:sz w:val="24"/>
          <w:highlight w:val="none"/>
        </w:rPr>
      </w:pPr>
      <w:r>
        <w:rPr>
          <w:rFonts w:hint="eastAsia"/>
          <w:color w:val="000000"/>
          <w:sz w:val="24"/>
          <w:highlight w:val="none"/>
        </w:rPr>
        <w:t xml:space="preserve">4.5 衍生单元  </w:t>
      </w:r>
    </w:p>
    <w:p w14:paraId="472C9558">
      <w:pPr>
        <w:adjustRightInd w:val="0"/>
        <w:snapToGrid w:val="0"/>
        <w:spacing w:line="360" w:lineRule="auto"/>
        <w:rPr>
          <w:rFonts w:hint="eastAsia"/>
          <w:color w:val="000000"/>
          <w:sz w:val="24"/>
          <w:highlight w:val="none"/>
        </w:rPr>
      </w:pPr>
      <w:r>
        <w:rPr>
          <w:rFonts w:hint="eastAsia"/>
          <w:color w:val="000000"/>
          <w:sz w:val="24"/>
          <w:highlight w:val="none"/>
        </w:rPr>
        <w:t>4.5.1 衍生方式：反应效率高，死体积小，无扩散</w:t>
      </w:r>
    </w:p>
    <w:p w14:paraId="2C2C6374">
      <w:pPr>
        <w:adjustRightInd w:val="0"/>
        <w:snapToGrid w:val="0"/>
        <w:spacing w:line="360" w:lineRule="auto"/>
        <w:rPr>
          <w:rFonts w:hint="eastAsia"/>
          <w:color w:val="000000"/>
          <w:sz w:val="24"/>
          <w:highlight w:val="none"/>
        </w:rPr>
      </w:pPr>
      <w:r>
        <w:rPr>
          <w:rFonts w:hint="eastAsia"/>
          <w:color w:val="000000"/>
          <w:sz w:val="24"/>
          <w:highlight w:val="none"/>
        </w:rPr>
        <w:t>*4.5.2加热方式：电加热</w:t>
      </w:r>
    </w:p>
    <w:p w14:paraId="194A0230">
      <w:pPr>
        <w:adjustRightInd w:val="0"/>
        <w:snapToGrid w:val="0"/>
        <w:spacing w:line="360" w:lineRule="auto"/>
        <w:rPr>
          <w:rFonts w:hint="eastAsia"/>
          <w:color w:val="000000"/>
          <w:sz w:val="24"/>
          <w:highlight w:val="none"/>
        </w:rPr>
      </w:pPr>
      <w:r>
        <w:rPr>
          <w:rFonts w:hint="eastAsia"/>
          <w:color w:val="000000"/>
          <w:sz w:val="24"/>
          <w:highlight w:val="none"/>
        </w:rPr>
        <w:t>4.5.3 温控范围：室温-150℃，0.1℃</w:t>
      </w:r>
    </w:p>
    <w:p w14:paraId="224F23F0">
      <w:pPr>
        <w:adjustRightInd w:val="0"/>
        <w:snapToGrid w:val="0"/>
        <w:spacing w:line="360" w:lineRule="auto"/>
        <w:rPr>
          <w:rFonts w:hint="eastAsia"/>
          <w:color w:val="000000"/>
          <w:sz w:val="24"/>
          <w:highlight w:val="none"/>
        </w:rPr>
      </w:pPr>
      <w:r>
        <w:rPr>
          <w:rFonts w:hint="eastAsia"/>
          <w:color w:val="000000"/>
          <w:sz w:val="24"/>
          <w:highlight w:val="none"/>
        </w:rPr>
        <w:t>4.6 检测器</w:t>
      </w:r>
    </w:p>
    <w:p w14:paraId="4BEE0561">
      <w:pPr>
        <w:adjustRightInd w:val="0"/>
        <w:snapToGrid w:val="0"/>
        <w:spacing w:line="360" w:lineRule="auto"/>
        <w:rPr>
          <w:rFonts w:hint="eastAsia"/>
          <w:color w:val="000000"/>
          <w:sz w:val="24"/>
          <w:highlight w:val="none"/>
        </w:rPr>
      </w:pPr>
      <w:r>
        <w:rPr>
          <w:rFonts w:hint="eastAsia"/>
          <w:color w:val="000000"/>
          <w:sz w:val="24"/>
          <w:highlight w:val="none"/>
        </w:rPr>
        <w:t>#4.6.1检测器：高精度微型二极管光度计，两个单波长可见光检测器570nm和440nm（提供相关证明文件）</w:t>
      </w:r>
    </w:p>
    <w:p w14:paraId="60F7C15F">
      <w:pPr>
        <w:adjustRightInd w:val="0"/>
        <w:snapToGrid w:val="0"/>
        <w:spacing w:line="360" w:lineRule="auto"/>
        <w:rPr>
          <w:rFonts w:hint="eastAsia"/>
          <w:color w:val="000000"/>
          <w:sz w:val="24"/>
          <w:highlight w:val="none"/>
        </w:rPr>
      </w:pPr>
      <w:r>
        <w:rPr>
          <w:rFonts w:hint="eastAsia"/>
          <w:color w:val="000000"/>
          <w:sz w:val="24"/>
          <w:highlight w:val="none"/>
        </w:rPr>
        <w:t>#4.6.2采用寿命长达100,000小时的LED光源，仪器寿命期（以15年计）内无需更换光源，无易耗品</w:t>
      </w:r>
    </w:p>
    <w:p w14:paraId="1FC8BFDB">
      <w:pPr>
        <w:adjustRightInd w:val="0"/>
        <w:snapToGrid w:val="0"/>
        <w:spacing w:line="360" w:lineRule="auto"/>
        <w:rPr>
          <w:rFonts w:hint="eastAsia"/>
          <w:color w:val="000000"/>
          <w:sz w:val="24"/>
          <w:highlight w:val="none"/>
        </w:rPr>
      </w:pPr>
      <w:r>
        <w:rPr>
          <w:rFonts w:hint="eastAsia"/>
          <w:color w:val="000000"/>
          <w:sz w:val="24"/>
          <w:highlight w:val="none"/>
        </w:rPr>
        <w:t>4.7 缓冲液：</w:t>
      </w:r>
    </w:p>
    <w:p w14:paraId="718B52AA">
      <w:pPr>
        <w:adjustRightInd w:val="0"/>
        <w:snapToGrid w:val="0"/>
        <w:spacing w:line="360" w:lineRule="auto"/>
        <w:rPr>
          <w:rFonts w:hint="eastAsia"/>
          <w:color w:val="000000"/>
          <w:sz w:val="24"/>
          <w:highlight w:val="none"/>
        </w:rPr>
      </w:pPr>
      <w:r>
        <w:rPr>
          <w:rFonts w:hint="eastAsia"/>
          <w:color w:val="000000"/>
          <w:sz w:val="24"/>
          <w:highlight w:val="none"/>
        </w:rPr>
        <w:t>#4.7.1 预先混合，无需在线混合，保证混合精度及分析时间较短</w:t>
      </w:r>
    </w:p>
    <w:p w14:paraId="1DA29BA5">
      <w:pPr>
        <w:adjustRightInd w:val="0"/>
        <w:snapToGrid w:val="0"/>
        <w:spacing w:line="360" w:lineRule="auto"/>
        <w:rPr>
          <w:rFonts w:hint="eastAsia"/>
          <w:color w:val="000000"/>
          <w:sz w:val="24"/>
          <w:highlight w:val="none"/>
        </w:rPr>
      </w:pPr>
      <w:r>
        <w:rPr>
          <w:rFonts w:hint="eastAsia"/>
          <w:color w:val="000000"/>
          <w:sz w:val="24"/>
          <w:highlight w:val="none"/>
        </w:rPr>
        <w:t>*4.7.2 种类≥5种，独立试剂瓶，无需在线混合，常温贮存，无需冷藏</w:t>
      </w:r>
    </w:p>
    <w:p w14:paraId="34AD0584">
      <w:pPr>
        <w:adjustRightInd w:val="0"/>
        <w:snapToGrid w:val="0"/>
        <w:spacing w:line="360" w:lineRule="auto"/>
        <w:rPr>
          <w:rFonts w:hint="eastAsia"/>
          <w:color w:val="000000"/>
          <w:sz w:val="24"/>
          <w:highlight w:val="none"/>
        </w:rPr>
      </w:pPr>
      <w:r>
        <w:rPr>
          <w:rFonts w:hint="eastAsia"/>
          <w:color w:val="000000"/>
          <w:sz w:val="24"/>
          <w:highlight w:val="none"/>
        </w:rPr>
        <w:t>4.8 管理系统</w:t>
      </w:r>
    </w:p>
    <w:p w14:paraId="0A891C8C">
      <w:pPr>
        <w:adjustRightInd w:val="0"/>
        <w:snapToGrid w:val="0"/>
        <w:spacing w:line="360" w:lineRule="auto"/>
        <w:rPr>
          <w:rFonts w:hint="eastAsia"/>
          <w:color w:val="000000"/>
          <w:sz w:val="24"/>
          <w:highlight w:val="none"/>
        </w:rPr>
      </w:pPr>
      <w:r>
        <w:rPr>
          <w:rFonts w:hint="eastAsia"/>
          <w:color w:val="000000"/>
          <w:sz w:val="24"/>
          <w:highlight w:val="none"/>
        </w:rPr>
        <w:t>4.8.1 色谱工作站，具有自主知识产权的系统控制软件（提供相关证明文件），样品的进样、分离、衍生、检测及系统的清洗、脱气等功能全部自动化控制。</w:t>
      </w:r>
    </w:p>
    <w:p w14:paraId="1D84B2C9">
      <w:pPr>
        <w:adjustRightInd w:val="0"/>
        <w:snapToGrid w:val="0"/>
        <w:spacing w:line="360" w:lineRule="auto"/>
        <w:rPr>
          <w:rFonts w:hint="eastAsia"/>
          <w:color w:val="000000"/>
          <w:sz w:val="24"/>
          <w:highlight w:val="none"/>
        </w:rPr>
      </w:pPr>
      <w:r>
        <w:rPr>
          <w:rFonts w:hint="eastAsia"/>
          <w:color w:val="000000"/>
          <w:sz w:val="24"/>
          <w:highlight w:val="none"/>
        </w:rPr>
        <w:t>4.8.2 符合GLP/GMP规则，能够实现仪器的控制、数据的采集和处理，系统的自动清洗程序；能够进行系统校验性试验、订制客户报告；具有自动记录、故障定位、远程网络协助等功能。三级权限管理，中文或英文版本。</w:t>
      </w:r>
    </w:p>
    <w:p w14:paraId="07102AC2">
      <w:pPr>
        <w:adjustRightInd w:val="0"/>
        <w:snapToGrid w:val="0"/>
        <w:spacing w:line="360" w:lineRule="auto"/>
        <w:rPr>
          <w:color w:val="000000"/>
          <w:sz w:val="24"/>
          <w:highlight w:val="none"/>
        </w:rPr>
      </w:pPr>
      <w:r>
        <w:rPr>
          <w:rFonts w:hint="eastAsia"/>
          <w:color w:val="000000"/>
          <w:sz w:val="24"/>
          <w:highlight w:val="none"/>
        </w:rPr>
        <w:t>三、配置要求</w:t>
      </w:r>
    </w:p>
    <w:p w14:paraId="11347780">
      <w:pPr>
        <w:adjustRightInd w:val="0"/>
        <w:snapToGrid w:val="0"/>
        <w:spacing w:line="360" w:lineRule="auto"/>
        <w:rPr>
          <w:rFonts w:hint="eastAsia"/>
          <w:color w:val="000000"/>
          <w:sz w:val="24"/>
          <w:highlight w:val="none"/>
        </w:rPr>
      </w:pPr>
      <w:r>
        <w:rPr>
          <w:rFonts w:hint="eastAsia"/>
          <w:color w:val="000000"/>
          <w:sz w:val="24"/>
          <w:highlight w:val="none"/>
        </w:rPr>
        <w:t>1 全自动氨基酸分析仪1台</w:t>
      </w:r>
    </w:p>
    <w:p w14:paraId="719E8F46">
      <w:pPr>
        <w:adjustRightInd w:val="0"/>
        <w:snapToGrid w:val="0"/>
        <w:spacing w:line="360" w:lineRule="auto"/>
        <w:rPr>
          <w:rFonts w:hint="eastAsia"/>
          <w:color w:val="000000"/>
          <w:sz w:val="24"/>
          <w:highlight w:val="none"/>
        </w:rPr>
      </w:pPr>
      <w:r>
        <w:rPr>
          <w:rFonts w:hint="eastAsia"/>
          <w:color w:val="000000"/>
          <w:sz w:val="24"/>
          <w:highlight w:val="none"/>
        </w:rPr>
        <w:t>2 专用氨基酸分离柱(带保护柱) 1套</w:t>
      </w:r>
    </w:p>
    <w:p w14:paraId="103D271E">
      <w:pPr>
        <w:adjustRightInd w:val="0"/>
        <w:snapToGrid w:val="0"/>
        <w:spacing w:line="360" w:lineRule="auto"/>
        <w:rPr>
          <w:rFonts w:hint="eastAsia"/>
          <w:color w:val="000000"/>
          <w:sz w:val="24"/>
          <w:highlight w:val="none"/>
        </w:rPr>
      </w:pPr>
      <w:r>
        <w:rPr>
          <w:rFonts w:hint="eastAsia"/>
          <w:color w:val="000000"/>
          <w:sz w:val="24"/>
          <w:highlight w:val="none"/>
        </w:rPr>
        <w:t>3 专用配套氨基酸分析缓冲试剂包(含茚三酮) 1套</w:t>
      </w:r>
    </w:p>
    <w:p w14:paraId="60A5B8F8">
      <w:pPr>
        <w:adjustRightInd w:val="0"/>
        <w:snapToGrid w:val="0"/>
        <w:spacing w:line="360" w:lineRule="auto"/>
        <w:rPr>
          <w:rFonts w:hint="eastAsia"/>
          <w:color w:val="000000"/>
          <w:sz w:val="24"/>
          <w:highlight w:val="none"/>
        </w:rPr>
      </w:pPr>
      <w:r>
        <w:rPr>
          <w:rFonts w:hint="eastAsia"/>
          <w:color w:val="000000"/>
          <w:sz w:val="24"/>
          <w:highlight w:val="none"/>
        </w:rPr>
        <w:t>4 氨基酸混合标样（18种/20种）5瓶</w:t>
      </w:r>
    </w:p>
    <w:p w14:paraId="44A54933">
      <w:pPr>
        <w:adjustRightInd w:val="0"/>
        <w:snapToGrid w:val="0"/>
        <w:spacing w:line="360" w:lineRule="auto"/>
        <w:rPr>
          <w:rFonts w:hint="eastAsia"/>
          <w:color w:val="000000"/>
          <w:sz w:val="24"/>
          <w:highlight w:val="none"/>
        </w:rPr>
      </w:pPr>
      <w:r>
        <w:rPr>
          <w:rFonts w:hint="eastAsia"/>
          <w:color w:val="000000"/>
          <w:sz w:val="24"/>
          <w:highlight w:val="none"/>
        </w:rPr>
        <w:t>5 进样瓶带盖 100个</w:t>
      </w:r>
    </w:p>
    <w:p w14:paraId="7DE0BCC2">
      <w:pPr>
        <w:adjustRightInd w:val="0"/>
        <w:snapToGrid w:val="0"/>
        <w:spacing w:line="360" w:lineRule="auto"/>
        <w:rPr>
          <w:rFonts w:hint="eastAsia"/>
          <w:color w:val="000000"/>
          <w:sz w:val="24"/>
          <w:highlight w:val="none"/>
        </w:rPr>
      </w:pPr>
      <w:r>
        <w:rPr>
          <w:rFonts w:hint="eastAsia"/>
          <w:color w:val="000000"/>
          <w:sz w:val="24"/>
          <w:highlight w:val="none"/>
        </w:rPr>
        <w:t>6 安装工具包 1套</w:t>
      </w:r>
    </w:p>
    <w:p w14:paraId="213DC152">
      <w:pPr>
        <w:adjustRightInd w:val="0"/>
        <w:snapToGrid w:val="0"/>
        <w:spacing w:line="360" w:lineRule="auto"/>
        <w:rPr>
          <w:rFonts w:hint="eastAsia"/>
          <w:color w:val="000000"/>
          <w:sz w:val="24"/>
          <w:highlight w:val="none"/>
        </w:rPr>
      </w:pPr>
      <w:r>
        <w:rPr>
          <w:rFonts w:hint="eastAsia"/>
          <w:color w:val="000000"/>
          <w:sz w:val="24"/>
          <w:highlight w:val="none"/>
        </w:rPr>
        <w:t>7 计算机（带显示器） 1套 ：核处理器≥i7，内存≥32G，硬盘≥1T，显示器≥27英寸；搭载专用配套软件</w:t>
      </w:r>
    </w:p>
    <w:p w14:paraId="170B8628">
      <w:pPr>
        <w:adjustRightInd w:val="0"/>
        <w:snapToGrid w:val="0"/>
        <w:spacing w:line="360" w:lineRule="auto"/>
        <w:rPr>
          <w:rFonts w:hint="eastAsia"/>
          <w:color w:val="000000"/>
          <w:sz w:val="24"/>
          <w:highlight w:val="none"/>
        </w:rPr>
      </w:pPr>
      <w:r>
        <w:rPr>
          <w:rFonts w:hint="eastAsia"/>
          <w:color w:val="000000"/>
          <w:sz w:val="24"/>
          <w:highlight w:val="none"/>
        </w:rPr>
        <w:t xml:space="preserve">8 氮气瓶（40L，99.99%，带减压阀）1套 </w:t>
      </w:r>
    </w:p>
    <w:p w14:paraId="77E6D2A7">
      <w:pPr>
        <w:adjustRightInd w:val="0"/>
        <w:snapToGrid w:val="0"/>
        <w:spacing w:line="360" w:lineRule="auto"/>
        <w:rPr>
          <w:rFonts w:hint="eastAsia"/>
          <w:color w:val="000000"/>
          <w:sz w:val="24"/>
          <w:highlight w:val="none"/>
        </w:rPr>
      </w:pPr>
      <w:r>
        <w:rPr>
          <w:rFonts w:hint="eastAsia"/>
          <w:color w:val="000000"/>
          <w:sz w:val="24"/>
          <w:highlight w:val="none"/>
        </w:rPr>
        <w:t>四. 售后服务</w:t>
      </w:r>
    </w:p>
    <w:p w14:paraId="30029094">
      <w:pPr>
        <w:adjustRightInd w:val="0"/>
        <w:snapToGrid w:val="0"/>
        <w:spacing w:line="360" w:lineRule="auto"/>
        <w:rPr>
          <w:rFonts w:hint="eastAsia"/>
          <w:color w:val="000000"/>
          <w:sz w:val="24"/>
          <w:highlight w:val="none"/>
        </w:rPr>
      </w:pPr>
      <w:r>
        <w:rPr>
          <w:rFonts w:hint="eastAsia"/>
          <w:color w:val="000000"/>
          <w:sz w:val="24"/>
          <w:highlight w:val="none"/>
        </w:rPr>
        <w:t>1现场对用户进行技术专业培训，内容包括仪器的技术原理、仪器操作、数据处理、仪器基本维护等，保证用户掌握仪器操作及数据处理。分离柱及试剂包由厂家自产，随时供货，确保使用成本低、供货周期短。可协助用户免费开发检测方法、进行专项培训，定期回访等。</w:t>
      </w:r>
    </w:p>
    <w:p w14:paraId="63EA9BE1">
      <w:pPr>
        <w:adjustRightInd w:val="0"/>
        <w:snapToGrid w:val="0"/>
        <w:spacing w:line="360" w:lineRule="auto"/>
        <w:rPr>
          <w:color w:val="000000"/>
          <w:sz w:val="24"/>
          <w:highlight w:val="none"/>
        </w:rPr>
      </w:pPr>
      <w:r>
        <w:rPr>
          <w:rFonts w:hint="eastAsia"/>
          <w:color w:val="000000"/>
          <w:sz w:val="24"/>
          <w:highlight w:val="none"/>
        </w:rPr>
        <w:t>2 维修人员接到报修通知后须在24小时内响应，48小时内提供有效故障解决方案并及时进行维修处理在3个工作日内到达现场。</w:t>
      </w:r>
    </w:p>
    <w:p w14:paraId="7AF2C714">
      <w:pPr>
        <w:adjustRightInd w:val="0"/>
        <w:snapToGrid w:val="0"/>
        <w:spacing w:line="360" w:lineRule="auto"/>
        <w:rPr>
          <w:rFonts w:ascii="宋体" w:hAnsi="宋体"/>
          <w:sz w:val="24"/>
          <w:highlight w:val="none"/>
        </w:rPr>
      </w:pPr>
      <w:r>
        <w:rPr>
          <w:rFonts w:hint="eastAsia"/>
          <w:color w:val="000000"/>
          <w:sz w:val="24"/>
          <w:highlight w:val="none"/>
        </w:rPr>
        <w:t>3 质保期：免费质保≥2年。</w:t>
      </w:r>
    </w:p>
    <w:p w14:paraId="1D76052D">
      <w:pPr>
        <w:adjustRightInd w:val="0"/>
        <w:snapToGrid w:val="0"/>
        <w:spacing w:line="360" w:lineRule="auto"/>
        <w:rPr>
          <w:rFonts w:hint="eastAsia" w:ascii="宋体" w:hAnsi="宋体"/>
          <w:b/>
          <w:sz w:val="30"/>
          <w:szCs w:val="30"/>
          <w:highlight w:val="none"/>
        </w:rPr>
      </w:pPr>
    </w:p>
    <w:p w14:paraId="7F930540"/>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110374"/>
    <w:rsid w:val="51C32322"/>
    <w:rsid w:val="741103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2915</Words>
  <Characters>3289</Characters>
  <Lines>0</Lines>
  <Paragraphs>0</Paragraphs>
  <TotalTime>0</TotalTime>
  <ScaleCrop>false</ScaleCrop>
  <LinksUpToDate>false</LinksUpToDate>
  <CharactersWithSpaces>3389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2025-08-07T12:02:00Z</dcterms:created>
  <dc:creator>顾嘉宁</dc:creator>
  <cp:lastModifiedBy>清</cp:lastModifiedBy>
  <dcterms:modified xsi:type="dcterms:W3CDTF">2025-08-08T03:56:33Z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24EBF9A910894E0E8E4D756C027A65EA_13</vt:lpwstr>
  </property>
  <property fmtid="{D5CDD505-2E9C-101B-9397-08002B2CF9AE}" pid="4" name="KSOTemplateDocerSaveRecord">
    <vt:lpwstr>eyJoZGlkIjoiM2FjYTIzZGUxMzUyYzc4ODFmYzlkNjk5ZTYzODY2NmIiLCJ1c2VySWQiOiIxNjYzMDExNDYwIn0=</vt:lpwstr>
  </property>
</Properties>
</file>