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20339B">
      <w:pPr>
        <w:keepNext/>
        <w:keepLines/>
        <w:spacing w:before="340" w:after="330" w:line="578" w:lineRule="auto"/>
        <w:jc w:val="center"/>
        <w:outlineLvl w:val="0"/>
        <w:rPr>
          <w:rFonts w:ascii="仿宋" w:hAnsi="仿宋" w:eastAsia="仿宋" w:cs="Times New Roman"/>
          <w:b/>
          <w:bCs/>
          <w:kern w:val="44"/>
          <w:sz w:val="36"/>
          <w:szCs w:val="36"/>
        </w:rPr>
      </w:pPr>
      <w:bookmarkStart w:id="2" w:name="_GoBack"/>
      <w:bookmarkEnd w:id="2"/>
      <w:r>
        <w:rPr>
          <w:rFonts w:hint="eastAsia" w:ascii="仿宋" w:hAnsi="仿宋" w:eastAsia="仿宋" w:cs="Times New Roman"/>
          <w:b/>
          <w:bCs/>
          <w:kern w:val="44"/>
          <w:sz w:val="36"/>
          <w:szCs w:val="36"/>
        </w:rPr>
        <w:t>招标项目技术、服务、政府采购合同内容条款及其他商务要求</w:t>
      </w:r>
    </w:p>
    <w:p w14:paraId="0868B779">
      <w:pPr>
        <w:keepNext/>
        <w:keepLines/>
        <w:spacing w:before="260" w:after="260" w:line="400" w:lineRule="exact"/>
        <w:ind w:firstLine="482" w:firstLineChars="200"/>
        <w:outlineLvl w:val="1"/>
        <w:rPr>
          <w:rFonts w:ascii="仿宋" w:hAnsi="仿宋" w:eastAsia="仿宋" w:cs="Times New Roman"/>
          <w:b/>
          <w:bCs/>
          <w:sz w:val="24"/>
          <w:szCs w:val="24"/>
        </w:rPr>
      </w:pPr>
      <w:bookmarkStart w:id="0" w:name="_Toc217446094"/>
      <w:r>
        <w:rPr>
          <w:rFonts w:hint="eastAsia" w:ascii="仿宋" w:hAnsi="仿宋" w:eastAsia="仿宋" w:cs="Times New Roman"/>
          <w:b/>
          <w:bCs/>
          <w:sz w:val="24"/>
          <w:szCs w:val="24"/>
        </w:rPr>
        <w:t>前提：本章中标注“*”的条款为本项目的实质性条款，投标人不满足的，将按照无效投标处理。标注“</w:t>
      </w:r>
      <w:r>
        <w:rPr>
          <w:rFonts w:hint="eastAsia" w:ascii="仿宋" w:hAnsi="仿宋" w:eastAsia="仿宋" w:cs="Times New Roman"/>
          <w:bCs/>
          <w:sz w:val="24"/>
          <w:szCs w:val="32"/>
        </w:rPr>
        <w:t>★</w:t>
      </w:r>
      <w:r>
        <w:rPr>
          <w:rFonts w:hint="eastAsia" w:ascii="仿宋" w:hAnsi="仿宋" w:eastAsia="仿宋" w:cs="Times New Roman"/>
          <w:b/>
          <w:bCs/>
          <w:sz w:val="24"/>
          <w:szCs w:val="24"/>
        </w:rPr>
        <w:t>”的条款为重要指标要求，如未满足将根据评分办法规定进行扣分。</w:t>
      </w:r>
    </w:p>
    <w:p w14:paraId="34536198">
      <w:pPr>
        <w:keepNext/>
        <w:keepLines/>
        <w:spacing w:before="260" w:after="260" w:line="400" w:lineRule="exact"/>
        <w:outlineLvl w:val="1"/>
        <w:rPr>
          <w:rFonts w:ascii="仿宋" w:hAnsi="仿宋" w:eastAsia="仿宋" w:cs="Times New Roman"/>
          <w:b/>
          <w:bCs/>
          <w:sz w:val="24"/>
          <w:szCs w:val="24"/>
        </w:rPr>
      </w:pPr>
      <w:r>
        <w:rPr>
          <w:rFonts w:hint="eastAsia" w:ascii="仿宋" w:hAnsi="仿宋" w:eastAsia="仿宋" w:cs="Times New Roman"/>
          <w:b/>
          <w:bCs/>
          <w:sz w:val="24"/>
          <w:szCs w:val="24"/>
        </w:rPr>
        <w:t>一、项目概述</w:t>
      </w:r>
      <w:bookmarkEnd w:id="0"/>
    </w:p>
    <w:p w14:paraId="7DD3C661">
      <w:pPr>
        <w:spacing w:after="160" w:line="400" w:lineRule="exact"/>
        <w:ind w:firstLine="480" w:firstLineChars="200"/>
        <w:rPr>
          <w:rFonts w:ascii="仿宋" w:hAnsi="仿宋" w:eastAsia="仿宋" w:cs="Times New Roman"/>
          <w:bCs/>
          <w:sz w:val="24"/>
          <w:szCs w:val="24"/>
        </w:rPr>
      </w:pPr>
      <w:bookmarkStart w:id="1" w:name="_Toc217446095"/>
      <w:r>
        <w:rPr>
          <w:rFonts w:hint="eastAsia" w:ascii="仿宋" w:hAnsi="仿宋" w:eastAsia="仿宋" w:cs="Times New Roman"/>
          <w:bCs/>
          <w:sz w:val="24"/>
          <w:szCs w:val="24"/>
        </w:rPr>
        <w:t>本项目</w:t>
      </w:r>
      <w:r>
        <w:rPr>
          <w:rFonts w:ascii="仿宋" w:hAnsi="仿宋" w:eastAsia="仿宋" w:cs="Times New Roman"/>
          <w:bCs/>
          <w:sz w:val="24"/>
          <w:szCs w:val="24"/>
        </w:rPr>
        <w:t>1</w:t>
      </w:r>
      <w:r>
        <w:rPr>
          <w:rFonts w:hint="eastAsia" w:ascii="仿宋" w:hAnsi="仿宋" w:eastAsia="仿宋" w:cs="Times New Roman"/>
          <w:bCs/>
          <w:sz w:val="24"/>
          <w:szCs w:val="24"/>
        </w:rPr>
        <w:t>个包，不允许进口产品。具体内容如下：</w:t>
      </w:r>
    </w:p>
    <w:tbl>
      <w:tblPr>
        <w:tblStyle w:val="4"/>
        <w:tblW w:w="51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2246"/>
        <w:gridCol w:w="710"/>
        <w:gridCol w:w="849"/>
        <w:gridCol w:w="935"/>
        <w:gridCol w:w="1094"/>
        <w:gridCol w:w="974"/>
        <w:gridCol w:w="1168"/>
      </w:tblGrid>
      <w:tr w14:paraId="340BC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jc w:val="center"/>
        </w:trPr>
        <w:tc>
          <w:tcPr>
            <w:tcW w:w="480" w:type="pct"/>
            <w:vAlign w:val="center"/>
          </w:tcPr>
          <w:p w14:paraId="406E5FFD">
            <w:pPr>
              <w:spacing w:after="160"/>
              <w:jc w:val="center"/>
              <w:rPr>
                <w:rFonts w:hint="eastAsia" w:ascii="仿宋" w:hAnsi="仿宋" w:eastAsia="仿宋" w:cs="Times New Roman"/>
                <w:sz w:val="24"/>
                <w:szCs w:val="24"/>
              </w:rPr>
            </w:pPr>
            <w:r>
              <w:rPr>
                <w:rFonts w:hint="eastAsia" w:ascii="仿宋" w:hAnsi="仿宋" w:eastAsia="仿宋" w:cs="Times New Roman"/>
                <w:sz w:val="24"/>
                <w:szCs w:val="24"/>
              </w:rPr>
              <w:t>包号</w:t>
            </w:r>
          </w:p>
        </w:tc>
        <w:tc>
          <w:tcPr>
            <w:tcW w:w="1272" w:type="pct"/>
            <w:vAlign w:val="center"/>
          </w:tcPr>
          <w:p w14:paraId="65654459">
            <w:pPr>
              <w:spacing w:after="160"/>
              <w:jc w:val="center"/>
              <w:rPr>
                <w:rFonts w:ascii="仿宋" w:hAnsi="仿宋" w:eastAsia="仿宋" w:cs="Times New Roman"/>
                <w:sz w:val="24"/>
                <w:szCs w:val="24"/>
              </w:rPr>
            </w:pPr>
            <w:r>
              <w:rPr>
                <w:rFonts w:hint="eastAsia" w:ascii="仿宋" w:hAnsi="仿宋" w:eastAsia="仿宋" w:cs="Times New Roman"/>
                <w:sz w:val="24"/>
                <w:szCs w:val="24"/>
              </w:rPr>
              <w:t>标的</w:t>
            </w:r>
            <w:r>
              <w:rPr>
                <w:rFonts w:ascii="仿宋" w:hAnsi="仿宋" w:eastAsia="仿宋" w:cs="Times New Roman"/>
                <w:sz w:val="24"/>
                <w:szCs w:val="24"/>
              </w:rPr>
              <w:t>名称</w:t>
            </w:r>
          </w:p>
        </w:tc>
        <w:tc>
          <w:tcPr>
            <w:tcW w:w="402" w:type="pct"/>
            <w:vAlign w:val="center"/>
          </w:tcPr>
          <w:p w14:paraId="78FC098F">
            <w:pPr>
              <w:spacing w:after="160"/>
              <w:jc w:val="center"/>
              <w:rPr>
                <w:rFonts w:ascii="仿宋" w:hAnsi="仿宋" w:eastAsia="仿宋" w:cs="Times New Roman"/>
                <w:sz w:val="24"/>
                <w:szCs w:val="24"/>
              </w:rPr>
            </w:pPr>
            <w:r>
              <w:rPr>
                <w:rFonts w:hint="eastAsia" w:ascii="仿宋" w:hAnsi="仿宋" w:eastAsia="仿宋" w:cs="Times New Roman"/>
                <w:sz w:val="24"/>
                <w:szCs w:val="24"/>
              </w:rPr>
              <w:t>所属行业</w:t>
            </w:r>
          </w:p>
        </w:tc>
        <w:tc>
          <w:tcPr>
            <w:tcW w:w="481" w:type="pct"/>
            <w:vAlign w:val="center"/>
          </w:tcPr>
          <w:p w14:paraId="78079D1F">
            <w:pPr>
              <w:spacing w:after="160"/>
              <w:jc w:val="center"/>
              <w:rPr>
                <w:rFonts w:ascii="仿宋" w:hAnsi="仿宋" w:eastAsia="仿宋" w:cs="Times New Roman"/>
                <w:sz w:val="24"/>
                <w:szCs w:val="24"/>
              </w:rPr>
            </w:pPr>
            <w:r>
              <w:rPr>
                <w:rFonts w:ascii="仿宋" w:hAnsi="仿宋" w:eastAsia="仿宋" w:cs="Times New Roman"/>
                <w:b/>
                <w:bCs/>
                <w:sz w:val="24"/>
                <w:szCs w:val="24"/>
              </w:rPr>
              <w:t>*</w:t>
            </w:r>
            <w:r>
              <w:rPr>
                <w:rFonts w:hint="eastAsia" w:ascii="仿宋" w:hAnsi="仿宋" w:eastAsia="仿宋" w:cs="Times New Roman"/>
                <w:b/>
                <w:bCs/>
                <w:sz w:val="24"/>
                <w:szCs w:val="24"/>
              </w:rPr>
              <w:t>数量</w:t>
            </w:r>
          </w:p>
        </w:tc>
        <w:tc>
          <w:tcPr>
            <w:tcW w:w="530" w:type="pct"/>
            <w:vAlign w:val="center"/>
          </w:tcPr>
          <w:p w14:paraId="572396EF">
            <w:pPr>
              <w:spacing w:after="160"/>
              <w:jc w:val="center"/>
              <w:rPr>
                <w:rFonts w:hint="eastAsia" w:ascii="仿宋" w:hAnsi="仿宋" w:eastAsia="仿宋" w:cs="Times New Roman"/>
                <w:sz w:val="24"/>
                <w:szCs w:val="24"/>
              </w:rPr>
            </w:pPr>
            <w:r>
              <w:rPr>
                <w:rFonts w:hint="eastAsia" w:ascii="仿宋" w:hAnsi="仿宋" w:eastAsia="仿宋" w:cs="Times New Roman"/>
                <w:sz w:val="24"/>
                <w:szCs w:val="24"/>
              </w:rPr>
              <w:t>最高限价（万元）</w:t>
            </w:r>
          </w:p>
        </w:tc>
        <w:tc>
          <w:tcPr>
            <w:tcW w:w="620" w:type="pct"/>
            <w:vAlign w:val="center"/>
          </w:tcPr>
          <w:p w14:paraId="0B624597">
            <w:pPr>
              <w:spacing w:after="160"/>
              <w:jc w:val="center"/>
              <w:rPr>
                <w:rFonts w:ascii="仿宋" w:hAnsi="仿宋" w:eastAsia="仿宋" w:cs="Times New Roman"/>
                <w:sz w:val="24"/>
                <w:szCs w:val="24"/>
              </w:rPr>
            </w:pPr>
            <w:r>
              <w:rPr>
                <w:rFonts w:ascii="仿宋" w:hAnsi="仿宋" w:eastAsia="仿宋" w:cs="Times New Roman"/>
                <w:sz w:val="24"/>
                <w:szCs w:val="24"/>
              </w:rPr>
              <w:t>是否属于优先采购节能产品</w:t>
            </w:r>
          </w:p>
        </w:tc>
        <w:tc>
          <w:tcPr>
            <w:tcW w:w="552" w:type="pct"/>
            <w:vAlign w:val="center"/>
          </w:tcPr>
          <w:p w14:paraId="54146182">
            <w:pPr>
              <w:spacing w:after="160"/>
              <w:jc w:val="center"/>
              <w:rPr>
                <w:rFonts w:ascii="仿宋" w:hAnsi="仿宋" w:eastAsia="仿宋" w:cs="Times New Roman"/>
                <w:sz w:val="24"/>
                <w:szCs w:val="24"/>
              </w:rPr>
            </w:pPr>
            <w:r>
              <w:rPr>
                <w:rFonts w:hint="eastAsia" w:ascii="仿宋" w:hAnsi="仿宋" w:eastAsia="仿宋" w:cs="Times New Roman"/>
                <w:sz w:val="24"/>
                <w:szCs w:val="24"/>
              </w:rPr>
              <w:t>是否属于强制采购节能产品</w:t>
            </w:r>
          </w:p>
        </w:tc>
        <w:tc>
          <w:tcPr>
            <w:tcW w:w="662" w:type="pct"/>
            <w:vAlign w:val="center"/>
          </w:tcPr>
          <w:p w14:paraId="2CEDA626">
            <w:pPr>
              <w:spacing w:after="160"/>
              <w:jc w:val="center"/>
              <w:rPr>
                <w:rFonts w:ascii="仿宋" w:hAnsi="仿宋" w:eastAsia="仿宋" w:cs="Times New Roman"/>
                <w:sz w:val="24"/>
                <w:szCs w:val="24"/>
              </w:rPr>
            </w:pPr>
            <w:r>
              <w:rPr>
                <w:rFonts w:hint="eastAsia" w:ascii="仿宋" w:hAnsi="仿宋" w:eastAsia="仿宋" w:cs="Times New Roman"/>
                <w:sz w:val="24"/>
                <w:szCs w:val="24"/>
              </w:rPr>
              <w:t>是否属于优先采购环境标志产品</w:t>
            </w:r>
          </w:p>
        </w:tc>
      </w:tr>
      <w:tr w14:paraId="7EF9C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480" w:type="pct"/>
            <w:vAlign w:val="center"/>
          </w:tcPr>
          <w:p w14:paraId="4298A3EB">
            <w:pPr>
              <w:spacing w:after="160"/>
              <w:jc w:val="center"/>
              <w:rPr>
                <w:rFonts w:ascii="仿宋" w:hAnsi="仿宋" w:eastAsia="仿宋" w:cs="Times New Roman"/>
                <w:sz w:val="24"/>
                <w:szCs w:val="24"/>
              </w:rPr>
            </w:pPr>
            <w:r>
              <w:rPr>
                <w:rFonts w:ascii="仿宋" w:hAnsi="仿宋" w:eastAsia="仿宋" w:cs="Times New Roman"/>
                <w:sz w:val="24"/>
                <w:szCs w:val="24"/>
              </w:rPr>
              <w:t>01</w:t>
            </w:r>
          </w:p>
        </w:tc>
        <w:tc>
          <w:tcPr>
            <w:tcW w:w="1272" w:type="pct"/>
            <w:vAlign w:val="center"/>
          </w:tcPr>
          <w:p w14:paraId="74D55445">
            <w:pPr>
              <w:spacing w:after="160"/>
              <w:jc w:val="center"/>
              <w:rPr>
                <w:rFonts w:hint="eastAsia" w:ascii="仿宋" w:hAnsi="仿宋" w:eastAsia="仿宋" w:cs="Times New Roman"/>
                <w:sz w:val="24"/>
                <w:szCs w:val="24"/>
              </w:rPr>
            </w:pPr>
            <w:r>
              <w:rPr>
                <w:rFonts w:hint="eastAsia" w:ascii="仿宋" w:hAnsi="仿宋" w:eastAsia="仿宋" w:cs="Times New Roman"/>
                <w:sz w:val="24"/>
                <w:szCs w:val="24"/>
              </w:rPr>
              <w:t>共聚焦显微镜</w:t>
            </w:r>
          </w:p>
        </w:tc>
        <w:tc>
          <w:tcPr>
            <w:tcW w:w="402" w:type="pct"/>
            <w:vAlign w:val="center"/>
          </w:tcPr>
          <w:p w14:paraId="370EDC78">
            <w:pPr>
              <w:spacing w:after="160"/>
              <w:jc w:val="center"/>
              <w:rPr>
                <w:rFonts w:hint="eastAsia" w:ascii="仿宋" w:hAnsi="仿宋" w:eastAsia="仿宋" w:cs="Times New Roman"/>
                <w:sz w:val="24"/>
                <w:szCs w:val="24"/>
              </w:rPr>
            </w:pPr>
            <w:r>
              <w:rPr>
                <w:rFonts w:hint="eastAsia" w:ascii="仿宋" w:hAnsi="仿宋" w:eastAsia="仿宋" w:cs="Times New Roman"/>
                <w:sz w:val="24"/>
                <w:szCs w:val="24"/>
              </w:rPr>
              <w:t>工业</w:t>
            </w:r>
          </w:p>
        </w:tc>
        <w:tc>
          <w:tcPr>
            <w:tcW w:w="481" w:type="pct"/>
            <w:vAlign w:val="center"/>
          </w:tcPr>
          <w:p w14:paraId="502CB5BE">
            <w:pPr>
              <w:spacing w:after="160"/>
              <w:jc w:val="center"/>
              <w:rPr>
                <w:rFonts w:ascii="仿宋" w:hAnsi="仿宋" w:eastAsia="仿宋" w:cs="Times New Roman"/>
                <w:sz w:val="24"/>
                <w:szCs w:val="24"/>
              </w:rPr>
            </w:pPr>
            <w:r>
              <w:rPr>
                <w:rFonts w:ascii="仿宋" w:hAnsi="仿宋" w:eastAsia="仿宋" w:cs="Times New Roman"/>
                <w:sz w:val="24"/>
                <w:szCs w:val="24"/>
              </w:rPr>
              <w:t>1</w:t>
            </w:r>
            <w:r>
              <w:rPr>
                <w:rFonts w:hint="eastAsia" w:ascii="仿宋" w:hAnsi="仿宋" w:eastAsia="仿宋" w:cs="Times New Roman"/>
                <w:sz w:val="24"/>
                <w:szCs w:val="24"/>
              </w:rPr>
              <w:t>套</w:t>
            </w:r>
          </w:p>
        </w:tc>
        <w:tc>
          <w:tcPr>
            <w:tcW w:w="530" w:type="pct"/>
            <w:vAlign w:val="center"/>
          </w:tcPr>
          <w:p w14:paraId="5E45252B">
            <w:pPr>
              <w:spacing w:after="160"/>
              <w:jc w:val="center"/>
              <w:rPr>
                <w:rFonts w:hint="eastAsia" w:ascii="仿宋" w:hAnsi="仿宋" w:eastAsia="仿宋" w:cs="宋体"/>
                <w:sz w:val="24"/>
                <w:szCs w:val="24"/>
              </w:rPr>
            </w:pPr>
            <w:r>
              <w:rPr>
                <w:rFonts w:ascii="仿宋" w:hAnsi="仿宋" w:eastAsia="仿宋" w:cs="宋体"/>
                <w:sz w:val="24"/>
                <w:szCs w:val="24"/>
              </w:rPr>
              <w:t>150万元</w:t>
            </w:r>
          </w:p>
        </w:tc>
        <w:tc>
          <w:tcPr>
            <w:tcW w:w="620" w:type="pct"/>
            <w:vAlign w:val="center"/>
          </w:tcPr>
          <w:p w14:paraId="1DAFD916">
            <w:pPr>
              <w:spacing w:after="160"/>
              <w:jc w:val="center"/>
              <w:rPr>
                <w:rFonts w:ascii="仿宋" w:hAnsi="仿宋" w:eastAsia="仿宋" w:cs="Times New Roman"/>
                <w:bCs/>
                <w:sz w:val="24"/>
                <w:szCs w:val="24"/>
              </w:rPr>
            </w:pPr>
            <w:r>
              <w:rPr>
                <w:rFonts w:hint="eastAsia" w:ascii="仿宋" w:hAnsi="仿宋" w:eastAsia="仿宋" w:cs="宋体"/>
                <w:sz w:val="24"/>
                <w:szCs w:val="24"/>
              </w:rPr>
              <w:t>否</w:t>
            </w:r>
          </w:p>
        </w:tc>
        <w:tc>
          <w:tcPr>
            <w:tcW w:w="552" w:type="pct"/>
            <w:vAlign w:val="center"/>
          </w:tcPr>
          <w:p w14:paraId="7E27DB22">
            <w:pPr>
              <w:spacing w:after="160"/>
              <w:jc w:val="center"/>
              <w:rPr>
                <w:rFonts w:ascii="仿宋" w:hAnsi="仿宋" w:eastAsia="仿宋" w:cs="Times New Roman"/>
                <w:bCs/>
                <w:sz w:val="24"/>
                <w:szCs w:val="24"/>
              </w:rPr>
            </w:pPr>
            <w:r>
              <w:rPr>
                <w:rFonts w:hint="eastAsia" w:ascii="仿宋" w:hAnsi="仿宋" w:eastAsia="仿宋" w:cs="宋体"/>
                <w:sz w:val="24"/>
                <w:szCs w:val="24"/>
              </w:rPr>
              <w:t>否</w:t>
            </w:r>
          </w:p>
        </w:tc>
        <w:tc>
          <w:tcPr>
            <w:tcW w:w="662" w:type="pct"/>
            <w:vAlign w:val="center"/>
          </w:tcPr>
          <w:p w14:paraId="5A0EA5C1">
            <w:pPr>
              <w:spacing w:after="160"/>
              <w:jc w:val="center"/>
              <w:rPr>
                <w:rFonts w:ascii="仿宋" w:hAnsi="仿宋" w:eastAsia="仿宋" w:cs="Times New Roman"/>
                <w:bCs/>
                <w:sz w:val="24"/>
                <w:szCs w:val="24"/>
              </w:rPr>
            </w:pPr>
            <w:r>
              <w:rPr>
                <w:rFonts w:hint="eastAsia" w:ascii="仿宋" w:hAnsi="仿宋" w:eastAsia="仿宋" w:cs="宋体"/>
                <w:sz w:val="24"/>
                <w:szCs w:val="24"/>
              </w:rPr>
              <w:t>否</w:t>
            </w:r>
          </w:p>
        </w:tc>
      </w:tr>
    </w:tbl>
    <w:p w14:paraId="4F64E3DC">
      <w:pPr>
        <w:keepNext/>
        <w:keepLines/>
        <w:spacing w:before="260" w:after="260" w:line="400" w:lineRule="exact"/>
        <w:outlineLvl w:val="1"/>
        <w:rPr>
          <w:rFonts w:ascii="仿宋" w:hAnsi="仿宋" w:eastAsia="仿宋" w:cs="Times New Roman"/>
          <w:b/>
          <w:bCs/>
          <w:sz w:val="24"/>
          <w:szCs w:val="24"/>
        </w:rPr>
      </w:pPr>
      <w:r>
        <w:rPr>
          <w:rFonts w:hint="eastAsia" w:ascii="仿宋" w:hAnsi="仿宋" w:eastAsia="仿宋" w:cs="Times New Roman"/>
          <w:b/>
          <w:bCs/>
          <w:sz w:val="24"/>
          <w:szCs w:val="24"/>
        </w:rPr>
        <w:t>二、商务要求</w:t>
      </w:r>
    </w:p>
    <w:p w14:paraId="6C86568C">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*1. 履约时间和地点</w:t>
      </w:r>
    </w:p>
    <w:p w14:paraId="78B31AB6">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1.1 履约时间：合同签定后，在接到采购人正式通知之日起的</w:t>
      </w:r>
      <w:r>
        <w:rPr>
          <w:rFonts w:ascii="仿宋" w:hAnsi="仿宋" w:eastAsia="仿宋" w:cs="宋体"/>
          <w:sz w:val="24"/>
          <w:szCs w:val="24"/>
        </w:rPr>
        <w:t>90</w:t>
      </w:r>
      <w:r>
        <w:rPr>
          <w:rFonts w:hint="eastAsia" w:ascii="仿宋" w:hAnsi="仿宋" w:eastAsia="仿宋" w:cs="宋体"/>
          <w:sz w:val="24"/>
          <w:szCs w:val="24"/>
        </w:rPr>
        <w:t>天内。</w:t>
      </w:r>
    </w:p>
    <w:p w14:paraId="0A14C104">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1.2 履约地点:四川大学华西医院</w:t>
      </w:r>
    </w:p>
    <w:p w14:paraId="593D6488">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*2．付款方法和条件:合同签订生效后，货物全部验收合格后收到供应商发票后10个工作日内支付合同总金额的100%。</w:t>
      </w:r>
    </w:p>
    <w:p w14:paraId="2346AA72">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3.安装调试及培训</w:t>
      </w:r>
    </w:p>
    <w:p w14:paraId="6905A69C">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*3.1货物到达安装现场后，供应商接到采购人通知后7日内到达现场组织安装、调试，达到正常运行要求，保证采购人正常使用。所需的费用包括在投标总价格中。</w:t>
      </w:r>
    </w:p>
    <w:p w14:paraId="18D5AEA7">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3.2供应商安排技术人员应就设备的安装、调试、操作、维修、保养等对采购人维修技术人员进行培训和技术支持,直至采购人的技术人员能独立操作，同时能完成一般常见故障的维修工作。</w:t>
      </w:r>
    </w:p>
    <w:p w14:paraId="5899F96F">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w:t>
      </w:r>
      <w:r>
        <w:rPr>
          <w:rFonts w:ascii="仿宋" w:hAnsi="仿宋" w:eastAsia="仿宋" w:cs="宋体"/>
          <w:sz w:val="24"/>
          <w:szCs w:val="24"/>
        </w:rPr>
        <w:t>4</w:t>
      </w:r>
      <w:r>
        <w:rPr>
          <w:rFonts w:hint="eastAsia" w:ascii="仿宋" w:hAnsi="仿宋" w:eastAsia="仿宋" w:cs="宋体"/>
          <w:sz w:val="24"/>
          <w:szCs w:val="24"/>
        </w:rPr>
        <w:t>.履约验收</w:t>
      </w:r>
    </w:p>
    <w:p w14:paraId="2602FD14">
      <w:pPr>
        <w:snapToGrid w:val="0"/>
        <w:spacing w:line="360" w:lineRule="auto"/>
        <w:ind w:firstLine="240" w:firstLineChars="100"/>
        <w:jc w:val="left"/>
        <w:rPr>
          <w:rFonts w:hint="eastAsia" w:ascii="仿宋" w:hAnsi="仿宋" w:eastAsia="仿宋" w:cs="宋体"/>
          <w:sz w:val="24"/>
          <w:szCs w:val="24"/>
        </w:rPr>
      </w:pPr>
      <w:r>
        <w:rPr>
          <w:rFonts w:ascii="仿宋" w:hAnsi="仿宋" w:eastAsia="仿宋" w:cs="宋体"/>
          <w:sz w:val="24"/>
          <w:szCs w:val="24"/>
        </w:rPr>
        <w:t>4</w:t>
      </w:r>
      <w:r>
        <w:rPr>
          <w:rFonts w:hint="eastAsia" w:ascii="仿宋" w:hAnsi="仿宋" w:eastAsia="仿宋" w:cs="宋体"/>
          <w:sz w:val="24"/>
          <w:szCs w:val="24"/>
        </w:rPr>
        <w:t>.1履约验收主体：四川大学华西医院</w:t>
      </w:r>
    </w:p>
    <w:p w14:paraId="5BB3B55E">
      <w:pPr>
        <w:snapToGrid w:val="0"/>
        <w:spacing w:line="360" w:lineRule="auto"/>
        <w:ind w:firstLine="240" w:firstLineChars="100"/>
        <w:jc w:val="left"/>
        <w:rPr>
          <w:rFonts w:hint="eastAsia" w:ascii="仿宋" w:hAnsi="仿宋" w:eastAsia="仿宋" w:cs="宋体"/>
          <w:sz w:val="24"/>
          <w:szCs w:val="24"/>
        </w:rPr>
      </w:pPr>
      <w:r>
        <w:rPr>
          <w:rFonts w:ascii="仿宋" w:hAnsi="仿宋" w:eastAsia="仿宋" w:cs="宋体"/>
          <w:sz w:val="24"/>
          <w:szCs w:val="24"/>
        </w:rPr>
        <w:t>4</w:t>
      </w:r>
      <w:r>
        <w:rPr>
          <w:rFonts w:hint="eastAsia" w:ascii="仿宋" w:hAnsi="仿宋" w:eastAsia="仿宋" w:cs="宋体"/>
          <w:sz w:val="24"/>
          <w:szCs w:val="24"/>
        </w:rPr>
        <w:t>.2履约验收程序：一次性验收</w:t>
      </w:r>
    </w:p>
    <w:p w14:paraId="1841AD78">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4.</w:t>
      </w:r>
      <w:r>
        <w:rPr>
          <w:rFonts w:ascii="仿宋" w:hAnsi="仿宋" w:eastAsia="仿宋" w:cs="宋体"/>
          <w:sz w:val="24"/>
          <w:szCs w:val="24"/>
        </w:rPr>
        <w:t>3</w:t>
      </w:r>
      <w:r>
        <w:rPr>
          <w:rFonts w:hint="eastAsia" w:ascii="仿宋" w:hAnsi="仿宋" w:eastAsia="仿宋" w:cs="宋体"/>
          <w:sz w:val="24"/>
          <w:szCs w:val="24"/>
        </w:rPr>
        <w:t>验收方法：验收时采购人、供应商双方皆应派员参加，验收合格后需双方签署验收单；</w:t>
      </w:r>
    </w:p>
    <w:p w14:paraId="2AA891A9">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4.</w:t>
      </w:r>
      <w:r>
        <w:rPr>
          <w:rFonts w:ascii="仿宋" w:hAnsi="仿宋" w:eastAsia="仿宋" w:cs="宋体"/>
          <w:sz w:val="24"/>
          <w:szCs w:val="24"/>
        </w:rPr>
        <w:t>4</w:t>
      </w:r>
      <w:r>
        <w:rPr>
          <w:rFonts w:hint="eastAsia" w:ascii="仿宋" w:hAnsi="仿宋" w:eastAsia="仿宋" w:cs="宋体"/>
          <w:sz w:val="24"/>
          <w:szCs w:val="24"/>
        </w:rPr>
        <w:t>验收标准及内容：以中标人投标文件技术参数及合同要求和相关行业标准进行验收。</w:t>
      </w:r>
    </w:p>
    <w:p w14:paraId="1FE8DBA9">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4.</w:t>
      </w:r>
      <w:r>
        <w:rPr>
          <w:rFonts w:ascii="仿宋" w:hAnsi="仿宋" w:eastAsia="仿宋" w:cs="宋体"/>
          <w:sz w:val="24"/>
          <w:szCs w:val="24"/>
        </w:rPr>
        <w:t>5</w:t>
      </w:r>
      <w:r>
        <w:rPr>
          <w:rFonts w:hint="eastAsia" w:ascii="仿宋" w:hAnsi="仿宋" w:eastAsia="仿宋" w:cs="宋体"/>
          <w:sz w:val="24"/>
          <w:szCs w:val="24"/>
        </w:rPr>
        <w:t>验收时间要求：中标人按照合同要求完成全部工作后，采购人在收到中标人书面的验收申请材料后30日内组织履约验收工作。</w:t>
      </w:r>
    </w:p>
    <w:p w14:paraId="433F9F03">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4.</w:t>
      </w:r>
      <w:r>
        <w:rPr>
          <w:rFonts w:ascii="仿宋" w:hAnsi="仿宋" w:eastAsia="仿宋" w:cs="宋体"/>
          <w:sz w:val="24"/>
          <w:szCs w:val="24"/>
        </w:rPr>
        <w:t>6</w:t>
      </w:r>
      <w:r>
        <w:rPr>
          <w:rFonts w:hint="eastAsia" w:ascii="仿宋" w:hAnsi="仿宋" w:eastAsia="仿宋" w:cs="宋体"/>
          <w:sz w:val="24"/>
          <w:szCs w:val="24"/>
        </w:rPr>
        <w:t>其他要求：验收不合格时，采购人和中标人应协商一致，中标人应根据相关验收证明材料及时补足或更换，费用由中标人自行承担。</w:t>
      </w:r>
    </w:p>
    <w:p w14:paraId="7AC40DE7">
      <w:pPr>
        <w:snapToGrid w:val="0"/>
        <w:spacing w:line="360" w:lineRule="auto"/>
        <w:ind w:firstLine="240" w:firstLineChars="100"/>
        <w:jc w:val="left"/>
        <w:rPr>
          <w:rFonts w:hint="eastAsia" w:ascii="仿宋" w:hAnsi="仿宋" w:eastAsia="仿宋" w:cs="宋体"/>
          <w:sz w:val="24"/>
          <w:szCs w:val="24"/>
        </w:rPr>
      </w:pPr>
      <w:r>
        <w:rPr>
          <w:rFonts w:ascii="仿宋" w:hAnsi="仿宋" w:eastAsia="仿宋" w:cs="宋体"/>
          <w:sz w:val="24"/>
          <w:szCs w:val="24"/>
        </w:rPr>
        <w:t>5</w:t>
      </w:r>
      <w:r>
        <w:rPr>
          <w:rFonts w:hint="eastAsia" w:ascii="仿宋" w:hAnsi="仿宋" w:eastAsia="仿宋" w:cs="宋体"/>
          <w:sz w:val="24"/>
          <w:szCs w:val="24"/>
        </w:rPr>
        <w:t>.售后服务</w:t>
      </w:r>
    </w:p>
    <w:p w14:paraId="4E5652A0">
      <w:pPr>
        <w:snapToGrid w:val="0"/>
        <w:spacing w:line="360" w:lineRule="auto"/>
        <w:ind w:firstLine="240" w:firstLineChars="100"/>
        <w:jc w:val="left"/>
        <w:rPr>
          <w:rFonts w:hint="eastAsia" w:ascii="仿宋" w:hAnsi="仿宋" w:eastAsia="仿宋" w:cs="宋体"/>
          <w:sz w:val="24"/>
          <w:szCs w:val="24"/>
        </w:rPr>
      </w:pPr>
      <w:r>
        <w:rPr>
          <w:rFonts w:ascii="仿宋" w:hAnsi="仿宋" w:eastAsia="仿宋" w:cs="宋体"/>
          <w:sz w:val="24"/>
          <w:szCs w:val="24"/>
        </w:rPr>
        <w:t>5</w:t>
      </w:r>
      <w:r>
        <w:rPr>
          <w:rFonts w:hint="eastAsia" w:ascii="仿宋" w:hAnsi="仿宋" w:eastAsia="仿宋" w:cs="宋体"/>
          <w:sz w:val="24"/>
          <w:szCs w:val="24"/>
        </w:rPr>
        <w:t>.1维修响应要求</w:t>
      </w:r>
    </w:p>
    <w:p w14:paraId="60AC99C4">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（1）维修响应时间要求：应在接到采购人维修通知的前提下</w:t>
      </w:r>
      <w:r>
        <w:rPr>
          <w:rFonts w:ascii="仿宋" w:hAnsi="仿宋" w:eastAsia="仿宋" w:cs="宋体"/>
          <w:sz w:val="24"/>
          <w:szCs w:val="24"/>
        </w:rPr>
        <w:t>2</w:t>
      </w:r>
      <w:r>
        <w:rPr>
          <w:rFonts w:hint="eastAsia" w:ascii="仿宋" w:hAnsi="仿宋" w:eastAsia="仿宋" w:cs="宋体"/>
          <w:sz w:val="24"/>
          <w:szCs w:val="24"/>
        </w:rPr>
        <w:t>个小时内作出维修响应；</w:t>
      </w:r>
    </w:p>
    <w:p w14:paraId="5893E5A5">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（2）维修时间要求：作出维修响应后，应在3小时内电话解决问题，如电话不能解决问题，则维修人员应在24小时之内到达现场（含节假日）进行维修。</w:t>
      </w:r>
    </w:p>
    <w:p w14:paraId="3CDDC4EE">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（3）如设备需返厂维修，维修期间须提供备用样机。</w:t>
      </w:r>
    </w:p>
    <w:p w14:paraId="22D8BE12">
      <w:pPr>
        <w:snapToGrid w:val="0"/>
        <w:spacing w:line="360" w:lineRule="auto"/>
        <w:ind w:firstLine="240" w:firstLineChars="100"/>
        <w:jc w:val="left"/>
        <w:rPr>
          <w:rFonts w:hint="eastAsia" w:ascii="仿宋" w:hAnsi="仿宋" w:eastAsia="仿宋" w:cs="宋体"/>
          <w:sz w:val="24"/>
          <w:szCs w:val="24"/>
        </w:rPr>
      </w:pPr>
      <w:r>
        <w:rPr>
          <w:rFonts w:ascii="仿宋" w:hAnsi="仿宋" w:eastAsia="仿宋" w:cs="宋体"/>
          <w:sz w:val="24"/>
          <w:szCs w:val="24"/>
        </w:rPr>
        <w:t>*5</w:t>
      </w:r>
      <w:r>
        <w:rPr>
          <w:rFonts w:hint="eastAsia" w:ascii="仿宋" w:hAnsi="仿宋" w:eastAsia="仿宋" w:cs="宋体"/>
          <w:sz w:val="24"/>
          <w:szCs w:val="24"/>
        </w:rPr>
        <w:t>.2质保要求</w:t>
      </w:r>
    </w:p>
    <w:p w14:paraId="700089AF">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（1）以验收合格之日起算，质保期≥</w:t>
      </w:r>
      <w:r>
        <w:rPr>
          <w:rFonts w:ascii="仿宋" w:hAnsi="仿宋" w:eastAsia="仿宋" w:cs="宋体"/>
          <w:sz w:val="24"/>
          <w:szCs w:val="24"/>
        </w:rPr>
        <w:t>3</w:t>
      </w:r>
      <w:r>
        <w:rPr>
          <w:rFonts w:hint="eastAsia" w:ascii="仿宋" w:hAnsi="仿宋" w:eastAsia="仿宋" w:cs="宋体"/>
          <w:sz w:val="24"/>
          <w:szCs w:val="24"/>
        </w:rPr>
        <w:t>年。质保期后，供应商终生提供及时的维修、维护，维修只收取材料成本费。每台设备全包年保修费用不超过设备成交价的5%。</w:t>
      </w:r>
    </w:p>
    <w:p w14:paraId="5FAEF3E9">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（2）质保期内供应商应负责设备的维修及抢修以及及时提供所更换的零部件，维修更换的材料和配件以及供应商技术服务人员的一切费用由供应商承担。</w:t>
      </w:r>
    </w:p>
    <w:p w14:paraId="55D01CDE">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5.3投标文件中提供所投设备涉及的相关耗材、易损件、零配件的参考报价。</w:t>
      </w:r>
    </w:p>
    <w:p w14:paraId="2BF047B7">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5.4供应商应提供所投产品全套书面和电子版的设备原理、操作及维护培训资料。</w:t>
      </w:r>
    </w:p>
    <w:p w14:paraId="3BFC13DE">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5.5供应商应定期进行回访，解决设备运行当中可能出现的疑问，排除潜在的故障，使设备保持正常的工作状态。</w:t>
      </w:r>
    </w:p>
    <w:p w14:paraId="50930410">
      <w:pPr>
        <w:snapToGrid w:val="0"/>
        <w:spacing w:line="360" w:lineRule="auto"/>
        <w:ind w:firstLine="240" w:firstLineChars="100"/>
        <w:jc w:val="left"/>
        <w:rPr>
          <w:rFonts w:hint="eastAsia" w:ascii="仿宋" w:hAnsi="仿宋" w:eastAsia="仿宋" w:cs="宋体"/>
          <w:sz w:val="24"/>
          <w:szCs w:val="24"/>
        </w:rPr>
      </w:pPr>
      <w:r>
        <w:rPr>
          <w:rFonts w:hint="eastAsia" w:ascii="仿宋" w:hAnsi="仿宋" w:eastAsia="仿宋" w:cs="宋体"/>
          <w:sz w:val="24"/>
          <w:szCs w:val="24"/>
        </w:rPr>
        <w:t>5.6供应商应保证十年内能采购到所供货物的相关配件，并保证以不高于市场的价格提供优质的零配件。</w:t>
      </w:r>
    </w:p>
    <w:p w14:paraId="330FC08A">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宋体"/>
          <w:sz w:val="24"/>
          <w:szCs w:val="24"/>
        </w:rPr>
        <w:t>*</w:t>
      </w:r>
      <w:r>
        <w:rPr>
          <w:rFonts w:ascii="仿宋" w:hAnsi="仿宋" w:eastAsia="仿宋" w:cs="宋体"/>
          <w:sz w:val="24"/>
          <w:szCs w:val="24"/>
        </w:rPr>
        <w:t>6</w:t>
      </w:r>
      <w:r>
        <w:rPr>
          <w:rFonts w:hint="eastAsia" w:ascii="仿宋" w:hAnsi="仿宋" w:eastAsia="仿宋" w:cs="宋体"/>
          <w:sz w:val="24"/>
          <w:szCs w:val="24"/>
        </w:rPr>
        <w:t>. 所投产品涉及商品包装和快递包装的，应严格按照《商品包装政府采购需求标准(试行)》、《快递包装政府采购需求标准(试行)》(财办库〔2020〕123 号)的要求进行产品及相关快递服务的包装。</w:t>
      </w:r>
    </w:p>
    <w:p w14:paraId="7E5A4918">
      <w:pPr>
        <w:keepNext/>
        <w:keepLines/>
        <w:tabs>
          <w:tab w:val="left" w:pos="7109"/>
        </w:tabs>
        <w:spacing w:before="260" w:after="260" w:line="400" w:lineRule="exact"/>
        <w:ind w:firstLine="236" w:firstLineChars="98"/>
        <w:outlineLvl w:val="1"/>
        <w:rPr>
          <w:rFonts w:ascii="仿宋" w:hAnsi="仿宋" w:eastAsia="仿宋" w:cs="宋体"/>
          <w:b/>
          <w:bCs/>
          <w:sz w:val="24"/>
          <w:szCs w:val="32"/>
        </w:rPr>
      </w:pPr>
      <w:r>
        <w:rPr>
          <w:rFonts w:hint="eastAsia" w:ascii="仿宋" w:hAnsi="仿宋" w:eastAsia="仿宋" w:cs="Times New Roman"/>
          <w:b/>
          <w:bCs/>
          <w:sz w:val="24"/>
          <w:szCs w:val="24"/>
        </w:rPr>
        <w:t>三、技术、服务要求</w:t>
      </w:r>
      <w:bookmarkEnd w:id="1"/>
      <w:r>
        <w:rPr>
          <w:rFonts w:hint="eastAsia" w:ascii="仿宋" w:hAnsi="仿宋" w:eastAsia="仿宋" w:cs="Times New Roman"/>
          <w:b/>
          <w:bCs/>
          <w:sz w:val="24"/>
          <w:szCs w:val="24"/>
        </w:rPr>
        <w:t>（</w:t>
      </w:r>
      <w:r>
        <w:rPr>
          <w:rFonts w:hint="eastAsia" w:ascii="仿宋" w:hAnsi="仿宋" w:eastAsia="仿宋" w:cs="宋体"/>
          <w:b/>
          <w:bCs/>
          <w:sz w:val="24"/>
          <w:szCs w:val="32"/>
        </w:rPr>
        <w:t>单套设备技术参数要求）</w:t>
      </w:r>
    </w:p>
    <w:p w14:paraId="68B30B30">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（一）工作环境</w:t>
      </w:r>
    </w:p>
    <w:p w14:paraId="37C118D0">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1.电源220V±10%；50Hz±1%，环境温度5℃-40℃，环境相对湿度15-80%</w:t>
      </w:r>
    </w:p>
    <w:p w14:paraId="05E1BE61">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2.其它：防尘，除湿，抗震动</w:t>
      </w:r>
    </w:p>
    <w:p w14:paraId="40514869">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3.电源插头符合中国制式，或提供转接插座</w:t>
      </w:r>
    </w:p>
    <w:p w14:paraId="0953AE54">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（二）技术参数指标</w:t>
      </w:r>
    </w:p>
    <w:p w14:paraId="6A53793F">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1.激光光源，谱线及输出功率满足以下标准，谱线误差2nm以内:不少于四个激光器：至少包括405nm、488nm、561nm、640nm。</w:t>
      </w:r>
    </w:p>
    <w:p w14:paraId="1F5F5096">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2.共聚焦扫描检测系统</w:t>
      </w:r>
    </w:p>
    <w:p w14:paraId="26A35725">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2.1扫描系统和检测系统一体化集成设计。</w:t>
      </w:r>
    </w:p>
    <w:p w14:paraId="6352F94F">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2.2配置不少于四个荧光检测器。</w:t>
      </w:r>
    </w:p>
    <w:p w14:paraId="013347DC">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2.3★透射型光栅分光系统，任何一个荧光检测通道都可执行光谱扫描、光谱检测和光谱拆分功能，并且任意多个荧光检测通道都可同时进行以上功能。</w:t>
      </w:r>
    </w:p>
    <w:p w14:paraId="27587593">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2.4光谱分辨率：≤2nm</w:t>
      </w:r>
    </w:p>
    <w:p w14:paraId="07A35A27">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2.5光谱最小调节步进：≤1nm</w:t>
      </w:r>
    </w:p>
    <w:p w14:paraId="20C64FAB">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2.6</w:t>
      </w:r>
      <w:r>
        <w:rPr>
          <w:rFonts w:ascii="仿宋" w:hAnsi="仿宋" w:eastAsia="仿宋" w:cs="Times New Roman"/>
          <w:sz w:val="24"/>
          <w:szCs w:val="20"/>
        </w:rPr>
        <w:t xml:space="preserve"> </w:t>
      </w:r>
      <w:r>
        <w:rPr>
          <w:rFonts w:hint="eastAsia" w:ascii="仿宋" w:hAnsi="仿宋" w:eastAsia="仿宋" w:cs="Times New Roman"/>
          <w:sz w:val="24"/>
          <w:szCs w:val="20"/>
        </w:rPr>
        <w:t>XY独立双扫描振镜，均为高反射率的抗氧化银镀膜</w:t>
      </w:r>
    </w:p>
    <w:p w14:paraId="72EB0582">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2.7★扫描速度：所有检测器可同时实现在≥512×512分辨率下≥11帧/秒的同步扫描；扫描模式：包括但不限于点扫描，矩形扫描，任意线/面扫描，任意图形区域扫描，Clip扫描，Zoom In 扫描，任意角度扫描，及X，Y，Z，T，λ任意结合或同时组合。</w:t>
      </w:r>
    </w:p>
    <w:p w14:paraId="3D3F3F21">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3.全自动倒置显微镜系统</w:t>
      </w:r>
    </w:p>
    <w:p w14:paraId="3E65B0A0">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3.1★光学系统：采用无限远校正光学系统，齐焦距离≤45mm；双层光路设计，机身闭环结构设计；</w:t>
      </w:r>
    </w:p>
    <w:p w14:paraId="5E35C995">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3.2电动控制Z轴，最小Z轴步进精度≤10nm；电动光路切转与调节，可通过电容式触摸屏控制器、软件、手动至少三种方式控制功能，至少包括Z轴、物镜转盘、聚光镜、激发块转盘切换。</w:t>
      </w:r>
    </w:p>
    <w:p w14:paraId="508342B4">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3.3★显微镜主机单层电动激发块转盘≥8孔；配置至少包含U、B、G荧光滤色片组；</w:t>
      </w:r>
    </w:p>
    <w:p w14:paraId="56A2CA9B">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3.4电动长工作距离万能聚光镜：具有≥7孔位，数值孔径N.A≥0.55，工作距离W.D≥27mm。</w:t>
      </w:r>
    </w:p>
    <w:p w14:paraId="3E4386A2">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3.5万能平场超级复消色差系列物镜，要求必须满足以下参数：</w:t>
      </w:r>
    </w:p>
    <w:p w14:paraId="3F90C506">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3.5.1</w:t>
      </w:r>
      <w:r>
        <w:rPr>
          <w:rFonts w:ascii="仿宋" w:hAnsi="仿宋" w:eastAsia="仿宋" w:cs="Times New Roman"/>
          <w:sz w:val="24"/>
          <w:szCs w:val="20"/>
        </w:rPr>
        <w:t xml:space="preserve"> </w:t>
      </w:r>
      <w:r>
        <w:rPr>
          <w:rFonts w:hint="eastAsia" w:ascii="仿宋" w:hAnsi="仿宋" w:eastAsia="仿宋" w:cs="Times New Roman"/>
          <w:sz w:val="24"/>
          <w:szCs w:val="20"/>
        </w:rPr>
        <w:t>10X，数值孔径≥0.40；视场数≥26</w:t>
      </w:r>
    </w:p>
    <w:p w14:paraId="2FE35EA8">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3.5.2</w:t>
      </w:r>
      <w:r>
        <w:rPr>
          <w:rFonts w:ascii="仿宋" w:hAnsi="仿宋" w:eastAsia="仿宋" w:cs="Times New Roman"/>
          <w:sz w:val="24"/>
          <w:szCs w:val="20"/>
        </w:rPr>
        <w:t xml:space="preserve"> </w:t>
      </w:r>
      <w:r>
        <w:rPr>
          <w:rFonts w:hint="eastAsia" w:ascii="仿宋" w:hAnsi="仿宋" w:eastAsia="仿宋" w:cs="Times New Roman"/>
          <w:sz w:val="24"/>
          <w:szCs w:val="20"/>
        </w:rPr>
        <w:t>20X，数值孔径≥0.8；视场数≥26</w:t>
      </w:r>
    </w:p>
    <w:p w14:paraId="40B326F4">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3.5.3</w:t>
      </w:r>
      <w:r>
        <w:rPr>
          <w:rFonts w:ascii="仿宋" w:hAnsi="仿宋" w:eastAsia="仿宋" w:cs="Times New Roman"/>
          <w:sz w:val="24"/>
          <w:szCs w:val="20"/>
        </w:rPr>
        <w:t xml:space="preserve"> </w:t>
      </w:r>
      <w:r>
        <w:rPr>
          <w:rFonts w:hint="eastAsia" w:ascii="仿宋" w:hAnsi="仿宋" w:eastAsia="仿宋" w:cs="Times New Roman"/>
          <w:sz w:val="24"/>
          <w:szCs w:val="20"/>
        </w:rPr>
        <w:t>40X，数值孔径≥0.95；视场数≥26</w:t>
      </w:r>
    </w:p>
    <w:p w14:paraId="33EA22E7">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3.5.4</w:t>
      </w:r>
      <w:r>
        <w:rPr>
          <w:rFonts w:ascii="仿宋" w:hAnsi="仿宋" w:eastAsia="仿宋" w:cs="Times New Roman"/>
          <w:sz w:val="24"/>
          <w:szCs w:val="20"/>
        </w:rPr>
        <w:t xml:space="preserve"> </w:t>
      </w:r>
      <w:r>
        <w:rPr>
          <w:rFonts w:hint="eastAsia" w:ascii="仿宋" w:hAnsi="仿宋" w:eastAsia="仿宋" w:cs="Times New Roman"/>
          <w:sz w:val="24"/>
          <w:szCs w:val="20"/>
        </w:rPr>
        <w:t>60X，数值孔径≥1.42；视场数≥26</w:t>
      </w:r>
    </w:p>
    <w:p w14:paraId="3849BD9A">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3.5.5</w:t>
      </w:r>
      <w:r>
        <w:rPr>
          <w:rFonts w:ascii="仿宋" w:hAnsi="仿宋" w:eastAsia="仿宋" w:cs="Times New Roman"/>
          <w:sz w:val="24"/>
          <w:szCs w:val="20"/>
        </w:rPr>
        <w:t xml:space="preserve"> </w:t>
      </w:r>
      <w:r>
        <w:rPr>
          <w:rFonts w:hint="eastAsia" w:ascii="仿宋" w:hAnsi="仿宋" w:eastAsia="仿宋" w:cs="Times New Roman"/>
          <w:sz w:val="24"/>
          <w:szCs w:val="20"/>
        </w:rPr>
        <w:t>30X硅油物镜，数值孔径≥1.05</w:t>
      </w:r>
    </w:p>
    <w:p w14:paraId="7FFB93EF">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3.6</w:t>
      </w:r>
      <w:r>
        <w:rPr>
          <w:rFonts w:hint="eastAsia" w:ascii="仿宋" w:hAnsi="仿宋" w:eastAsia="仿宋" w:cs="Times New Roman"/>
          <w:sz w:val="24"/>
          <w:szCs w:val="20"/>
        </w:rPr>
        <w:tab/>
      </w:r>
      <w:r>
        <w:rPr>
          <w:rFonts w:hint="eastAsia" w:ascii="仿宋" w:hAnsi="仿宋" w:eastAsia="仿宋" w:cs="Times New Roman"/>
          <w:sz w:val="24"/>
          <w:szCs w:val="20"/>
        </w:rPr>
        <w:t>明场观察附件：配置微分干涉附件</w:t>
      </w:r>
    </w:p>
    <w:p w14:paraId="7167339A">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4.</w:t>
      </w:r>
      <w:r>
        <w:rPr>
          <w:rFonts w:ascii="仿宋" w:hAnsi="仿宋" w:eastAsia="仿宋" w:cs="Times New Roman"/>
          <w:sz w:val="24"/>
          <w:szCs w:val="20"/>
        </w:rPr>
        <w:t xml:space="preserve"> </w:t>
      </w:r>
      <w:r>
        <w:rPr>
          <w:rFonts w:hint="eastAsia" w:ascii="仿宋" w:hAnsi="仿宋" w:eastAsia="仿宋" w:cs="Times New Roman"/>
          <w:sz w:val="24"/>
          <w:szCs w:val="20"/>
        </w:rPr>
        <w:t>软件</w:t>
      </w:r>
    </w:p>
    <w:p w14:paraId="1F339DD9">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4.1图像采集和系统，光路全电动控制切换根据染料或不同应用要求，软件可一键设置自动配置整个光路；多维显微成像控制：至少包括X，Y，Z，T控制，实现多时间、多通道荧光、Z序列的自动采集和处理</w:t>
      </w:r>
    </w:p>
    <w:p w14:paraId="1A3B4DE6">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4.2三维可视图象重建，具有不少于Alphablend，Isosurface，MIP多种三维渲染模式，随意进行空间切割，交互立体显示，并在成像过程中实时三维重构；</w:t>
      </w:r>
    </w:p>
    <w:p w14:paraId="70282FA4">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4.3要求可实现至少包括荧光强度分析测量、共定位分析、通道合成与叠加、三维重建与展示功能</w:t>
      </w:r>
    </w:p>
    <w:p w14:paraId="50B8A488">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4.4支持电动载物台进行切片和多孔板区域扫描，并提供整体图像相对位置的参照；可以进行自动多点位采集，高分辨率全视野图像采集，具备自动对焦地形图功能，确保每个视野下获得最佳聚焦状态。</w:t>
      </w:r>
    </w:p>
    <w:p w14:paraId="568CDC48">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4.5检测特异荧光标本指纹光谱：分离发射光谱重叠的多重标记荧光标本，可在扫图过程中实时进行光谱拆分，至少具有盲式分离法、荧光染料分离法、光谱图像分离法多种光谱拆分模式</w:t>
      </w:r>
    </w:p>
    <w:p w14:paraId="74EB9F0E">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4.6要求配置Z轴深度补偿功能，随成像深度不同，可以随意线性或非线性调节激光强度和检测器灵敏度，自动补偿由于样品深度增加造成的信号衰减</w:t>
      </w:r>
    </w:p>
    <w:p w14:paraId="0E41C151">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4.7提供多种反卷积算法，至少包括近邻法、非近邻法、Wiener滤镜、2D反卷积公认计算模式，每个模式均有适合于共聚焦图像的专业算法。</w:t>
      </w:r>
    </w:p>
    <w:p w14:paraId="0BA20331">
      <w:pPr>
        <w:snapToGrid w:val="0"/>
        <w:spacing w:line="560" w:lineRule="exact"/>
        <w:textAlignment w:val="baseline"/>
        <w:rPr>
          <w:rFonts w:ascii="仿宋" w:hAnsi="仿宋" w:eastAsia="仿宋" w:cs="Times New Roman"/>
          <w:sz w:val="24"/>
          <w:szCs w:val="24"/>
        </w:rPr>
      </w:pPr>
      <w:r>
        <w:rPr>
          <w:rFonts w:ascii="仿宋" w:hAnsi="仿宋" w:eastAsia="仿宋" w:cs="Times New Roman"/>
          <w:sz w:val="24"/>
          <w:szCs w:val="20"/>
        </w:rPr>
        <w:t>*</w:t>
      </w:r>
      <w:r>
        <w:rPr>
          <w:rFonts w:hint="eastAsia" w:ascii="仿宋" w:hAnsi="仿宋" w:eastAsia="仿宋" w:cs="Times New Roman"/>
          <w:sz w:val="24"/>
          <w:szCs w:val="24"/>
        </w:rPr>
        <w:t>（三）配（附）件清单</w:t>
      </w:r>
    </w:p>
    <w:p w14:paraId="61611C35">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 xml:space="preserve">激光光源系统 </w:t>
      </w:r>
      <w:r>
        <w:rPr>
          <w:rFonts w:ascii="仿宋" w:hAnsi="仿宋" w:eastAsia="仿宋" w:cs="Times New Roman"/>
          <w:sz w:val="24"/>
          <w:szCs w:val="20"/>
        </w:rPr>
        <w:t xml:space="preserve">           </w:t>
      </w:r>
      <w:r>
        <w:rPr>
          <w:rFonts w:hint="eastAsia" w:ascii="仿宋" w:hAnsi="仿宋" w:eastAsia="仿宋" w:cs="Times New Roman"/>
          <w:sz w:val="24"/>
          <w:szCs w:val="20"/>
        </w:rPr>
        <w:t>1套</w:t>
      </w:r>
    </w:p>
    <w:p w14:paraId="6583F9F0">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共聚焦扫描检测系统      1套</w:t>
      </w:r>
    </w:p>
    <w:p w14:paraId="1318607B">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全自动倒置荧光显微镜</w:t>
      </w:r>
      <w:r>
        <w:rPr>
          <w:rFonts w:ascii="仿宋" w:hAnsi="仿宋" w:eastAsia="仿宋" w:cs="Times New Roman"/>
          <w:sz w:val="24"/>
          <w:szCs w:val="20"/>
        </w:rPr>
        <w:t xml:space="preserve">    </w:t>
      </w:r>
      <w:r>
        <w:rPr>
          <w:rFonts w:hint="eastAsia" w:ascii="仿宋" w:hAnsi="仿宋" w:eastAsia="仿宋" w:cs="Times New Roman"/>
          <w:sz w:val="24"/>
          <w:szCs w:val="20"/>
        </w:rPr>
        <w:t>1套</w:t>
      </w:r>
    </w:p>
    <w:p w14:paraId="2939FE91">
      <w:pPr>
        <w:snapToGrid w:val="0"/>
        <w:spacing w:line="560" w:lineRule="exact"/>
        <w:textAlignment w:val="baseline"/>
        <w:rPr>
          <w:rFonts w:ascii="仿宋" w:hAnsi="仿宋" w:eastAsia="仿宋" w:cs="Times New Roman"/>
          <w:sz w:val="24"/>
          <w:szCs w:val="20"/>
        </w:rPr>
      </w:pPr>
      <w:r>
        <w:rPr>
          <w:rFonts w:hint="eastAsia" w:ascii="仿宋" w:hAnsi="仿宋" w:eastAsia="仿宋" w:cs="Times New Roman"/>
          <w:sz w:val="24"/>
          <w:szCs w:val="20"/>
        </w:rPr>
        <w:t>安装附属配件</w:t>
      </w:r>
      <w:r>
        <w:rPr>
          <w:rFonts w:ascii="仿宋" w:hAnsi="仿宋" w:eastAsia="仿宋" w:cs="Times New Roman"/>
          <w:sz w:val="24"/>
          <w:szCs w:val="20"/>
        </w:rPr>
        <w:t xml:space="preserve">    </w:t>
      </w:r>
      <w:r>
        <w:rPr>
          <w:rFonts w:hint="eastAsia" w:ascii="仿宋" w:hAnsi="仿宋" w:eastAsia="仿宋" w:cs="Times New Roman"/>
          <w:sz w:val="24"/>
          <w:szCs w:val="20"/>
        </w:rPr>
        <w:t xml:space="preserve">     </w:t>
      </w:r>
      <w:r>
        <w:rPr>
          <w:rFonts w:ascii="仿宋" w:hAnsi="仿宋" w:eastAsia="仿宋" w:cs="Times New Roman"/>
          <w:sz w:val="24"/>
          <w:szCs w:val="20"/>
        </w:rPr>
        <w:t xml:space="preserve">   </w:t>
      </w:r>
      <w:r>
        <w:rPr>
          <w:rFonts w:hint="eastAsia" w:ascii="仿宋" w:hAnsi="仿宋" w:eastAsia="仿宋" w:cs="Times New Roman"/>
          <w:sz w:val="24"/>
          <w:szCs w:val="20"/>
        </w:rPr>
        <w:t>1套</w:t>
      </w:r>
    </w:p>
    <w:p w14:paraId="30E7B6C6">
      <w:pPr>
        <w:rPr>
          <w:rFonts w:ascii="Times New Roman" w:hAnsi="Times New Roman" w:eastAsia="宋体" w:cs="Times New Roman"/>
          <w:szCs w:val="20"/>
        </w:rPr>
      </w:pPr>
    </w:p>
    <w:p w14:paraId="67CDCD2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414"/>
    <w:rsid w:val="002038D9"/>
    <w:rsid w:val="00444414"/>
    <w:rsid w:val="005759B0"/>
    <w:rsid w:val="00B176D1"/>
    <w:rsid w:val="21CB45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2517</Words>
  <Characters>2764</Characters>
  <Lines>15</Lines>
  <Paragraphs>78</Paragraphs>
  <TotalTime>5</TotalTime>
  <ScaleCrop>false</ScaleCrop>
  <LinksUpToDate>false</LinksUpToDate>
  <CharactersWithSpaces>2813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2025-07-29T11:12:00Z</dcterms:created>
  <dc:creator>zhangjing</dc:creator>
  <cp:lastModifiedBy>清</cp:lastModifiedBy>
  <dcterms:modified xsi:type="dcterms:W3CDTF">2025-08-01T07:34:59Z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3FB40AB17B7D449AB1ADBD46D17777FC_13</vt:lpwstr>
  </property>
</Properties>
</file>