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0"/>
        <w:rPr>
          <w:rFonts w:asciiTheme="minorEastAsia" w:hAnsiTheme="minorEastAsia" w:eastAsiaTheme="minorEastAsia" w:cstheme="minorEastAsia"/>
          <w:b/>
          <w:bCs/>
          <w:sz w:val="52"/>
          <w:szCs w:val="52"/>
        </w:rPr>
      </w:pPr>
      <w:bookmarkStart w:id="157" w:name="_GoBack"/>
      <w:bookmarkEnd w:id="157"/>
    </w:p>
    <w:p>
      <w:pPr>
        <w:spacing w:line="360" w:lineRule="auto"/>
        <w:jc w:val="center"/>
        <w:outlineLvl w:val="0"/>
        <w:rPr>
          <w:rFonts w:asciiTheme="minorEastAsia" w:hAnsiTheme="minorEastAsia" w:eastAsiaTheme="minorEastAsia" w:cstheme="minorEastAsia"/>
          <w:b/>
          <w:bCs/>
          <w:sz w:val="48"/>
          <w:szCs w:val="48"/>
        </w:rPr>
      </w:pPr>
      <w:r>
        <w:rPr>
          <w:rFonts w:hint="eastAsia" w:asciiTheme="minorEastAsia" w:hAnsiTheme="minorEastAsia" w:eastAsiaTheme="minorEastAsia" w:cstheme="minorEastAsia"/>
          <w:b/>
          <w:bCs/>
          <w:sz w:val="48"/>
          <w:szCs w:val="48"/>
        </w:rPr>
        <w:t>核磁共振波谱仪采购</w:t>
      </w:r>
    </w:p>
    <w:p>
      <w:pPr>
        <w:adjustRightInd/>
        <w:spacing w:line="360" w:lineRule="auto"/>
        <w:jc w:val="center"/>
        <w:rPr>
          <w:rFonts w:asciiTheme="minorEastAsia" w:hAnsiTheme="minorEastAsia" w:eastAsiaTheme="minorEastAsia" w:cstheme="minorEastAsia"/>
          <w:b/>
          <w:sz w:val="84"/>
          <w:szCs w:val="84"/>
        </w:rPr>
      </w:pPr>
    </w:p>
    <w:p>
      <w:pPr>
        <w:pStyle w:val="16"/>
        <w:rPr>
          <w:rFonts w:asciiTheme="minorEastAsia" w:hAnsiTheme="minorEastAsia" w:eastAsiaTheme="minorEastAsia" w:cstheme="minorEastAsia"/>
          <w:color w:val="auto"/>
        </w:rPr>
      </w:pPr>
    </w:p>
    <w:p>
      <w:pPr>
        <w:adjustRightInd/>
        <w:spacing w:line="360" w:lineRule="auto"/>
        <w:jc w:val="center"/>
        <w:rPr>
          <w:rFonts w:asciiTheme="minorEastAsia" w:hAnsiTheme="minorEastAsia" w:eastAsiaTheme="minorEastAsia" w:cstheme="minorEastAsia"/>
          <w:b/>
          <w:sz w:val="84"/>
          <w:szCs w:val="84"/>
        </w:rPr>
      </w:pPr>
      <w:r>
        <w:rPr>
          <w:rFonts w:hint="eastAsia" w:asciiTheme="minorEastAsia" w:hAnsiTheme="minorEastAsia" w:eastAsiaTheme="minorEastAsia" w:cstheme="minorEastAsia"/>
          <w:b/>
          <w:sz w:val="84"/>
          <w:szCs w:val="84"/>
        </w:rPr>
        <w:t>招 标 文 件</w:t>
      </w:r>
    </w:p>
    <w:p>
      <w:pPr>
        <w:adjustRightInd/>
        <w:spacing w:line="360" w:lineRule="auto"/>
        <w:jc w:val="center"/>
        <w:rPr>
          <w:rFonts w:asciiTheme="minorEastAsia" w:hAnsiTheme="minorEastAsia" w:eastAsiaTheme="minorEastAsia" w:cstheme="minorEastAsia"/>
          <w:sz w:val="21"/>
          <w:szCs w:val="21"/>
        </w:rPr>
      </w:pPr>
    </w:p>
    <w:p>
      <w:pPr>
        <w:tabs>
          <w:tab w:val="left" w:pos="1985"/>
        </w:tabs>
        <w:spacing w:line="360" w:lineRule="auto"/>
        <w:jc w:val="center"/>
        <w:rPr>
          <w:rFonts w:asciiTheme="minorEastAsia" w:hAnsiTheme="minorEastAsia" w:eastAsiaTheme="minorEastAsia" w:cstheme="minorEastAsia"/>
          <w:b/>
          <w:sz w:val="30"/>
          <w:szCs w:val="30"/>
        </w:rPr>
      </w:pPr>
      <w:bookmarkStart w:id="0" w:name="_Toc450515161"/>
      <w:r>
        <w:rPr>
          <w:rFonts w:hint="eastAsia" w:asciiTheme="minorEastAsia" w:hAnsiTheme="minorEastAsia" w:eastAsiaTheme="minorEastAsia" w:cstheme="minorEastAsia"/>
          <w:b/>
          <w:bCs/>
          <w:spacing w:val="16"/>
          <w:sz w:val="32"/>
          <w:szCs w:val="32"/>
        </w:rPr>
        <w:t>项目编号:</w:t>
      </w:r>
      <w:bookmarkEnd w:id="0"/>
      <w:r>
        <w:rPr>
          <w:rFonts w:hint="eastAsia" w:asciiTheme="minorEastAsia" w:hAnsiTheme="minorEastAsia" w:eastAsiaTheme="minorEastAsia" w:cstheme="minorEastAsia"/>
          <w:b/>
          <w:bCs/>
          <w:spacing w:val="16"/>
          <w:sz w:val="32"/>
          <w:szCs w:val="32"/>
        </w:rPr>
        <w:t xml:space="preserve"> AZF202300033</w:t>
      </w:r>
    </w:p>
    <w:p>
      <w:pPr>
        <w:adjustRightInd/>
        <w:spacing w:line="360" w:lineRule="auto"/>
        <w:ind w:firstLine="1440" w:firstLineChars="450"/>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 </w:t>
      </w:r>
    </w:p>
    <w:p>
      <w:pPr>
        <w:adjustRightInd/>
        <w:spacing w:line="360" w:lineRule="auto"/>
        <w:jc w:val="both"/>
        <w:rPr>
          <w:rFonts w:asciiTheme="minorEastAsia" w:hAnsiTheme="minorEastAsia" w:eastAsiaTheme="minorEastAsia" w:cstheme="minorEastAsia"/>
          <w:sz w:val="32"/>
          <w:szCs w:val="32"/>
        </w:rPr>
      </w:pPr>
    </w:p>
    <w:p>
      <w:pPr>
        <w:adjustRightInd/>
        <w:spacing w:line="360" w:lineRule="auto"/>
        <w:jc w:val="both"/>
        <w:rPr>
          <w:rFonts w:asciiTheme="minorEastAsia" w:hAnsiTheme="minorEastAsia" w:eastAsiaTheme="minorEastAsia" w:cstheme="minorEastAsia"/>
          <w:sz w:val="32"/>
          <w:szCs w:val="32"/>
        </w:rPr>
      </w:pPr>
    </w:p>
    <w:p>
      <w:pPr>
        <w:tabs>
          <w:tab w:val="left" w:pos="6219"/>
        </w:tabs>
        <w:autoSpaceDE w:val="0"/>
        <w:autoSpaceDN w:val="0"/>
        <w:snapToGrid w:val="0"/>
        <w:spacing w:line="360" w:lineRule="auto"/>
        <w:ind w:firstLine="707" w:firstLineChars="200"/>
        <w:rPr>
          <w:rFonts w:asciiTheme="minorEastAsia" w:hAnsiTheme="minorEastAsia" w:eastAsiaTheme="minorEastAsia" w:cstheme="minorEastAsia"/>
          <w:b/>
          <w:bCs/>
          <w:spacing w:val="16"/>
          <w:sz w:val="32"/>
          <w:szCs w:val="32"/>
          <w:u w:val="single"/>
        </w:rPr>
      </w:pPr>
      <w:r>
        <w:rPr>
          <w:rFonts w:hint="eastAsia" w:asciiTheme="minorEastAsia" w:hAnsiTheme="minorEastAsia" w:eastAsiaTheme="minorEastAsia" w:cstheme="minorEastAsia"/>
          <w:b/>
          <w:bCs/>
          <w:spacing w:val="16"/>
          <w:sz w:val="32"/>
          <w:szCs w:val="32"/>
        </w:rPr>
        <w:t>采   购  人：</w:t>
      </w:r>
      <w:r>
        <w:rPr>
          <w:rFonts w:hint="eastAsia" w:asciiTheme="minorEastAsia" w:hAnsiTheme="minorEastAsia" w:eastAsiaTheme="minorEastAsia" w:cstheme="minorEastAsia"/>
          <w:b/>
          <w:bCs/>
          <w:spacing w:val="16"/>
          <w:sz w:val="32"/>
          <w:szCs w:val="32"/>
          <w:u w:val="single"/>
        </w:rPr>
        <w:t xml:space="preserve">     西南大学              </w:t>
      </w:r>
    </w:p>
    <w:p>
      <w:pPr>
        <w:tabs>
          <w:tab w:val="left" w:pos="6219"/>
        </w:tabs>
        <w:autoSpaceDE w:val="0"/>
        <w:autoSpaceDN w:val="0"/>
        <w:snapToGrid w:val="0"/>
        <w:spacing w:line="360" w:lineRule="auto"/>
        <w:ind w:firstLine="707" w:firstLineChars="200"/>
        <w:rPr>
          <w:rFonts w:asciiTheme="minorEastAsia" w:hAnsiTheme="minorEastAsia" w:eastAsiaTheme="minorEastAsia" w:cstheme="minorEastAsia"/>
          <w:b/>
          <w:bCs/>
          <w:spacing w:val="16"/>
          <w:sz w:val="32"/>
          <w:szCs w:val="32"/>
          <w:u w:val="single"/>
        </w:rPr>
      </w:pPr>
      <w:r>
        <w:rPr>
          <w:rFonts w:hint="eastAsia" w:asciiTheme="minorEastAsia" w:hAnsiTheme="minorEastAsia" w:eastAsiaTheme="minorEastAsia" w:cstheme="minorEastAsia"/>
          <w:b/>
          <w:bCs/>
          <w:spacing w:val="16"/>
          <w:sz w:val="32"/>
          <w:szCs w:val="32"/>
        </w:rPr>
        <w:t>采购组织机构：</w:t>
      </w:r>
      <w:r>
        <w:rPr>
          <w:rFonts w:hint="eastAsia" w:asciiTheme="minorEastAsia" w:hAnsiTheme="minorEastAsia" w:eastAsiaTheme="minorEastAsia" w:cstheme="minorEastAsia"/>
          <w:b/>
          <w:bCs/>
          <w:spacing w:val="16"/>
          <w:sz w:val="32"/>
          <w:szCs w:val="32"/>
          <w:u w:val="single"/>
        </w:rPr>
        <w:t>西南大学采购与招投标管理中心</w:t>
      </w:r>
    </w:p>
    <w:p>
      <w:pPr>
        <w:tabs>
          <w:tab w:val="left" w:pos="6219"/>
        </w:tabs>
        <w:autoSpaceDE w:val="0"/>
        <w:autoSpaceDN w:val="0"/>
        <w:snapToGrid w:val="0"/>
        <w:spacing w:line="360" w:lineRule="auto"/>
        <w:ind w:firstLine="707" w:firstLineChars="200"/>
        <w:rPr>
          <w:rFonts w:asciiTheme="minorEastAsia" w:hAnsiTheme="minorEastAsia" w:eastAsiaTheme="minorEastAsia" w:cstheme="minorEastAsia"/>
          <w:b/>
          <w:bCs/>
          <w:spacing w:val="16"/>
          <w:sz w:val="36"/>
          <w:szCs w:val="36"/>
          <w:u w:val="single"/>
        </w:rPr>
      </w:pPr>
      <w:r>
        <w:rPr>
          <w:rFonts w:hint="eastAsia" w:asciiTheme="minorEastAsia" w:hAnsiTheme="minorEastAsia" w:eastAsiaTheme="minorEastAsia" w:cstheme="minorEastAsia"/>
          <w:b/>
          <w:bCs/>
          <w:spacing w:val="16"/>
          <w:sz w:val="32"/>
          <w:szCs w:val="32"/>
        </w:rPr>
        <w:t>采购代理机构：</w:t>
      </w:r>
      <w:r>
        <w:rPr>
          <w:rFonts w:hint="eastAsia" w:ascii="黑体" w:hAnsi="黑体" w:cs="黑体"/>
          <w:b/>
          <w:bCs/>
          <w:spacing w:val="16"/>
          <w:sz w:val="32"/>
          <w:szCs w:val="32"/>
          <w:u w:val="single"/>
        </w:rPr>
        <w:t>中招国际招标有限公司重庆分公司</w:t>
      </w:r>
      <w:r>
        <w:rPr>
          <w:rFonts w:hint="eastAsia" w:asciiTheme="minorEastAsia" w:hAnsiTheme="minorEastAsia" w:eastAsiaTheme="minorEastAsia" w:cstheme="minorEastAsia"/>
          <w:b/>
          <w:bCs/>
          <w:spacing w:val="16"/>
          <w:sz w:val="32"/>
          <w:szCs w:val="32"/>
          <w:u w:val="single"/>
        </w:rPr>
        <w:t xml:space="preserve"> </w:t>
      </w:r>
    </w:p>
    <w:p>
      <w:pPr>
        <w:tabs>
          <w:tab w:val="left" w:pos="3200"/>
          <w:tab w:val="left" w:pos="6708"/>
        </w:tabs>
        <w:autoSpaceDE w:val="0"/>
        <w:autoSpaceDN w:val="0"/>
        <w:snapToGrid w:val="0"/>
        <w:spacing w:line="360" w:lineRule="auto"/>
        <w:rPr>
          <w:rFonts w:asciiTheme="minorEastAsia" w:hAnsiTheme="minorEastAsia" w:eastAsiaTheme="minorEastAsia" w:cstheme="minorEastAsia"/>
          <w:b/>
          <w:bCs/>
          <w:spacing w:val="16"/>
          <w:w w:val="99"/>
          <w:sz w:val="36"/>
          <w:szCs w:val="36"/>
        </w:rPr>
      </w:pPr>
      <w:r>
        <w:rPr>
          <w:rFonts w:asciiTheme="minorEastAsia" w:hAnsiTheme="minorEastAsia" w:eastAsiaTheme="minorEastAsia" w:cstheme="minorEastAsia"/>
          <w:b/>
          <w:bCs/>
          <w:spacing w:val="16"/>
          <w:w w:val="99"/>
          <w:sz w:val="36"/>
          <w:szCs w:val="36"/>
        </w:rPr>
        <w:tab/>
      </w:r>
      <w:r>
        <w:rPr>
          <w:rFonts w:asciiTheme="minorEastAsia" w:hAnsiTheme="minorEastAsia" w:eastAsiaTheme="minorEastAsia" w:cstheme="minorEastAsia"/>
          <w:b/>
          <w:bCs/>
          <w:spacing w:val="16"/>
          <w:w w:val="99"/>
          <w:sz w:val="36"/>
          <w:szCs w:val="36"/>
        </w:rPr>
        <w:tab/>
      </w:r>
    </w:p>
    <w:p>
      <w:pPr>
        <w:pStyle w:val="2"/>
        <w:rPr>
          <w:rFonts w:asciiTheme="minorEastAsia" w:hAnsiTheme="minorEastAsia" w:eastAsiaTheme="minorEastAsia" w:cstheme="minorEastAsia"/>
        </w:rPr>
      </w:pPr>
    </w:p>
    <w:p>
      <w:pPr>
        <w:adjustRightInd/>
        <w:spacing w:line="360" w:lineRule="auto"/>
        <w:ind w:firstLine="3433" w:firstLineChars="950"/>
        <w:rPr>
          <w:rFonts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rPr>
        <w:t>二〇二三年十月</w:t>
      </w:r>
    </w:p>
    <w:p>
      <w:pPr>
        <w:widowControl/>
        <w:spacing w:line="360" w:lineRule="auto"/>
        <w:jc w:val="center"/>
        <w:rPr>
          <w:rFonts w:asciiTheme="minorEastAsia" w:hAnsiTheme="minorEastAsia" w:eastAsiaTheme="minorEastAsia" w:cstheme="minorEastAsia"/>
          <w:b/>
          <w:szCs w:val="28"/>
        </w:rPr>
      </w:pPr>
    </w:p>
    <w:p>
      <w:pPr>
        <w:widowControl/>
        <w:spacing w:line="360" w:lineRule="auto"/>
        <w:jc w:val="center"/>
        <w:rPr>
          <w:rFonts w:asciiTheme="minorEastAsia" w:hAnsiTheme="minorEastAsia" w:eastAsiaTheme="minorEastAsia" w:cstheme="minorEastAsia"/>
          <w:b/>
          <w:szCs w:val="28"/>
        </w:rPr>
        <w:sectPr>
          <w:footerReference r:id="rId7" w:type="first"/>
          <w:headerReference r:id="rId5" w:type="default"/>
          <w:footerReference r:id="rId6" w:type="default"/>
          <w:pgSz w:w="11907" w:h="16840"/>
          <w:pgMar w:top="1418" w:right="1247" w:bottom="1247" w:left="1418" w:header="851" w:footer="851" w:gutter="0"/>
          <w:pgNumType w:start="1"/>
          <w:cols w:space="720" w:num="1"/>
          <w:titlePg/>
          <w:docGrid w:linePitch="326" w:charSpace="0"/>
        </w:sectPr>
      </w:pPr>
    </w:p>
    <w:p>
      <w:pPr>
        <w:snapToGrid w:val="0"/>
        <w:spacing w:line="360" w:lineRule="auto"/>
        <w:jc w:val="center"/>
        <w:outlineLvl w:val="0"/>
        <w:rPr>
          <w:rFonts w:asciiTheme="minorEastAsia" w:hAnsiTheme="minorEastAsia" w:eastAsiaTheme="minorEastAsia" w:cstheme="minorEastAsia"/>
          <w:b/>
          <w:bCs/>
          <w:kern w:val="44"/>
          <w:sz w:val="44"/>
          <w:szCs w:val="44"/>
        </w:rPr>
      </w:pPr>
      <w:bookmarkStart w:id="1" w:name="_Toc328815981"/>
      <w:bookmarkStart w:id="2" w:name="_Toc15833"/>
      <w:bookmarkStart w:id="3" w:name="_Toc138929553"/>
      <w:bookmarkStart w:id="4" w:name="_Toc135668343"/>
      <w:bookmarkStart w:id="5" w:name="_Toc429580581"/>
      <w:bookmarkStart w:id="6" w:name="_Toc105671347"/>
      <w:bookmarkStart w:id="7" w:name="_Toc497924384"/>
      <w:bookmarkStart w:id="8" w:name="_Toc21186"/>
      <w:bookmarkStart w:id="9" w:name="_Toc408855417"/>
      <w:r>
        <w:rPr>
          <w:rFonts w:hint="eastAsia" w:asciiTheme="minorEastAsia" w:hAnsiTheme="minorEastAsia" w:eastAsiaTheme="minorEastAsia" w:cstheme="minorEastAsia"/>
          <w:b/>
          <w:bCs/>
          <w:kern w:val="44"/>
          <w:sz w:val="44"/>
          <w:szCs w:val="44"/>
        </w:rPr>
        <w:t>目    录</w:t>
      </w:r>
      <w:bookmarkEnd w:id="1"/>
      <w:bookmarkEnd w:id="2"/>
      <w:bookmarkEnd w:id="3"/>
      <w:bookmarkEnd w:id="4"/>
      <w:bookmarkEnd w:id="5"/>
      <w:bookmarkEnd w:id="6"/>
      <w:bookmarkEnd w:id="7"/>
      <w:bookmarkEnd w:id="8"/>
      <w:bookmarkEnd w:id="9"/>
    </w:p>
    <w:p>
      <w:pPr>
        <w:pStyle w:val="16"/>
        <w:spacing w:line="900" w:lineRule="exact"/>
        <w:rPr>
          <w:rFonts w:asciiTheme="minorEastAsia" w:hAnsiTheme="minorEastAsia" w:eastAsiaTheme="minorEastAsia" w:cstheme="minorEastAsia"/>
          <w:color w:val="auto"/>
          <w:kern w:val="2"/>
          <w:sz w:val="28"/>
          <w:szCs w:val="28"/>
        </w:rPr>
      </w:pPr>
      <w:r>
        <w:rPr>
          <w:rFonts w:hint="eastAsia" w:asciiTheme="minorEastAsia" w:hAnsiTheme="minorEastAsia" w:eastAsiaTheme="minorEastAsia" w:cstheme="minorEastAsia"/>
          <w:color w:val="auto"/>
          <w:sz w:val="28"/>
          <w:szCs w:val="28"/>
        </w:rPr>
        <w:fldChar w:fldCharType="begin"/>
      </w:r>
      <w:r>
        <w:rPr>
          <w:rFonts w:hint="eastAsia" w:asciiTheme="minorEastAsia" w:hAnsiTheme="minorEastAsia" w:eastAsiaTheme="minorEastAsia" w:cstheme="minorEastAsia"/>
          <w:color w:val="auto"/>
          <w:sz w:val="28"/>
          <w:szCs w:val="28"/>
        </w:rPr>
        <w:instrText xml:space="preserve"> TOC \o "1-1" \h \z \u </w:instrText>
      </w:r>
      <w:r>
        <w:rPr>
          <w:rFonts w:hint="eastAsia" w:asciiTheme="minorEastAsia" w:hAnsiTheme="minorEastAsia" w:eastAsiaTheme="minorEastAsia" w:cstheme="minorEastAsia"/>
          <w:color w:val="auto"/>
          <w:sz w:val="28"/>
          <w:szCs w:val="28"/>
        </w:rPr>
        <w:fldChar w:fldCharType="separate"/>
      </w:r>
      <w:r>
        <w:fldChar w:fldCharType="begin"/>
      </w:r>
      <w:r>
        <w:instrText xml:space="preserve"> HYPERLINK \l "_Toc138929554" </w:instrText>
      </w:r>
      <w:r>
        <w:fldChar w:fldCharType="separate"/>
      </w:r>
      <w:r>
        <w:rPr>
          <w:rStyle w:val="29"/>
          <w:rFonts w:hint="eastAsia" w:asciiTheme="minorEastAsia" w:hAnsiTheme="minorEastAsia" w:eastAsiaTheme="minorEastAsia" w:cstheme="minorEastAsia"/>
          <w:color w:val="auto"/>
          <w:sz w:val="28"/>
          <w:szCs w:val="28"/>
        </w:rPr>
        <w:t>第一篇  投标邀请书</w:t>
      </w:r>
      <w:r>
        <w:rPr>
          <w:rFonts w:hint="eastAsia" w:asciiTheme="minorEastAsia" w:hAnsiTheme="minorEastAsia" w:eastAsiaTheme="minorEastAsia" w:cstheme="minorEastAsia"/>
          <w:color w:val="auto"/>
          <w:sz w:val="28"/>
          <w:szCs w:val="28"/>
        </w:rPr>
        <w:tab/>
      </w:r>
      <w:r>
        <w:rPr>
          <w:rFonts w:hint="eastAsia" w:asciiTheme="minorEastAsia" w:hAnsiTheme="minorEastAsia" w:eastAsiaTheme="minorEastAsia" w:cstheme="minorEastAsia"/>
          <w:color w:val="auto"/>
          <w:sz w:val="28"/>
          <w:szCs w:val="28"/>
        </w:rPr>
        <w:fldChar w:fldCharType="begin"/>
      </w:r>
      <w:r>
        <w:rPr>
          <w:rFonts w:hint="eastAsia" w:asciiTheme="minorEastAsia" w:hAnsiTheme="minorEastAsia" w:eastAsiaTheme="minorEastAsia" w:cstheme="minorEastAsia"/>
          <w:color w:val="auto"/>
          <w:sz w:val="28"/>
          <w:szCs w:val="28"/>
        </w:rPr>
        <w:instrText xml:space="preserve"> PAGEREF _Toc138929554 \h </w:instrText>
      </w:r>
      <w:r>
        <w:rPr>
          <w:rFonts w:hint="eastAsia" w:asciiTheme="minorEastAsia" w:hAnsiTheme="minorEastAsia" w:eastAsiaTheme="minorEastAsia" w:cstheme="minorEastAsia"/>
          <w:color w:val="auto"/>
          <w:sz w:val="28"/>
          <w:szCs w:val="28"/>
        </w:rPr>
        <w:fldChar w:fldCharType="separate"/>
      </w:r>
      <w:r>
        <w:rPr>
          <w:rFonts w:hint="eastAsia" w:asciiTheme="minorEastAsia" w:hAnsiTheme="minorEastAsia" w:eastAsiaTheme="minorEastAsia" w:cstheme="minorEastAsia"/>
          <w:color w:val="auto"/>
          <w:sz w:val="28"/>
          <w:szCs w:val="28"/>
        </w:rPr>
        <w:t>3</w:t>
      </w:r>
      <w:r>
        <w:rPr>
          <w:rFonts w:hint="eastAsia" w:asciiTheme="minorEastAsia" w:hAnsiTheme="minorEastAsia" w:eastAsiaTheme="minorEastAsia" w:cstheme="minorEastAsia"/>
          <w:color w:val="auto"/>
          <w:sz w:val="28"/>
          <w:szCs w:val="28"/>
        </w:rPr>
        <w:fldChar w:fldCharType="end"/>
      </w:r>
      <w:r>
        <w:rPr>
          <w:rFonts w:hint="eastAsia" w:asciiTheme="minorEastAsia" w:hAnsiTheme="minorEastAsia" w:eastAsiaTheme="minorEastAsia" w:cstheme="minorEastAsia"/>
          <w:color w:val="auto"/>
          <w:sz w:val="28"/>
          <w:szCs w:val="28"/>
        </w:rPr>
        <w:fldChar w:fldCharType="end"/>
      </w:r>
    </w:p>
    <w:p>
      <w:pPr>
        <w:pStyle w:val="16"/>
        <w:spacing w:line="900" w:lineRule="exact"/>
        <w:rPr>
          <w:rFonts w:asciiTheme="minorEastAsia" w:hAnsiTheme="minorEastAsia" w:eastAsiaTheme="minorEastAsia" w:cstheme="minorEastAsia"/>
          <w:color w:val="auto"/>
          <w:kern w:val="2"/>
          <w:sz w:val="28"/>
          <w:szCs w:val="28"/>
        </w:rPr>
      </w:pPr>
      <w:r>
        <w:fldChar w:fldCharType="begin"/>
      </w:r>
      <w:r>
        <w:instrText xml:space="preserve"> HYPERLINK \l "_Toc138929557" </w:instrText>
      </w:r>
      <w:r>
        <w:fldChar w:fldCharType="separate"/>
      </w:r>
      <w:r>
        <w:rPr>
          <w:rStyle w:val="29"/>
          <w:rFonts w:hint="eastAsia" w:asciiTheme="minorEastAsia" w:hAnsiTheme="minorEastAsia" w:eastAsiaTheme="minorEastAsia" w:cstheme="minorEastAsia"/>
          <w:color w:val="auto"/>
          <w:sz w:val="28"/>
          <w:szCs w:val="28"/>
        </w:rPr>
        <w:t>第二篇 采购需求</w:t>
      </w:r>
      <w:r>
        <w:rPr>
          <w:rFonts w:hint="eastAsia" w:asciiTheme="minorEastAsia" w:hAnsiTheme="minorEastAsia" w:eastAsiaTheme="minorEastAsia" w:cstheme="minorEastAsia"/>
          <w:color w:val="auto"/>
          <w:sz w:val="28"/>
          <w:szCs w:val="28"/>
        </w:rPr>
        <w:tab/>
      </w:r>
      <w:r>
        <w:rPr>
          <w:rFonts w:hint="eastAsia" w:asciiTheme="minorEastAsia" w:hAnsiTheme="minorEastAsia" w:eastAsiaTheme="minorEastAsia" w:cstheme="minorEastAsia"/>
          <w:color w:val="auto"/>
          <w:sz w:val="28"/>
          <w:szCs w:val="28"/>
        </w:rPr>
        <w:fldChar w:fldCharType="begin"/>
      </w:r>
      <w:r>
        <w:rPr>
          <w:rFonts w:hint="eastAsia" w:asciiTheme="minorEastAsia" w:hAnsiTheme="minorEastAsia" w:eastAsiaTheme="minorEastAsia" w:cstheme="minorEastAsia"/>
          <w:color w:val="auto"/>
          <w:sz w:val="28"/>
          <w:szCs w:val="28"/>
        </w:rPr>
        <w:instrText xml:space="preserve"> PAGEREF _Toc138929557 \h </w:instrText>
      </w:r>
      <w:r>
        <w:rPr>
          <w:rFonts w:hint="eastAsia" w:asciiTheme="minorEastAsia" w:hAnsiTheme="minorEastAsia" w:eastAsiaTheme="minorEastAsia" w:cstheme="minorEastAsia"/>
          <w:color w:val="auto"/>
          <w:sz w:val="28"/>
          <w:szCs w:val="28"/>
        </w:rPr>
        <w:fldChar w:fldCharType="separate"/>
      </w:r>
      <w:r>
        <w:rPr>
          <w:rFonts w:hint="eastAsia" w:asciiTheme="minorEastAsia" w:hAnsiTheme="minorEastAsia" w:eastAsiaTheme="minorEastAsia" w:cstheme="minorEastAsia"/>
          <w:color w:val="auto"/>
          <w:sz w:val="28"/>
          <w:szCs w:val="28"/>
        </w:rPr>
        <w:t>8</w:t>
      </w:r>
      <w:r>
        <w:rPr>
          <w:rFonts w:hint="eastAsia" w:asciiTheme="minorEastAsia" w:hAnsiTheme="minorEastAsia" w:eastAsiaTheme="minorEastAsia" w:cstheme="minorEastAsia"/>
          <w:color w:val="auto"/>
          <w:sz w:val="28"/>
          <w:szCs w:val="28"/>
        </w:rPr>
        <w:fldChar w:fldCharType="end"/>
      </w:r>
      <w:r>
        <w:rPr>
          <w:rFonts w:hint="eastAsia" w:asciiTheme="minorEastAsia" w:hAnsiTheme="minorEastAsia" w:eastAsiaTheme="minorEastAsia" w:cstheme="minorEastAsia"/>
          <w:color w:val="auto"/>
          <w:sz w:val="28"/>
          <w:szCs w:val="28"/>
        </w:rPr>
        <w:fldChar w:fldCharType="end"/>
      </w:r>
    </w:p>
    <w:p>
      <w:pPr>
        <w:pStyle w:val="16"/>
        <w:spacing w:line="900" w:lineRule="exact"/>
        <w:rPr>
          <w:rStyle w:val="29"/>
          <w:rFonts w:asciiTheme="minorEastAsia" w:hAnsiTheme="minorEastAsia" w:eastAsiaTheme="minorEastAsia" w:cstheme="minorEastAsia"/>
          <w:color w:val="auto"/>
          <w:sz w:val="28"/>
          <w:szCs w:val="28"/>
        </w:rPr>
      </w:pPr>
      <w:r>
        <w:fldChar w:fldCharType="begin"/>
      </w:r>
      <w:r>
        <w:instrText xml:space="preserve"> HYPERLINK \l "_Toc138929558" </w:instrText>
      </w:r>
      <w:r>
        <w:fldChar w:fldCharType="separate"/>
      </w:r>
      <w:r>
        <w:rPr>
          <w:rStyle w:val="29"/>
          <w:rFonts w:hint="eastAsia" w:asciiTheme="minorEastAsia" w:hAnsiTheme="minorEastAsia" w:eastAsiaTheme="minorEastAsia" w:cstheme="minorEastAsia"/>
          <w:color w:val="auto"/>
          <w:sz w:val="28"/>
          <w:szCs w:val="28"/>
        </w:rPr>
        <w:t>第三篇  项目商务要求</w:t>
      </w:r>
      <w:r>
        <w:rPr>
          <w:rFonts w:hint="eastAsia" w:asciiTheme="minorEastAsia" w:hAnsiTheme="minorEastAsia" w:eastAsiaTheme="minorEastAsia" w:cstheme="minorEastAsia"/>
          <w:color w:val="auto"/>
          <w:sz w:val="28"/>
          <w:szCs w:val="28"/>
        </w:rPr>
        <w:tab/>
      </w: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rPr>
        <w:fldChar w:fldCharType="end"/>
      </w:r>
      <w:r>
        <w:rPr>
          <w:rFonts w:hint="eastAsia" w:asciiTheme="minorEastAsia" w:hAnsiTheme="minorEastAsia" w:eastAsiaTheme="minorEastAsia" w:cstheme="minorEastAsia"/>
          <w:color w:val="auto"/>
          <w:sz w:val="28"/>
          <w:szCs w:val="28"/>
        </w:rPr>
        <w:t>4</w:t>
      </w:r>
    </w:p>
    <w:p>
      <w:pPr>
        <w:pStyle w:val="16"/>
        <w:spacing w:line="900" w:lineRule="exact"/>
        <w:rPr>
          <w:rStyle w:val="29"/>
          <w:rFonts w:asciiTheme="minorEastAsia" w:hAnsiTheme="minorEastAsia" w:eastAsiaTheme="minorEastAsia" w:cstheme="minorEastAsia"/>
          <w:color w:val="auto"/>
          <w:sz w:val="28"/>
          <w:szCs w:val="28"/>
          <w:u w:val="none"/>
        </w:rPr>
      </w:pPr>
      <w:r>
        <w:rPr>
          <w:rStyle w:val="29"/>
          <w:rFonts w:hint="eastAsia" w:asciiTheme="minorEastAsia" w:hAnsiTheme="minorEastAsia" w:eastAsiaTheme="minorEastAsia" w:cstheme="minorEastAsia"/>
          <w:color w:val="auto"/>
          <w:sz w:val="28"/>
          <w:szCs w:val="28"/>
          <w:u w:val="none"/>
        </w:rPr>
        <w:t>第四篇  资格审查及评标办法</w:t>
      </w:r>
      <w:r>
        <w:rPr>
          <w:rFonts w:hint="eastAsia" w:asciiTheme="minorEastAsia" w:hAnsiTheme="minorEastAsia" w:eastAsiaTheme="minorEastAsia" w:cstheme="minorEastAsia"/>
          <w:color w:val="auto"/>
          <w:sz w:val="28"/>
          <w:szCs w:val="28"/>
        </w:rPr>
        <w:tab/>
      </w:r>
      <w:r>
        <w:rPr>
          <w:rStyle w:val="29"/>
          <w:rFonts w:hint="eastAsia" w:asciiTheme="minorEastAsia" w:hAnsiTheme="minorEastAsia" w:eastAsiaTheme="minorEastAsia" w:cstheme="minorEastAsia"/>
          <w:color w:val="auto"/>
          <w:sz w:val="28"/>
          <w:szCs w:val="28"/>
          <w:u w:val="none"/>
        </w:rPr>
        <w:t>18</w:t>
      </w:r>
    </w:p>
    <w:p>
      <w:pPr>
        <w:pStyle w:val="16"/>
        <w:spacing w:line="900" w:lineRule="exact"/>
        <w:rPr>
          <w:rFonts w:eastAsiaTheme="minorEastAsia"/>
          <w:color w:val="auto"/>
        </w:rPr>
      </w:pPr>
      <w:r>
        <w:rPr>
          <w:rStyle w:val="29"/>
          <w:rFonts w:hint="eastAsia" w:asciiTheme="minorEastAsia" w:hAnsiTheme="minorEastAsia" w:eastAsiaTheme="minorEastAsia" w:cstheme="minorEastAsia"/>
          <w:color w:val="auto"/>
          <w:sz w:val="28"/>
          <w:szCs w:val="28"/>
          <w:u w:val="none"/>
        </w:rPr>
        <w:t>第五篇  投标人须知</w:t>
      </w:r>
      <w:r>
        <w:rPr>
          <w:rFonts w:hint="eastAsia" w:asciiTheme="minorEastAsia" w:hAnsiTheme="minorEastAsia" w:eastAsiaTheme="minorEastAsia" w:cstheme="minorEastAsia"/>
          <w:color w:val="auto"/>
          <w:sz w:val="28"/>
          <w:szCs w:val="28"/>
        </w:rPr>
        <w:tab/>
      </w:r>
      <w:r>
        <w:rPr>
          <w:rStyle w:val="29"/>
          <w:rFonts w:hint="eastAsia" w:asciiTheme="minorEastAsia" w:hAnsiTheme="minorEastAsia" w:eastAsiaTheme="minorEastAsia" w:cstheme="minorEastAsia"/>
          <w:color w:val="auto"/>
          <w:sz w:val="28"/>
          <w:szCs w:val="28"/>
          <w:u w:val="none"/>
        </w:rPr>
        <w:t>27</w:t>
      </w:r>
    </w:p>
    <w:p>
      <w:pPr>
        <w:pStyle w:val="16"/>
        <w:spacing w:line="900" w:lineRule="exact"/>
        <w:rPr>
          <w:rFonts w:asciiTheme="minorEastAsia" w:hAnsiTheme="minorEastAsia" w:eastAsiaTheme="minorEastAsia" w:cstheme="minorEastAsia"/>
          <w:color w:val="auto"/>
          <w:kern w:val="2"/>
          <w:sz w:val="28"/>
          <w:szCs w:val="28"/>
        </w:rPr>
      </w:pPr>
      <w:r>
        <w:fldChar w:fldCharType="begin"/>
      </w:r>
      <w:r>
        <w:instrText xml:space="preserve"> HYPERLINK \l "_Toc138929559" </w:instrText>
      </w:r>
      <w:r>
        <w:fldChar w:fldCharType="separate"/>
      </w:r>
      <w:r>
        <w:rPr>
          <w:rStyle w:val="29"/>
          <w:rFonts w:hint="eastAsia" w:asciiTheme="minorEastAsia" w:hAnsiTheme="minorEastAsia" w:eastAsiaTheme="minorEastAsia" w:cstheme="minorEastAsia"/>
          <w:color w:val="auto"/>
          <w:sz w:val="28"/>
          <w:szCs w:val="28"/>
        </w:rPr>
        <w:t>第六篇  合同文本</w:t>
      </w:r>
      <w:r>
        <w:rPr>
          <w:rFonts w:hint="eastAsia" w:asciiTheme="minorEastAsia" w:hAnsiTheme="minorEastAsia" w:eastAsiaTheme="minorEastAsia" w:cstheme="minorEastAsia"/>
          <w:color w:val="auto"/>
          <w:sz w:val="28"/>
          <w:szCs w:val="28"/>
        </w:rPr>
        <w:tab/>
      </w:r>
      <w:r>
        <w:rPr>
          <w:rFonts w:hint="eastAsia" w:asciiTheme="minorEastAsia" w:hAnsiTheme="minorEastAsia" w:eastAsiaTheme="minorEastAsia" w:cstheme="minorEastAsia"/>
          <w:color w:val="auto"/>
          <w:sz w:val="28"/>
          <w:szCs w:val="28"/>
        </w:rPr>
        <w:t>4</w:t>
      </w:r>
      <w:r>
        <w:rPr>
          <w:rFonts w:hint="eastAsia" w:asciiTheme="minorEastAsia" w:hAnsiTheme="minorEastAsia" w:eastAsiaTheme="minorEastAsia" w:cstheme="minorEastAsia"/>
          <w:color w:val="auto"/>
          <w:sz w:val="28"/>
          <w:szCs w:val="28"/>
        </w:rPr>
        <w:fldChar w:fldCharType="end"/>
      </w:r>
      <w:r>
        <w:rPr>
          <w:rFonts w:hint="eastAsia" w:asciiTheme="minorEastAsia" w:hAnsiTheme="minorEastAsia" w:eastAsiaTheme="minorEastAsia" w:cstheme="minorEastAsia"/>
          <w:color w:val="auto"/>
          <w:sz w:val="28"/>
          <w:szCs w:val="28"/>
        </w:rPr>
        <w:t>1</w:t>
      </w:r>
    </w:p>
    <w:p>
      <w:pPr>
        <w:pStyle w:val="16"/>
        <w:spacing w:line="900" w:lineRule="exact"/>
        <w:rPr>
          <w:rFonts w:asciiTheme="minorEastAsia" w:hAnsiTheme="minorEastAsia" w:eastAsiaTheme="minorEastAsia" w:cstheme="minorEastAsia"/>
          <w:color w:val="auto"/>
          <w:kern w:val="2"/>
          <w:sz w:val="28"/>
          <w:szCs w:val="28"/>
        </w:rPr>
      </w:pPr>
      <w:r>
        <w:fldChar w:fldCharType="begin"/>
      </w:r>
      <w:r>
        <w:instrText xml:space="preserve"> HYPERLINK \l "_Toc138929560" </w:instrText>
      </w:r>
      <w:r>
        <w:fldChar w:fldCharType="separate"/>
      </w:r>
      <w:r>
        <w:rPr>
          <w:rStyle w:val="29"/>
          <w:rFonts w:hint="eastAsia" w:asciiTheme="minorEastAsia" w:hAnsiTheme="minorEastAsia" w:eastAsiaTheme="minorEastAsia" w:cstheme="minorEastAsia"/>
          <w:color w:val="auto"/>
          <w:sz w:val="28"/>
          <w:szCs w:val="28"/>
        </w:rPr>
        <w:t>第七篇  投标文件格式</w:t>
      </w:r>
      <w:r>
        <w:rPr>
          <w:rFonts w:hint="eastAsia" w:asciiTheme="minorEastAsia" w:hAnsiTheme="minorEastAsia" w:eastAsiaTheme="minorEastAsia" w:cstheme="minorEastAsia"/>
          <w:color w:val="auto"/>
          <w:sz w:val="28"/>
          <w:szCs w:val="28"/>
        </w:rPr>
        <w:tab/>
      </w:r>
      <w:r>
        <w:rPr>
          <w:rFonts w:hint="eastAsia" w:asciiTheme="minorEastAsia" w:hAnsiTheme="minorEastAsia" w:eastAsiaTheme="minorEastAsia" w:cstheme="minorEastAsia"/>
          <w:color w:val="auto"/>
          <w:sz w:val="28"/>
          <w:szCs w:val="28"/>
        </w:rPr>
        <w:fldChar w:fldCharType="begin"/>
      </w:r>
      <w:r>
        <w:rPr>
          <w:rFonts w:hint="eastAsia" w:asciiTheme="minorEastAsia" w:hAnsiTheme="minorEastAsia" w:eastAsiaTheme="minorEastAsia" w:cstheme="minorEastAsia"/>
          <w:color w:val="auto"/>
          <w:sz w:val="28"/>
          <w:szCs w:val="28"/>
        </w:rPr>
        <w:instrText xml:space="preserve"> PAGEREF _Toc138929560 \h </w:instrText>
      </w:r>
      <w:r>
        <w:rPr>
          <w:rFonts w:hint="eastAsia" w:asciiTheme="minorEastAsia" w:hAnsiTheme="minorEastAsia" w:eastAsiaTheme="minorEastAsia" w:cstheme="minorEastAsia"/>
          <w:color w:val="auto"/>
          <w:sz w:val="28"/>
          <w:szCs w:val="28"/>
        </w:rPr>
        <w:fldChar w:fldCharType="separate"/>
      </w:r>
      <w:r>
        <w:rPr>
          <w:rFonts w:hint="eastAsia" w:asciiTheme="minorEastAsia" w:hAnsiTheme="minorEastAsia" w:eastAsiaTheme="minorEastAsia" w:cstheme="minorEastAsia"/>
          <w:color w:val="auto"/>
          <w:sz w:val="28"/>
          <w:szCs w:val="28"/>
        </w:rPr>
        <w:t>54</w:t>
      </w:r>
      <w:r>
        <w:rPr>
          <w:rFonts w:hint="eastAsia" w:asciiTheme="minorEastAsia" w:hAnsiTheme="minorEastAsia" w:eastAsiaTheme="minorEastAsia" w:cstheme="minorEastAsia"/>
          <w:color w:val="auto"/>
          <w:sz w:val="28"/>
          <w:szCs w:val="28"/>
        </w:rPr>
        <w:fldChar w:fldCharType="end"/>
      </w:r>
      <w:r>
        <w:rPr>
          <w:rFonts w:hint="eastAsia" w:asciiTheme="minorEastAsia" w:hAnsiTheme="minorEastAsia" w:eastAsiaTheme="minorEastAsia" w:cstheme="minorEastAsia"/>
          <w:color w:val="auto"/>
          <w:sz w:val="28"/>
          <w:szCs w:val="28"/>
        </w:rPr>
        <w:fldChar w:fldCharType="end"/>
      </w:r>
    </w:p>
    <w:p>
      <w:pPr>
        <w:snapToGrid w:val="0"/>
        <w:spacing w:line="620" w:lineRule="exact"/>
        <w:jc w:val="both"/>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end"/>
      </w:r>
    </w:p>
    <w:p>
      <w:pPr>
        <w:snapToGrid w:val="0"/>
        <w:spacing w:line="360" w:lineRule="auto"/>
        <w:jc w:val="both"/>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tabs>
          <w:tab w:val="left" w:pos="3180"/>
        </w:tabs>
        <w:rPr>
          <w:rFonts w:asciiTheme="minorEastAsia" w:hAnsiTheme="minorEastAsia" w:eastAsiaTheme="minorEastAsia" w:cstheme="minorEastAsia"/>
        </w:rPr>
      </w:pPr>
      <w:r>
        <w:rPr>
          <w:rFonts w:asciiTheme="minorEastAsia" w:hAnsiTheme="minorEastAsia" w:eastAsiaTheme="minorEastAsia" w:cstheme="minorEastAsia"/>
        </w:rPr>
        <w:tab/>
      </w:r>
    </w:p>
    <w:p>
      <w:pPr>
        <w:tabs>
          <w:tab w:val="left" w:pos="3180"/>
        </w:tabs>
        <w:rPr>
          <w:rFonts w:asciiTheme="minorEastAsia" w:hAnsiTheme="minorEastAsia" w:eastAsiaTheme="minorEastAsia" w:cstheme="minorEastAsia"/>
        </w:rPr>
        <w:sectPr>
          <w:footerReference r:id="rId8" w:type="default"/>
          <w:pgSz w:w="11907" w:h="16840"/>
          <w:pgMar w:top="1418" w:right="1247" w:bottom="1247" w:left="1418" w:header="851" w:footer="851" w:gutter="0"/>
          <w:cols w:space="720" w:num="1"/>
          <w:titlePg/>
          <w:docGrid w:linePitch="326" w:charSpace="0"/>
        </w:sectPr>
      </w:pPr>
    </w:p>
    <w:p>
      <w:pPr>
        <w:pStyle w:val="3"/>
        <w:spacing w:before="120" w:after="120"/>
        <w:ind w:left="0" w:firstLine="0"/>
        <w:jc w:val="center"/>
        <w:rPr>
          <w:rFonts w:asciiTheme="minorEastAsia" w:hAnsiTheme="minorEastAsia" w:eastAsiaTheme="minorEastAsia" w:cstheme="minorEastAsia"/>
        </w:rPr>
      </w:pPr>
      <w:bookmarkStart w:id="10" w:name="_Toc138929554"/>
      <w:r>
        <w:rPr>
          <w:rFonts w:hint="eastAsia" w:asciiTheme="minorEastAsia" w:hAnsiTheme="minorEastAsia" w:eastAsiaTheme="minorEastAsia" w:cstheme="minorEastAsia"/>
        </w:rPr>
        <w:t>第一篇  投标邀请书</w:t>
      </w:r>
      <w:bookmarkEnd w:id="10"/>
    </w:p>
    <w:p>
      <w:pPr>
        <w:snapToGrid w:val="0"/>
        <w:spacing w:line="360" w:lineRule="exact"/>
        <w:ind w:firstLine="420" w:firstLineChars="200"/>
        <w:jc w:val="both"/>
        <w:rPr>
          <w:rFonts w:asciiTheme="minorEastAsia" w:hAnsiTheme="minorEastAsia" w:eastAsiaTheme="minorEastAsia" w:cstheme="minorEastAsia"/>
          <w:sz w:val="21"/>
          <w:szCs w:val="21"/>
        </w:rPr>
      </w:pPr>
      <w:bookmarkStart w:id="11" w:name="_Toc180051010"/>
      <w:bookmarkStart w:id="12" w:name="_Toc184023102"/>
      <w:bookmarkStart w:id="13" w:name="_Toc174185146"/>
      <w:bookmarkStart w:id="14" w:name="_Toc184013603"/>
      <w:bookmarkStart w:id="15" w:name="_Toc186274099"/>
      <w:r>
        <w:rPr>
          <w:rFonts w:hint="eastAsia" w:asciiTheme="minorEastAsia" w:hAnsiTheme="minorEastAsia" w:eastAsiaTheme="minorEastAsia" w:cstheme="minorEastAsia"/>
          <w:sz w:val="21"/>
          <w:szCs w:val="21"/>
        </w:rPr>
        <w:t>根据《中华人民共和国政府采购法》、《政府采购货物和服务招标投标管理办法》（财政部第87号令）等法律法规规定，西南大学现对“核磁共振波谱仪采购”项目进行公开招标，欢迎具有相关资格的潜在投标人参与投标。</w:t>
      </w:r>
    </w:p>
    <w:p>
      <w:pPr>
        <w:pStyle w:val="4"/>
        <w:snapToGrid w:val="0"/>
        <w:spacing w:before="0" w:after="0" w:line="360" w:lineRule="exact"/>
        <w:ind w:left="0" w:firstLine="422" w:firstLineChars="200"/>
        <w:rPr>
          <w:rFonts w:ascii="宋体" w:hAnsi="宋体"/>
          <w:sz w:val="21"/>
          <w:szCs w:val="21"/>
        </w:rPr>
      </w:pPr>
      <w:r>
        <w:rPr>
          <w:rFonts w:hint="eastAsia" w:ascii="宋体" w:hAnsi="宋体"/>
          <w:sz w:val="21"/>
          <w:szCs w:val="21"/>
        </w:rPr>
        <w:t>一、采购项目内容</w:t>
      </w:r>
      <w:bookmarkEnd w:id="11"/>
      <w:bookmarkEnd w:id="12"/>
      <w:bookmarkEnd w:id="13"/>
      <w:bookmarkEnd w:id="14"/>
      <w:bookmarkEnd w:id="15"/>
      <w:bookmarkStart w:id="16" w:name="_Toc174185147"/>
      <w:bookmarkStart w:id="17" w:name="_Toc184023103"/>
      <w:bookmarkStart w:id="18" w:name="_Toc186274100"/>
      <w:bookmarkStart w:id="19" w:name="_Toc180051011"/>
      <w:bookmarkStart w:id="20" w:name="_Toc184013604"/>
    </w:p>
    <w:tbl>
      <w:tblPr>
        <w:tblStyle w:val="24"/>
        <w:tblW w:w="97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6"/>
        <w:gridCol w:w="2027"/>
        <w:gridCol w:w="1936"/>
        <w:gridCol w:w="22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3506" w:type="dxa"/>
            <w:tcBorders>
              <w:top w:val="single" w:color="auto" w:sz="4" w:space="0"/>
              <w:left w:val="single" w:color="auto" w:sz="4" w:space="0"/>
              <w:right w:val="single" w:color="auto" w:sz="4" w:space="0"/>
            </w:tcBorders>
            <w:vAlign w:val="center"/>
          </w:tcPr>
          <w:p>
            <w:pPr>
              <w:snapToGrid w:val="0"/>
              <w:spacing w:line="360" w:lineRule="exact"/>
              <w:jc w:val="center"/>
              <w:textAlignment w:val="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项目名称</w:t>
            </w:r>
          </w:p>
        </w:tc>
        <w:tc>
          <w:tcPr>
            <w:tcW w:w="2027" w:type="dxa"/>
            <w:tcBorders>
              <w:top w:val="single" w:color="auto" w:sz="4" w:space="0"/>
              <w:left w:val="single" w:color="auto" w:sz="4" w:space="0"/>
              <w:right w:val="single" w:color="auto" w:sz="4" w:space="0"/>
            </w:tcBorders>
            <w:vAlign w:val="center"/>
          </w:tcPr>
          <w:p>
            <w:pPr>
              <w:widowControl/>
              <w:snapToGrid w:val="0"/>
              <w:spacing w:line="360" w:lineRule="exact"/>
              <w:jc w:val="center"/>
              <w:textAlignment w:val="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最高限价</w:t>
            </w:r>
          </w:p>
          <w:p>
            <w:pPr>
              <w:widowControl/>
              <w:snapToGrid w:val="0"/>
              <w:spacing w:line="360" w:lineRule="exact"/>
              <w:jc w:val="center"/>
              <w:textAlignment w:val="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（万元）</w:t>
            </w:r>
          </w:p>
        </w:tc>
        <w:tc>
          <w:tcPr>
            <w:tcW w:w="1936" w:type="dxa"/>
            <w:tcBorders>
              <w:top w:val="single" w:color="auto" w:sz="4" w:space="0"/>
              <w:left w:val="single" w:color="auto" w:sz="4" w:space="0"/>
              <w:right w:val="single" w:color="auto" w:sz="4" w:space="0"/>
            </w:tcBorders>
            <w:vAlign w:val="center"/>
          </w:tcPr>
          <w:p>
            <w:pPr>
              <w:snapToGrid w:val="0"/>
              <w:spacing w:line="360" w:lineRule="exact"/>
              <w:jc w:val="center"/>
              <w:textAlignment w:val="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数量（套）</w:t>
            </w:r>
          </w:p>
        </w:tc>
        <w:tc>
          <w:tcPr>
            <w:tcW w:w="2298" w:type="dxa"/>
            <w:tcBorders>
              <w:top w:val="single" w:color="auto" w:sz="4" w:space="0"/>
              <w:left w:val="single" w:color="auto" w:sz="4" w:space="0"/>
              <w:right w:val="single" w:color="auto" w:sz="4" w:space="0"/>
            </w:tcBorders>
            <w:vAlign w:val="center"/>
          </w:tcPr>
          <w:p>
            <w:pPr>
              <w:pStyle w:val="8"/>
              <w:spacing w:line="240" w:lineRule="atLeast"/>
              <w:ind w:left="0" w:leftChars="0"/>
              <w:jc w:val="center"/>
              <w:outlineLvl w:val="0"/>
              <w:rPr>
                <w:rFonts w:asciiTheme="minorEastAsia" w:hAnsiTheme="minorEastAsia" w:eastAsiaTheme="minorEastAsia" w:cstheme="minorEastAsia"/>
                <w:b/>
                <w:bCs/>
                <w:sz w:val="21"/>
                <w:szCs w:val="21"/>
              </w:rPr>
            </w:pPr>
            <w:bookmarkStart w:id="21" w:name="_Toc105671349"/>
            <w:bookmarkStart w:id="22" w:name="_Toc27745"/>
            <w:bookmarkStart w:id="23" w:name="_Toc21067"/>
            <w:bookmarkStart w:id="24" w:name="_Toc135668345"/>
            <w:bookmarkStart w:id="25" w:name="_Toc138929555"/>
            <w:r>
              <w:rPr>
                <w:rFonts w:hint="eastAsia" w:asciiTheme="minorEastAsia" w:hAnsiTheme="minorEastAsia" w:eastAsiaTheme="minorEastAsia" w:cstheme="minorEastAsia"/>
                <w:b/>
                <w:bCs/>
                <w:sz w:val="21"/>
                <w:szCs w:val="21"/>
              </w:rPr>
              <w:t>中标人数量（名）</w:t>
            </w:r>
            <w:bookmarkEnd w:id="21"/>
            <w:bookmarkEnd w:id="22"/>
            <w:bookmarkEnd w:id="23"/>
            <w:bookmarkEnd w:id="24"/>
            <w:bookmarkEnd w:id="2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350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核磁共振波谱仪采购</w:t>
            </w:r>
          </w:p>
        </w:tc>
        <w:tc>
          <w:tcPr>
            <w:tcW w:w="2027"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800</w:t>
            </w:r>
          </w:p>
        </w:tc>
        <w:tc>
          <w:tcPr>
            <w:tcW w:w="1936" w:type="dxa"/>
            <w:tcBorders>
              <w:top w:val="single" w:color="auto" w:sz="4" w:space="0"/>
              <w:left w:val="single" w:color="auto" w:sz="4" w:space="0"/>
              <w:right w:val="single" w:color="auto" w:sz="4" w:space="0"/>
            </w:tcBorders>
            <w:vAlign w:val="center"/>
          </w:tcPr>
          <w:p>
            <w:pPr>
              <w:snapToGrid w:val="0"/>
              <w:spacing w:line="360" w:lineRule="exact"/>
              <w:jc w:val="center"/>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1</w:t>
            </w:r>
          </w:p>
        </w:tc>
        <w:tc>
          <w:tcPr>
            <w:tcW w:w="2298" w:type="dxa"/>
            <w:tcBorders>
              <w:top w:val="single" w:color="auto" w:sz="4" w:space="0"/>
              <w:left w:val="single" w:color="auto" w:sz="4" w:space="0"/>
              <w:right w:val="single" w:color="auto" w:sz="4" w:space="0"/>
            </w:tcBorders>
            <w:vAlign w:val="center"/>
          </w:tcPr>
          <w:p>
            <w:pPr>
              <w:pStyle w:val="6"/>
              <w:spacing w:line="400" w:lineRule="exact"/>
              <w:ind w:firstLine="0"/>
              <w:jc w:val="center"/>
              <w:outlineLvl w:val="0"/>
              <w:rPr>
                <w:rFonts w:asciiTheme="minorEastAsia" w:hAnsiTheme="minorEastAsia" w:eastAsiaTheme="minorEastAsia" w:cstheme="minorEastAsia"/>
                <w:b/>
                <w:bCs/>
                <w:sz w:val="21"/>
                <w:szCs w:val="21"/>
              </w:rPr>
            </w:pPr>
            <w:bookmarkStart w:id="26" w:name="_Toc12869"/>
            <w:bookmarkStart w:id="27" w:name="_Toc135668346"/>
            <w:bookmarkStart w:id="28" w:name="_Toc138929556"/>
            <w:bookmarkStart w:id="29" w:name="_Toc569"/>
            <w:bookmarkStart w:id="30" w:name="_Toc105671351"/>
            <w:r>
              <w:rPr>
                <w:rFonts w:hint="eastAsia" w:asciiTheme="minorEastAsia" w:hAnsiTheme="minorEastAsia" w:eastAsiaTheme="minorEastAsia" w:cstheme="minorEastAsia"/>
                <w:b/>
                <w:bCs/>
                <w:sz w:val="21"/>
                <w:szCs w:val="21"/>
              </w:rPr>
              <w:t>1</w:t>
            </w:r>
            <w:bookmarkEnd w:id="26"/>
            <w:bookmarkEnd w:id="27"/>
            <w:bookmarkEnd w:id="28"/>
            <w:bookmarkEnd w:id="29"/>
            <w:bookmarkEnd w:id="3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7" w:hRule="atLeast"/>
          <w:jc w:val="center"/>
        </w:trPr>
        <w:tc>
          <w:tcPr>
            <w:tcW w:w="9767" w:type="dxa"/>
            <w:gridSpan w:val="4"/>
            <w:tcBorders>
              <w:top w:val="single" w:color="auto" w:sz="4" w:space="0"/>
              <w:left w:val="single" w:color="auto" w:sz="4" w:space="0"/>
              <w:right w:val="single" w:color="auto" w:sz="4" w:space="0"/>
            </w:tcBorders>
          </w:tcPr>
          <w:p>
            <w:pPr>
              <w:widowControl/>
              <w:snapToGrid w:val="0"/>
              <w:spacing w:line="360" w:lineRule="exact"/>
              <w:textAlignment w:val="auto"/>
              <w:rPr>
                <w:rFonts w:asciiTheme="minorEastAsia" w:hAnsiTheme="minorEastAsia" w:eastAsiaTheme="minorEastAsia" w:cstheme="minorEastAsia"/>
                <w:sz w:val="21"/>
                <w:szCs w:val="21"/>
              </w:rPr>
            </w:pPr>
            <w:bookmarkStart w:id="31" w:name="_Hlk344477914"/>
            <w:r>
              <w:rPr>
                <w:rFonts w:hint="eastAsia" w:asciiTheme="minorEastAsia" w:hAnsiTheme="minorEastAsia" w:eastAsiaTheme="minorEastAsia" w:cstheme="minorEastAsia"/>
                <w:sz w:val="21"/>
                <w:szCs w:val="21"/>
              </w:rPr>
              <w:t>注：1.投标人报价不得超过本项目</w:t>
            </w:r>
            <w:r>
              <w:rPr>
                <w:rFonts w:hint="eastAsia" w:asciiTheme="minorEastAsia" w:hAnsiTheme="minorEastAsia" w:eastAsiaTheme="minorEastAsia" w:cstheme="minorEastAsia"/>
                <w:b/>
                <w:bCs/>
                <w:sz w:val="21"/>
                <w:szCs w:val="21"/>
              </w:rPr>
              <w:t>“最高限价”</w:t>
            </w:r>
            <w:r>
              <w:rPr>
                <w:rFonts w:hint="eastAsia" w:asciiTheme="minorEastAsia" w:hAnsiTheme="minorEastAsia" w:eastAsiaTheme="minorEastAsia" w:cstheme="minorEastAsia"/>
                <w:sz w:val="21"/>
                <w:szCs w:val="21"/>
              </w:rPr>
              <w:t>；</w:t>
            </w:r>
          </w:p>
          <w:p>
            <w:pPr>
              <w:widowControl/>
              <w:snapToGrid w:val="0"/>
              <w:spacing w:line="360" w:lineRule="exact"/>
              <w:ind w:firstLine="420" w:firstLineChars="200"/>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2.以上采购项目内容的具体要求，见“第二篇 </w:t>
            </w:r>
            <w:r>
              <w:rPr>
                <w:rFonts w:hint="eastAsia" w:ascii="黑体" w:hAnsi="黑体" w:cs="黑体"/>
                <w:sz w:val="21"/>
                <w:szCs w:val="21"/>
              </w:rPr>
              <w:t>采购需求</w:t>
            </w:r>
            <w:r>
              <w:rPr>
                <w:rFonts w:hint="eastAsia" w:asciiTheme="minorEastAsia" w:hAnsiTheme="minorEastAsia" w:eastAsiaTheme="minorEastAsia" w:cstheme="minorEastAsia"/>
                <w:sz w:val="21"/>
                <w:szCs w:val="21"/>
              </w:rPr>
              <w:t>”；</w:t>
            </w:r>
          </w:p>
          <w:p>
            <w:pPr>
              <w:widowControl/>
              <w:snapToGrid w:val="0"/>
              <w:spacing w:line="360" w:lineRule="exact"/>
              <w:ind w:firstLine="420" w:firstLineChars="200"/>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3.本项目允许采购进口产品（进口产品指通过中国海关报关验放进入中国境内且产自关境外的产品)，进口产品若非制造商参与投标，则须提供制造商授权函。</w:t>
            </w:r>
          </w:p>
          <w:p>
            <w:pPr>
              <w:pStyle w:val="2"/>
              <w:rPr>
                <w:rFonts w:asciiTheme="minorEastAsia" w:hAnsiTheme="minorEastAsia" w:eastAsiaTheme="minorEastAsia" w:cstheme="minorEastAsia"/>
                <w:sz w:val="21"/>
                <w:szCs w:val="21"/>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z w:val="21"/>
                <w:szCs w:val="21"/>
              </w:rPr>
              <w:t xml:space="preserve"> 4.本项目核心产品为</w:t>
            </w:r>
            <w:r>
              <w:rPr>
                <w:rFonts w:hint="eastAsia"/>
                <w:b/>
                <w:bCs/>
                <w:szCs w:val="21"/>
                <w:lang w:bidi="ar"/>
              </w:rPr>
              <w:t>超导磁体</w:t>
            </w:r>
            <w:r>
              <w:rPr>
                <w:rFonts w:hint="eastAsia" w:asciiTheme="minorEastAsia" w:hAnsiTheme="minorEastAsia" w:eastAsiaTheme="minorEastAsia" w:cstheme="minorEastAsia"/>
                <w:b/>
                <w:bCs/>
                <w:sz w:val="21"/>
                <w:szCs w:val="21"/>
              </w:rPr>
              <w:t>；</w:t>
            </w:r>
          </w:p>
          <w:p>
            <w:pPr>
              <w:pStyle w:val="2"/>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sz w:val="21"/>
                <w:szCs w:val="21"/>
              </w:rPr>
              <w:t>5.本项目采购标的对应的《中小企业划型标准规定》所属行业为</w:t>
            </w:r>
            <w:r>
              <w:rPr>
                <w:rFonts w:hint="eastAsia" w:asciiTheme="minorEastAsia" w:hAnsiTheme="minorEastAsia" w:eastAsiaTheme="minorEastAsia" w:cstheme="minorEastAsia"/>
                <w:b/>
                <w:bCs/>
                <w:sz w:val="21"/>
                <w:szCs w:val="21"/>
              </w:rPr>
              <w:t>：工业</w:t>
            </w:r>
          </w:p>
        </w:tc>
      </w:tr>
      <w:bookmarkEnd w:id="31"/>
    </w:tbl>
    <w:p>
      <w:pPr>
        <w:tabs>
          <w:tab w:val="left" w:pos="2370"/>
        </w:tabs>
        <w:snapToGrid w:val="0"/>
        <w:spacing w:line="360" w:lineRule="auto"/>
        <w:rPr>
          <w:rFonts w:asciiTheme="minorEastAsia" w:hAnsiTheme="minorEastAsia" w:eastAsiaTheme="minorEastAsia" w:cstheme="minorEastAsia"/>
          <w:b/>
          <w:sz w:val="21"/>
          <w:szCs w:val="21"/>
        </w:rPr>
      </w:pPr>
    </w:p>
    <w:p>
      <w:pPr>
        <w:pStyle w:val="4"/>
        <w:snapToGrid w:val="0"/>
        <w:spacing w:before="0" w:after="0" w:line="360" w:lineRule="exact"/>
        <w:ind w:left="0" w:firstLine="422" w:firstLineChars="200"/>
        <w:rPr>
          <w:rFonts w:ascii="宋体" w:hAnsi="宋体"/>
          <w:sz w:val="21"/>
          <w:szCs w:val="21"/>
        </w:rPr>
      </w:pPr>
      <w:r>
        <w:rPr>
          <w:rFonts w:hint="eastAsia" w:ascii="宋体" w:hAnsi="宋体"/>
          <w:sz w:val="21"/>
          <w:szCs w:val="21"/>
        </w:rPr>
        <w:t>二、资金来源</w:t>
      </w:r>
    </w:p>
    <w:p>
      <w:pPr>
        <w:snapToGrid w:val="0"/>
        <w:spacing w:line="40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财政预算资金，采购人资金已到位。预算金额：</w:t>
      </w:r>
      <w:r>
        <w:rPr>
          <w:rFonts w:hint="eastAsia" w:asciiTheme="minorEastAsia" w:hAnsiTheme="minorEastAsia" w:eastAsiaTheme="minorEastAsia" w:cstheme="minorEastAsia"/>
          <w:sz w:val="21"/>
          <w:szCs w:val="21"/>
          <w:lang w:bidi="ar"/>
        </w:rPr>
        <w:t>人民币800万元。</w:t>
      </w:r>
    </w:p>
    <w:p>
      <w:pPr>
        <w:spacing w:line="400" w:lineRule="exact"/>
        <w:ind w:firstLine="424" w:firstLineChars="202"/>
        <w:rPr>
          <w:rFonts w:asciiTheme="minorEastAsia" w:hAnsiTheme="minorEastAsia" w:eastAsiaTheme="minorEastAsia" w:cstheme="minorEastAsia"/>
        </w:rPr>
      </w:pPr>
      <w:r>
        <w:rPr>
          <w:rFonts w:hint="eastAsia" w:asciiTheme="minorEastAsia" w:hAnsiTheme="minorEastAsia" w:eastAsiaTheme="minorEastAsia" w:cstheme="minorEastAsia"/>
          <w:sz w:val="21"/>
          <w:szCs w:val="21"/>
        </w:rPr>
        <w:t>项目预算是完成整个项目的预算额，若关境外货物报价中不含进口清关费用的，评审时将按加上清关费用的价格判断其是否为超预算报价。清关费用的计算方式见第四篇所述。该计算方式中涉及的系数和计算汇率及现钞卖出价只作为判断其投标报价是否满足预算要求及计算评标价时使用。</w:t>
      </w:r>
    </w:p>
    <w:p>
      <w:pPr>
        <w:rPr>
          <w:rFonts w:asciiTheme="minorEastAsia" w:hAnsiTheme="minorEastAsia" w:eastAsiaTheme="minorEastAsia" w:cstheme="minorEastAsia"/>
        </w:rPr>
      </w:pPr>
    </w:p>
    <w:p>
      <w:pPr>
        <w:pStyle w:val="4"/>
        <w:snapToGrid w:val="0"/>
        <w:spacing w:before="0" w:after="0" w:line="360" w:lineRule="exact"/>
        <w:ind w:left="0" w:firstLine="422" w:firstLineChars="200"/>
        <w:rPr>
          <w:rFonts w:ascii="宋体" w:hAnsi="宋体"/>
          <w:sz w:val="21"/>
          <w:szCs w:val="21"/>
        </w:rPr>
      </w:pPr>
      <w:r>
        <w:rPr>
          <w:rFonts w:hint="eastAsia" w:ascii="宋体" w:hAnsi="宋体"/>
          <w:sz w:val="21"/>
          <w:szCs w:val="21"/>
        </w:rPr>
        <w:t>三、 投标人资格要求</w:t>
      </w:r>
    </w:p>
    <w:bookmarkEnd w:id="16"/>
    <w:p>
      <w:pPr>
        <w:snapToGrid w:val="0"/>
        <w:spacing w:line="360" w:lineRule="auto"/>
        <w:ind w:firstLine="210" w:firstLineChars="100"/>
        <w:rPr>
          <w:rFonts w:asciiTheme="minorEastAsia" w:hAnsiTheme="minorEastAsia" w:eastAsiaTheme="minorEastAsia" w:cstheme="minorEastAsia"/>
          <w:sz w:val="21"/>
          <w:szCs w:val="21"/>
        </w:rPr>
      </w:pPr>
      <w:bookmarkStart w:id="32" w:name="_Toc174185148"/>
      <w:r>
        <w:rPr>
          <w:rFonts w:hint="eastAsia" w:asciiTheme="minorEastAsia" w:hAnsiTheme="minorEastAsia" w:eastAsiaTheme="minorEastAsia" w:cstheme="minorEastAsia"/>
          <w:sz w:val="21"/>
          <w:szCs w:val="21"/>
        </w:rPr>
        <w:t>（一）满足《中华人民共和国政府采购法》第二十二条规定；</w:t>
      </w:r>
    </w:p>
    <w:p>
      <w:pPr>
        <w:snapToGrid w:val="0"/>
        <w:spacing w:line="360" w:lineRule="auto"/>
        <w:ind w:firstLine="210" w:firstLineChars="1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w:t>
      </w:r>
      <w:r>
        <w:rPr>
          <w:rFonts w:hint="eastAsia" w:ascii="宋体" w:hAnsi="宋体" w:cs="宋体"/>
          <w:sz w:val="21"/>
          <w:szCs w:val="21"/>
        </w:rPr>
        <w:t>落实政府采购政策需满足的资格要求：无。</w:t>
      </w:r>
    </w:p>
    <w:p>
      <w:pPr>
        <w:snapToGrid w:val="0"/>
        <w:spacing w:line="360" w:lineRule="auto"/>
        <w:ind w:firstLine="210" w:firstLineChars="1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（三）本项目的特定资格要求：</w:t>
      </w:r>
      <w:bookmarkStart w:id="33" w:name="OLE_LINK14"/>
    </w:p>
    <w:bookmarkEnd w:id="33"/>
    <w:p>
      <w:pPr>
        <w:snapToGrid w:val="0"/>
        <w:spacing w:line="36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bidi="ar"/>
        </w:rPr>
        <w:t>进口产品须提供生产制造商的经销授权函或具有授权权限的代理商对投标产品的授权，且需提供该代理商具有有效授权权限的相关证明文件，证明文件需能显示产品制造厂家对投标产品授权链条的完整性（进口产品制造商参与投标的，不需要提供该授权）。</w:t>
      </w:r>
    </w:p>
    <w:p>
      <w:pPr>
        <w:pStyle w:val="4"/>
        <w:snapToGrid w:val="0"/>
        <w:spacing w:before="0" w:after="0" w:line="360" w:lineRule="exact"/>
        <w:ind w:left="0" w:firstLine="422" w:firstLineChars="200"/>
        <w:rPr>
          <w:rFonts w:ascii="宋体" w:hAnsi="宋体"/>
          <w:sz w:val="21"/>
          <w:szCs w:val="21"/>
        </w:rPr>
      </w:pPr>
      <w:r>
        <w:rPr>
          <w:rFonts w:hint="eastAsia" w:ascii="宋体" w:hAnsi="宋体"/>
          <w:sz w:val="21"/>
          <w:szCs w:val="21"/>
        </w:rPr>
        <w:t>四、投标、开标的有关说明</w:t>
      </w:r>
    </w:p>
    <w:bookmarkEnd w:id="17"/>
    <w:bookmarkEnd w:id="18"/>
    <w:bookmarkEnd w:id="19"/>
    <w:bookmarkEnd w:id="20"/>
    <w:bookmarkEnd w:id="32"/>
    <w:p>
      <w:pPr>
        <w:snapToGrid w:val="0"/>
        <w:spacing w:line="360" w:lineRule="auto"/>
        <w:ind w:firstLine="420" w:firstLineChars="200"/>
        <w:jc w:val="both"/>
        <w:rPr>
          <w:rFonts w:asciiTheme="minorEastAsia" w:hAnsiTheme="minorEastAsia" w:eastAsiaTheme="minorEastAsia" w:cstheme="minorEastAsia"/>
          <w:kern w:val="2"/>
          <w:sz w:val="21"/>
          <w:szCs w:val="21"/>
        </w:rPr>
      </w:pPr>
      <w:bookmarkStart w:id="34" w:name="_Toc186274101"/>
      <w:bookmarkStart w:id="35" w:name="_Toc184023104"/>
      <w:bookmarkStart w:id="36" w:name="_Toc184013605"/>
      <w:bookmarkStart w:id="37" w:name="_Toc180051012"/>
      <w:bookmarkStart w:id="38" w:name="_Toc174185149"/>
      <w:r>
        <w:rPr>
          <w:rFonts w:hint="eastAsia" w:asciiTheme="minorEastAsia" w:hAnsiTheme="minorEastAsia" w:eastAsiaTheme="minorEastAsia" w:cstheme="minorEastAsia"/>
          <w:sz w:val="21"/>
          <w:szCs w:val="21"/>
        </w:rPr>
        <w:t>（一）招标文件的获取：</w:t>
      </w:r>
      <w:r>
        <w:rPr>
          <w:rFonts w:hint="eastAsia" w:asciiTheme="minorEastAsia" w:hAnsiTheme="minorEastAsia" w:eastAsiaTheme="minorEastAsia" w:cstheme="minorEastAsia"/>
          <w:kern w:val="2"/>
          <w:sz w:val="21"/>
          <w:szCs w:val="21"/>
        </w:rPr>
        <w:t>凡有意参加本项目投标的投标人，</w:t>
      </w:r>
      <w:r>
        <w:rPr>
          <w:rFonts w:hint="eastAsia" w:asciiTheme="minorEastAsia" w:hAnsiTheme="minorEastAsia" w:eastAsiaTheme="minorEastAsia" w:cstheme="minorEastAsia"/>
          <w:sz w:val="21"/>
          <w:szCs w:val="21"/>
        </w:rPr>
        <w:t xml:space="preserve">请于 </w:t>
      </w:r>
      <w:r>
        <w:rPr>
          <w:rFonts w:hint="eastAsia" w:asciiTheme="minorEastAsia" w:hAnsiTheme="minorEastAsia" w:eastAsiaTheme="minorEastAsia" w:cstheme="minorEastAsia"/>
          <w:sz w:val="21"/>
          <w:szCs w:val="21"/>
          <w:u w:val="single"/>
        </w:rPr>
        <w:t>2023</w:t>
      </w:r>
      <w:r>
        <w:rPr>
          <w:rFonts w:hint="eastAsia" w:asciiTheme="minorEastAsia" w:hAnsiTheme="minorEastAsia" w:eastAsiaTheme="minorEastAsia" w:cstheme="minorEastAsia"/>
          <w:sz w:val="21"/>
          <w:szCs w:val="21"/>
        </w:rPr>
        <w:t xml:space="preserve"> 年</w:t>
      </w:r>
      <w:r>
        <w:rPr>
          <w:rFonts w:hint="eastAsia" w:asciiTheme="minorEastAsia" w:hAnsiTheme="minorEastAsia" w:eastAsiaTheme="minorEastAsia" w:cstheme="minorEastAsia"/>
          <w:sz w:val="21"/>
          <w:szCs w:val="21"/>
          <w:u w:val="single"/>
        </w:rPr>
        <w:t>10</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u w:val="single"/>
        </w:rPr>
        <w:t>12</w:t>
      </w:r>
      <w:r>
        <w:rPr>
          <w:rFonts w:hint="eastAsia" w:asciiTheme="minorEastAsia" w:hAnsiTheme="minorEastAsia" w:eastAsiaTheme="minorEastAsia" w:cstheme="minorEastAsia"/>
          <w:sz w:val="21"/>
          <w:szCs w:val="21"/>
        </w:rPr>
        <w:t>日起</w:t>
      </w:r>
      <w:r>
        <w:rPr>
          <w:rFonts w:hint="eastAsia" w:asciiTheme="minorEastAsia" w:hAnsiTheme="minorEastAsia" w:eastAsiaTheme="minorEastAsia" w:cstheme="minorEastAsia"/>
          <w:kern w:val="2"/>
          <w:sz w:val="21"/>
          <w:szCs w:val="21"/>
        </w:rPr>
        <w:t>在</w:t>
      </w:r>
      <w:r>
        <w:rPr>
          <w:rFonts w:hint="eastAsia" w:asciiTheme="minorEastAsia" w:hAnsiTheme="minorEastAsia" w:eastAsiaTheme="minorEastAsia" w:cstheme="minorEastAsia"/>
          <w:sz w:val="21"/>
          <w:szCs w:val="21"/>
        </w:rPr>
        <w:t>《中国政府采购网》（http://www.ccgp.gov.cn/）或</w:t>
      </w:r>
      <w:r>
        <w:rPr>
          <w:rFonts w:hint="eastAsia" w:asciiTheme="minorEastAsia" w:hAnsiTheme="minorEastAsia" w:eastAsiaTheme="minorEastAsia" w:cstheme="minorEastAsia"/>
          <w:kern w:val="2"/>
          <w:sz w:val="21"/>
          <w:szCs w:val="21"/>
        </w:rPr>
        <w:t>西南大学采购与招投标管理中心网页</w:t>
      </w:r>
      <w:r>
        <w:rPr>
          <w:rFonts w:hint="eastAsia" w:asciiTheme="minorEastAsia" w:hAnsiTheme="minorEastAsia" w:eastAsiaTheme="minorEastAsia" w:cstheme="minorEastAsia"/>
          <w:b/>
          <w:bCs/>
          <w:kern w:val="2"/>
          <w:sz w:val="21"/>
          <w:szCs w:val="21"/>
        </w:rPr>
        <w:t>（https://ecaigou.swu.edu.cn:30910/bid/index?redirect=%2F）</w:t>
      </w:r>
      <w:r>
        <w:rPr>
          <w:rFonts w:hint="eastAsia" w:asciiTheme="minorEastAsia" w:hAnsiTheme="minorEastAsia" w:eastAsiaTheme="minorEastAsia" w:cstheme="minorEastAsia"/>
          <w:sz w:val="21"/>
          <w:szCs w:val="21"/>
        </w:rPr>
        <w:t>网上下载本项目招标文件、图纸（如果有）、补遗等开标前公布的所有项目资料，无论投标人领取或下载与否，采购人和采购组织机构都视为投标人全部收到以上资料并全部知晓有关招标过程和事宜，若未及时登录前述网站下载获取相关资料，所产生的一切后果由投标人自行负责。</w:t>
      </w:r>
    </w:p>
    <w:p>
      <w:pPr>
        <w:snapToGrid w:val="0"/>
        <w:spacing w:line="360" w:lineRule="auto"/>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（二）招标文件公告期限（获取招标文件期限）：自招标公告发布之日</w:t>
      </w:r>
      <w:r>
        <w:rPr>
          <w:rFonts w:hint="eastAsia" w:asciiTheme="minorEastAsia" w:hAnsiTheme="minorEastAsia" w:eastAsiaTheme="minorEastAsia" w:cstheme="minorEastAsia"/>
          <w:sz w:val="21"/>
          <w:szCs w:val="21"/>
          <w:u w:val="single"/>
        </w:rPr>
        <w:t>2023</w:t>
      </w:r>
      <w:r>
        <w:rPr>
          <w:rFonts w:hint="eastAsia" w:asciiTheme="minorEastAsia" w:hAnsiTheme="minorEastAsia" w:eastAsiaTheme="minorEastAsia" w:cstheme="minorEastAsia"/>
          <w:sz w:val="21"/>
          <w:szCs w:val="21"/>
        </w:rPr>
        <w:t xml:space="preserve"> 年</w:t>
      </w:r>
      <w:r>
        <w:rPr>
          <w:rFonts w:hint="eastAsia" w:asciiTheme="minorEastAsia" w:hAnsiTheme="minorEastAsia" w:eastAsiaTheme="minorEastAsia" w:cstheme="minorEastAsia"/>
          <w:sz w:val="21"/>
          <w:szCs w:val="21"/>
          <w:u w:val="single"/>
        </w:rPr>
        <w:t>10</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u w:val="single"/>
        </w:rPr>
        <w:t>12</w:t>
      </w:r>
      <w:r>
        <w:rPr>
          <w:rFonts w:hint="eastAsia" w:asciiTheme="minorEastAsia" w:hAnsiTheme="minorEastAsia" w:eastAsiaTheme="minorEastAsia" w:cstheme="minorEastAsia"/>
          <w:sz w:val="21"/>
          <w:szCs w:val="21"/>
        </w:rPr>
        <w:t>日</w:t>
      </w:r>
      <w:r>
        <w:rPr>
          <w:rFonts w:hint="eastAsia" w:asciiTheme="minorEastAsia" w:hAnsiTheme="minorEastAsia" w:eastAsiaTheme="minorEastAsia" w:cstheme="minorEastAsia"/>
          <w:kern w:val="2"/>
          <w:sz w:val="21"/>
          <w:szCs w:val="21"/>
        </w:rPr>
        <w:t>起五个工作日</w:t>
      </w:r>
      <w:r>
        <w:rPr>
          <w:rFonts w:hint="eastAsia" w:asciiTheme="minorEastAsia" w:hAnsiTheme="minorEastAsia" w:eastAsiaTheme="minorEastAsia" w:cstheme="minorEastAsia"/>
          <w:b/>
          <w:bCs/>
          <w:kern w:val="2"/>
          <w:sz w:val="21"/>
          <w:szCs w:val="21"/>
        </w:rPr>
        <w:t>。</w:t>
      </w:r>
    </w:p>
    <w:p>
      <w:pPr>
        <w:snapToGri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（三）招标文件资料费：400元/份，资料费收取后不予退还，可在线支付或现场扫描二维码支付。</w:t>
      </w:r>
    </w:p>
    <w:p>
      <w:pPr>
        <w:snapToGri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（1）在线支付</w:t>
      </w:r>
    </w:p>
    <w:p>
      <w:pPr>
        <w:tabs>
          <w:tab w:val="left" w:pos="8100"/>
          <w:tab w:val="left" w:pos="8280"/>
        </w:tabs>
        <w:spacing w:line="46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微信扫下图二维码，关注“西南大学e采购”官方公众号，或微信公众号搜索“西南大学e采购”加关注。打开公众号右下角“关于我们”，点击“在线缴费”，根据缴费提示完成在线支付。</w:t>
      </w:r>
    </w:p>
    <w:p>
      <w:pPr>
        <w:pStyle w:val="16"/>
        <w:rPr>
          <w:rFonts w:asciiTheme="minorEastAsia" w:hAnsiTheme="minorEastAsia" w:eastAsiaTheme="minorEastAsia" w:cstheme="minorEastAsia"/>
          <w:color w:val="auto"/>
        </w:rPr>
      </w:pPr>
    </w:p>
    <w:p>
      <w:pPr>
        <w:tabs>
          <w:tab w:val="left" w:pos="8100"/>
          <w:tab w:val="left" w:pos="8280"/>
        </w:tabs>
        <w:spacing w:line="460" w:lineRule="exact"/>
        <w:ind w:left="360" w:firstLine="539"/>
        <w:rPr>
          <w:rFonts w:asciiTheme="minorEastAsia" w:hAnsiTheme="minorEastAsia" w:eastAsiaTheme="minorEastAsia" w:cstheme="minorEastAsia"/>
          <w:sz w:val="21"/>
          <w:szCs w:val="21"/>
        </w:rPr>
      </w:pPr>
    </w:p>
    <w:p>
      <w:pPr>
        <w:tabs>
          <w:tab w:val="left" w:pos="8100"/>
          <w:tab w:val="left" w:pos="8280"/>
        </w:tabs>
        <w:spacing w:line="460" w:lineRule="exact"/>
        <w:ind w:left="360" w:firstLine="539"/>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drawing>
          <wp:anchor distT="0" distB="0" distL="114300" distR="114300" simplePos="0" relativeHeight="251660288" behindDoc="0" locked="0" layoutInCell="1" allowOverlap="1">
            <wp:simplePos x="0" y="0"/>
            <wp:positionH relativeFrom="column">
              <wp:posOffset>3272790</wp:posOffset>
            </wp:positionH>
            <wp:positionV relativeFrom="paragraph">
              <wp:posOffset>-558800</wp:posOffset>
            </wp:positionV>
            <wp:extent cx="1931670" cy="1570990"/>
            <wp:effectExtent l="0" t="0" r="11430" b="10160"/>
            <wp:wrapNone/>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icPr>
                  <pic:blipFill>
                    <a:blip r:embed="rId20"/>
                    <a:stretch>
                      <a:fillRect/>
                    </a:stretch>
                  </pic:blipFill>
                  <pic:spPr>
                    <a:xfrm>
                      <a:off x="0" y="0"/>
                      <a:ext cx="1931670" cy="1570990"/>
                    </a:xfrm>
                    <a:prstGeom prst="rect">
                      <a:avLst/>
                    </a:prstGeom>
                    <a:noFill/>
                    <a:ln>
                      <a:noFill/>
                    </a:ln>
                  </pic:spPr>
                </pic:pic>
              </a:graphicData>
            </a:graphic>
          </wp:anchor>
        </w:drawing>
      </w:r>
      <w:r>
        <w:rPr>
          <w:rFonts w:hint="eastAsia" w:asciiTheme="minorEastAsia" w:hAnsiTheme="minorEastAsia" w:eastAsiaTheme="minorEastAsia" w:cstheme="minorEastAsia"/>
          <w:sz w:val="21"/>
          <w:szCs w:val="21"/>
        </w:rPr>
        <w:drawing>
          <wp:anchor distT="0" distB="0" distL="114300" distR="114300" simplePos="0" relativeHeight="251659264" behindDoc="0" locked="0" layoutInCell="1" allowOverlap="1">
            <wp:simplePos x="0" y="0"/>
            <wp:positionH relativeFrom="column">
              <wp:posOffset>654685</wp:posOffset>
            </wp:positionH>
            <wp:positionV relativeFrom="paragraph">
              <wp:posOffset>-414020</wp:posOffset>
            </wp:positionV>
            <wp:extent cx="1447800" cy="1447800"/>
            <wp:effectExtent l="0" t="0" r="0" b="0"/>
            <wp:wrapNone/>
            <wp:docPr id="1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pic:cNvPicPr>
                      <a:picLocks noChangeAspect="1"/>
                    </pic:cNvPicPr>
                  </pic:nvPicPr>
                  <pic:blipFill>
                    <a:blip r:embed="rId21"/>
                    <a:stretch>
                      <a:fillRect/>
                    </a:stretch>
                  </pic:blipFill>
                  <pic:spPr>
                    <a:xfrm>
                      <a:off x="0" y="0"/>
                      <a:ext cx="1447800" cy="1447800"/>
                    </a:xfrm>
                    <a:prstGeom prst="rect">
                      <a:avLst/>
                    </a:prstGeom>
                    <a:noFill/>
                    <a:ln>
                      <a:noFill/>
                    </a:ln>
                  </pic:spPr>
                </pic:pic>
              </a:graphicData>
            </a:graphic>
          </wp:anchor>
        </w:drawing>
      </w:r>
    </w:p>
    <w:p>
      <w:pPr>
        <w:tabs>
          <w:tab w:val="left" w:pos="8100"/>
          <w:tab w:val="left" w:pos="8280"/>
        </w:tabs>
        <w:spacing w:line="460" w:lineRule="exact"/>
        <w:ind w:firstLine="420" w:firstLineChars="200"/>
        <w:rPr>
          <w:rFonts w:asciiTheme="minorEastAsia" w:hAnsiTheme="minorEastAsia" w:eastAsiaTheme="minorEastAsia" w:cstheme="minorEastAsia"/>
          <w:sz w:val="21"/>
          <w:szCs w:val="21"/>
        </w:rPr>
      </w:pPr>
    </w:p>
    <w:p>
      <w:pPr>
        <w:tabs>
          <w:tab w:val="left" w:pos="8100"/>
          <w:tab w:val="left" w:pos="8280"/>
        </w:tabs>
        <w:spacing w:line="460" w:lineRule="exact"/>
        <w:ind w:firstLine="420" w:firstLineChars="200"/>
        <w:rPr>
          <w:rFonts w:asciiTheme="minorEastAsia" w:hAnsiTheme="minorEastAsia" w:eastAsiaTheme="minorEastAsia" w:cstheme="minorEastAsia"/>
          <w:sz w:val="21"/>
          <w:szCs w:val="21"/>
        </w:rPr>
      </w:pPr>
    </w:p>
    <w:p>
      <w:pPr>
        <w:tabs>
          <w:tab w:val="left" w:pos="8100"/>
          <w:tab w:val="left" w:pos="8280"/>
        </w:tabs>
        <w:spacing w:line="460" w:lineRule="exact"/>
        <w:ind w:firstLine="420" w:firstLineChars="200"/>
        <w:rPr>
          <w:rFonts w:asciiTheme="minorEastAsia" w:hAnsiTheme="minorEastAsia" w:eastAsiaTheme="minorEastAsia" w:cstheme="minorEastAsia"/>
          <w:sz w:val="21"/>
          <w:szCs w:val="21"/>
        </w:rPr>
      </w:pPr>
    </w:p>
    <w:p>
      <w:pPr>
        <w:tabs>
          <w:tab w:val="left" w:pos="8100"/>
          <w:tab w:val="left" w:pos="8280"/>
        </w:tabs>
        <w:spacing w:line="46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采购与招投标管理中心官方公众号</w:t>
      </w:r>
    </w:p>
    <w:p>
      <w:pPr>
        <w:tabs>
          <w:tab w:val="left" w:pos="8100"/>
          <w:tab w:val="left" w:pos="8280"/>
        </w:tabs>
        <w:spacing w:line="46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（2）现场扫描二维码支付</w:t>
      </w:r>
    </w:p>
    <w:p>
      <w:pPr>
        <w:tabs>
          <w:tab w:val="left" w:pos="8100"/>
          <w:tab w:val="left" w:pos="8280"/>
        </w:tabs>
        <w:spacing w:line="46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通过西南大学采购与招投标管理中心提供的二维码现场扫码付款，并在“备注”栏填写采购项目编号和分包号。</w:t>
      </w:r>
    </w:p>
    <w:p>
      <w:pPr>
        <w:tabs>
          <w:tab w:val="left" w:pos="8100"/>
          <w:tab w:val="left" w:pos="8280"/>
        </w:tabs>
        <w:spacing w:line="46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发票索取：请准确填写“发票抬头”和“纳税人识别号”，并加入西南大学供应商群，向采购与招投标管理中心工作人员索取电子发票。</w:t>
      </w:r>
    </w:p>
    <w:p>
      <w:pPr>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drawing>
          <wp:anchor distT="0" distB="0" distL="114300" distR="114300" simplePos="0" relativeHeight="251661312" behindDoc="0" locked="0" layoutInCell="1" allowOverlap="1">
            <wp:simplePos x="0" y="0"/>
            <wp:positionH relativeFrom="column">
              <wp:posOffset>2857500</wp:posOffset>
            </wp:positionH>
            <wp:positionV relativeFrom="paragraph">
              <wp:posOffset>297180</wp:posOffset>
            </wp:positionV>
            <wp:extent cx="2266950" cy="2381250"/>
            <wp:effectExtent l="0" t="0" r="0" b="0"/>
            <wp:wrapNone/>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pic:cNvPicPr>
                  </pic:nvPicPr>
                  <pic:blipFill>
                    <a:blip r:embed="rId22"/>
                    <a:stretch>
                      <a:fillRect/>
                    </a:stretch>
                  </pic:blipFill>
                  <pic:spPr>
                    <a:xfrm>
                      <a:off x="0" y="0"/>
                      <a:ext cx="2266950" cy="2381250"/>
                    </a:xfrm>
                    <a:prstGeom prst="rect">
                      <a:avLst/>
                    </a:prstGeom>
                    <a:noFill/>
                    <a:ln>
                      <a:noFill/>
                    </a:ln>
                  </pic:spPr>
                </pic:pic>
              </a:graphicData>
            </a:graphic>
          </wp:anchor>
        </w:drawing>
      </w:r>
      <w:r>
        <w:rPr>
          <w:rFonts w:hint="eastAsia" w:asciiTheme="minorEastAsia" w:hAnsiTheme="minorEastAsia" w:eastAsiaTheme="minorEastAsia" w:cstheme="minorEastAsia"/>
          <w:sz w:val="21"/>
          <w:szCs w:val="21"/>
        </w:rPr>
        <w:drawing>
          <wp:inline distT="0" distB="0" distL="114300" distR="114300">
            <wp:extent cx="2223135" cy="2747010"/>
            <wp:effectExtent l="0" t="0" r="5715" b="1524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23"/>
                    <a:stretch>
                      <a:fillRect/>
                    </a:stretch>
                  </pic:blipFill>
                  <pic:spPr>
                    <a:xfrm>
                      <a:off x="0" y="0"/>
                      <a:ext cx="2223135" cy="2747010"/>
                    </a:xfrm>
                    <a:prstGeom prst="rect">
                      <a:avLst/>
                    </a:prstGeom>
                    <a:noFill/>
                    <a:ln>
                      <a:noFill/>
                    </a:ln>
                  </pic:spPr>
                </pic:pic>
              </a:graphicData>
            </a:graphic>
          </wp:inline>
        </w:drawing>
      </w:r>
    </w:p>
    <w:p>
      <w:pPr>
        <w:snapToGrid w:val="0"/>
        <w:spacing w:line="360" w:lineRule="exact"/>
        <w:ind w:left="240" w:leftChars="100" w:firstLine="210" w:firstLineChars="100"/>
        <w:textAlignment w:val="auto"/>
        <w:rPr>
          <w:rFonts w:asciiTheme="minorEastAsia" w:hAnsiTheme="minorEastAsia" w:eastAsiaTheme="minorEastAsia" w:cstheme="minorEastAsia"/>
          <w:sz w:val="21"/>
          <w:szCs w:val="21"/>
        </w:rPr>
      </w:pPr>
    </w:p>
    <w:p>
      <w:pPr>
        <w:snapToGrid w:val="0"/>
        <w:spacing w:line="360" w:lineRule="exact"/>
        <w:ind w:firstLine="420" w:firstLineChars="200"/>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（四）投标文件递交起止时间：</w:t>
      </w:r>
      <w:r>
        <w:rPr>
          <w:rFonts w:hint="eastAsia" w:asciiTheme="minorEastAsia" w:hAnsiTheme="minorEastAsia" w:eastAsiaTheme="minorEastAsia" w:cstheme="minorEastAsia"/>
          <w:b/>
          <w:bCs/>
          <w:sz w:val="21"/>
          <w:szCs w:val="21"/>
          <w:u w:val="single"/>
        </w:rPr>
        <w:t>2023</w:t>
      </w:r>
      <w:r>
        <w:rPr>
          <w:rFonts w:hint="eastAsia" w:asciiTheme="minorEastAsia" w:hAnsiTheme="minorEastAsia" w:eastAsiaTheme="minorEastAsia" w:cstheme="minorEastAsia"/>
          <w:b/>
          <w:bCs/>
          <w:sz w:val="21"/>
          <w:szCs w:val="21"/>
        </w:rPr>
        <w:t xml:space="preserve"> 年</w:t>
      </w:r>
      <w:r>
        <w:rPr>
          <w:rFonts w:hint="eastAsia" w:asciiTheme="minorEastAsia" w:hAnsiTheme="minorEastAsia" w:eastAsiaTheme="minorEastAsia" w:cstheme="minorEastAsia"/>
          <w:b/>
          <w:bCs/>
          <w:sz w:val="21"/>
          <w:szCs w:val="21"/>
          <w:u w:val="single"/>
        </w:rPr>
        <w:t>11</w:t>
      </w:r>
      <w:r>
        <w:rPr>
          <w:rFonts w:hint="eastAsia" w:asciiTheme="minorEastAsia" w:hAnsiTheme="minorEastAsia" w:eastAsiaTheme="minorEastAsia" w:cstheme="minorEastAsia"/>
          <w:b/>
          <w:bCs/>
          <w:sz w:val="21"/>
          <w:szCs w:val="21"/>
        </w:rPr>
        <w:t>月</w:t>
      </w:r>
      <w:r>
        <w:rPr>
          <w:rFonts w:hint="eastAsia" w:asciiTheme="minorEastAsia" w:hAnsiTheme="minorEastAsia" w:eastAsiaTheme="minorEastAsia" w:cstheme="minorEastAsia"/>
          <w:b/>
          <w:bCs/>
          <w:sz w:val="21"/>
          <w:szCs w:val="21"/>
          <w:u w:val="single"/>
        </w:rPr>
        <w:t>2</w:t>
      </w:r>
      <w:r>
        <w:rPr>
          <w:rFonts w:hint="eastAsia" w:asciiTheme="minorEastAsia" w:hAnsiTheme="minorEastAsia" w:eastAsiaTheme="minorEastAsia" w:cstheme="minorEastAsia"/>
          <w:b/>
          <w:bCs/>
          <w:sz w:val="21"/>
          <w:szCs w:val="21"/>
        </w:rPr>
        <w:t>日</w:t>
      </w:r>
      <w:r>
        <w:rPr>
          <w:rFonts w:hint="eastAsia" w:asciiTheme="minorEastAsia" w:hAnsiTheme="minorEastAsia" w:eastAsiaTheme="minorEastAsia" w:cstheme="minorEastAsia"/>
          <w:b/>
          <w:bCs/>
          <w:sz w:val="21"/>
          <w:szCs w:val="21"/>
          <w:u w:val="single"/>
        </w:rPr>
        <w:t>9</w:t>
      </w:r>
      <w:r>
        <w:rPr>
          <w:rFonts w:hint="eastAsia" w:asciiTheme="minorEastAsia" w:hAnsiTheme="minorEastAsia" w:eastAsiaTheme="minorEastAsia" w:cstheme="minorEastAsia"/>
          <w:b/>
          <w:bCs/>
          <w:sz w:val="21"/>
          <w:szCs w:val="21"/>
        </w:rPr>
        <w:t>时</w:t>
      </w:r>
      <w:r>
        <w:rPr>
          <w:rFonts w:hint="eastAsia" w:asciiTheme="minorEastAsia" w:hAnsiTheme="minorEastAsia" w:eastAsiaTheme="minorEastAsia" w:cstheme="minorEastAsia"/>
          <w:b/>
          <w:bCs/>
          <w:sz w:val="21"/>
          <w:szCs w:val="21"/>
          <w:u w:val="single"/>
        </w:rPr>
        <w:t>00</w:t>
      </w:r>
      <w:r>
        <w:rPr>
          <w:rFonts w:hint="eastAsia" w:asciiTheme="minorEastAsia" w:hAnsiTheme="minorEastAsia" w:eastAsiaTheme="minorEastAsia" w:cstheme="minorEastAsia"/>
          <w:b/>
          <w:bCs/>
          <w:sz w:val="21"/>
          <w:szCs w:val="21"/>
        </w:rPr>
        <w:t>分至</w:t>
      </w:r>
      <w:r>
        <w:rPr>
          <w:rFonts w:hint="eastAsia" w:asciiTheme="minorEastAsia" w:hAnsiTheme="minorEastAsia" w:eastAsiaTheme="minorEastAsia" w:cstheme="minorEastAsia"/>
          <w:b/>
          <w:bCs/>
          <w:sz w:val="21"/>
          <w:szCs w:val="21"/>
          <w:u w:val="single"/>
        </w:rPr>
        <w:t>2023</w:t>
      </w:r>
      <w:r>
        <w:rPr>
          <w:rFonts w:hint="eastAsia" w:asciiTheme="minorEastAsia" w:hAnsiTheme="minorEastAsia" w:eastAsiaTheme="minorEastAsia" w:cstheme="minorEastAsia"/>
          <w:b/>
          <w:bCs/>
          <w:sz w:val="21"/>
          <w:szCs w:val="21"/>
        </w:rPr>
        <w:t xml:space="preserve"> 年</w:t>
      </w:r>
      <w:r>
        <w:rPr>
          <w:rFonts w:hint="eastAsia" w:asciiTheme="minorEastAsia" w:hAnsiTheme="minorEastAsia" w:eastAsiaTheme="minorEastAsia" w:cstheme="minorEastAsia"/>
          <w:b/>
          <w:bCs/>
          <w:sz w:val="21"/>
          <w:szCs w:val="21"/>
          <w:u w:val="single"/>
        </w:rPr>
        <w:t>11</w:t>
      </w:r>
      <w:r>
        <w:rPr>
          <w:rFonts w:hint="eastAsia" w:asciiTheme="minorEastAsia" w:hAnsiTheme="minorEastAsia" w:eastAsiaTheme="minorEastAsia" w:cstheme="minorEastAsia"/>
          <w:b/>
          <w:bCs/>
          <w:sz w:val="21"/>
          <w:szCs w:val="21"/>
        </w:rPr>
        <w:t>月</w:t>
      </w:r>
      <w:r>
        <w:rPr>
          <w:rFonts w:hint="eastAsia" w:asciiTheme="minorEastAsia" w:hAnsiTheme="minorEastAsia" w:eastAsiaTheme="minorEastAsia" w:cstheme="minorEastAsia"/>
          <w:b/>
          <w:bCs/>
          <w:sz w:val="21"/>
          <w:szCs w:val="21"/>
          <w:u w:val="single"/>
        </w:rPr>
        <w:t>2</w:t>
      </w:r>
      <w:r>
        <w:rPr>
          <w:rFonts w:hint="eastAsia" w:asciiTheme="minorEastAsia" w:hAnsiTheme="minorEastAsia" w:eastAsiaTheme="minorEastAsia" w:cstheme="minorEastAsia"/>
          <w:b/>
          <w:bCs/>
          <w:sz w:val="21"/>
          <w:szCs w:val="21"/>
        </w:rPr>
        <w:t>日</w:t>
      </w:r>
      <w:r>
        <w:rPr>
          <w:rFonts w:hint="eastAsia" w:asciiTheme="minorEastAsia" w:hAnsiTheme="minorEastAsia" w:eastAsiaTheme="minorEastAsia" w:cstheme="minorEastAsia"/>
          <w:b/>
          <w:bCs/>
          <w:sz w:val="21"/>
          <w:szCs w:val="21"/>
          <w:u w:val="single"/>
        </w:rPr>
        <w:t>9</w:t>
      </w:r>
      <w:r>
        <w:rPr>
          <w:rFonts w:hint="eastAsia" w:asciiTheme="minorEastAsia" w:hAnsiTheme="minorEastAsia" w:eastAsiaTheme="minorEastAsia" w:cstheme="minorEastAsia"/>
          <w:b/>
          <w:bCs/>
          <w:sz w:val="21"/>
          <w:szCs w:val="21"/>
        </w:rPr>
        <w:t>时</w:t>
      </w:r>
      <w:r>
        <w:rPr>
          <w:rFonts w:hint="eastAsia" w:asciiTheme="minorEastAsia" w:hAnsiTheme="minorEastAsia" w:eastAsiaTheme="minorEastAsia" w:cstheme="minorEastAsia"/>
          <w:b/>
          <w:bCs/>
          <w:sz w:val="21"/>
          <w:szCs w:val="21"/>
          <w:u w:val="single"/>
        </w:rPr>
        <w:t>30</w:t>
      </w:r>
      <w:r>
        <w:rPr>
          <w:rFonts w:hint="eastAsia" w:asciiTheme="minorEastAsia" w:hAnsiTheme="minorEastAsia" w:eastAsiaTheme="minorEastAsia" w:cstheme="minorEastAsia"/>
          <w:b/>
          <w:bCs/>
          <w:sz w:val="21"/>
          <w:szCs w:val="21"/>
        </w:rPr>
        <w:t>分</w:t>
      </w:r>
      <w:r>
        <w:rPr>
          <w:rFonts w:hint="eastAsia" w:asciiTheme="minorEastAsia" w:hAnsiTheme="minorEastAsia" w:eastAsiaTheme="minorEastAsia" w:cstheme="minorEastAsia"/>
          <w:sz w:val="21"/>
          <w:szCs w:val="21"/>
        </w:rPr>
        <w:t>（北京时间，下同）接受投标文件。超过投标截止时间递交的投标文件，恕不接收。</w:t>
      </w:r>
    </w:p>
    <w:bookmarkEnd w:id="34"/>
    <w:bookmarkEnd w:id="35"/>
    <w:bookmarkEnd w:id="36"/>
    <w:bookmarkEnd w:id="37"/>
    <w:bookmarkEnd w:id="38"/>
    <w:p>
      <w:pPr>
        <w:snapToGrid w:val="0"/>
        <w:spacing w:line="360" w:lineRule="exact"/>
        <w:ind w:firstLine="420" w:firstLineChars="200"/>
        <w:textAlignment w:val="auto"/>
        <w:rPr>
          <w:rFonts w:asciiTheme="minorEastAsia" w:hAnsiTheme="minorEastAsia" w:eastAsiaTheme="minorEastAsia" w:cstheme="minorEastAsia"/>
          <w:kern w:val="2"/>
          <w:sz w:val="21"/>
          <w:szCs w:val="21"/>
        </w:rPr>
      </w:pPr>
      <w:bookmarkStart w:id="39" w:name="_Toc184013607"/>
      <w:bookmarkStart w:id="40" w:name="_Toc180051014"/>
      <w:bookmarkStart w:id="41" w:name="_Toc186274103"/>
      <w:bookmarkStart w:id="42" w:name="_Toc174185151"/>
      <w:bookmarkStart w:id="43" w:name="_Toc184023106"/>
      <w:r>
        <w:rPr>
          <w:rFonts w:hint="eastAsia" w:asciiTheme="minorEastAsia" w:hAnsiTheme="minorEastAsia" w:eastAsiaTheme="minorEastAsia" w:cstheme="minorEastAsia"/>
          <w:sz w:val="21"/>
          <w:szCs w:val="21"/>
        </w:rPr>
        <w:t>（五）递交投标文件截止时间和开标时间：</w:t>
      </w:r>
      <w:r>
        <w:rPr>
          <w:rFonts w:hint="eastAsia" w:asciiTheme="minorEastAsia" w:hAnsiTheme="minorEastAsia" w:eastAsiaTheme="minorEastAsia" w:cstheme="minorEastAsia"/>
          <w:b/>
          <w:bCs/>
          <w:sz w:val="21"/>
          <w:szCs w:val="21"/>
          <w:u w:val="single"/>
        </w:rPr>
        <w:t>2023</w:t>
      </w:r>
      <w:r>
        <w:rPr>
          <w:rFonts w:hint="eastAsia" w:asciiTheme="minorEastAsia" w:hAnsiTheme="minorEastAsia" w:eastAsiaTheme="minorEastAsia" w:cstheme="minorEastAsia"/>
          <w:b/>
          <w:bCs/>
          <w:sz w:val="21"/>
          <w:szCs w:val="21"/>
        </w:rPr>
        <w:t xml:space="preserve"> 年</w:t>
      </w:r>
      <w:r>
        <w:rPr>
          <w:rFonts w:hint="eastAsia" w:asciiTheme="minorEastAsia" w:hAnsiTheme="minorEastAsia" w:eastAsiaTheme="minorEastAsia" w:cstheme="minorEastAsia"/>
          <w:b/>
          <w:bCs/>
          <w:sz w:val="21"/>
          <w:szCs w:val="21"/>
          <w:u w:val="single"/>
        </w:rPr>
        <w:t>11</w:t>
      </w:r>
      <w:r>
        <w:rPr>
          <w:rFonts w:hint="eastAsia" w:asciiTheme="minorEastAsia" w:hAnsiTheme="minorEastAsia" w:eastAsiaTheme="minorEastAsia" w:cstheme="minorEastAsia"/>
          <w:b/>
          <w:bCs/>
          <w:sz w:val="21"/>
          <w:szCs w:val="21"/>
        </w:rPr>
        <w:t>月</w:t>
      </w:r>
      <w:r>
        <w:rPr>
          <w:rFonts w:hint="eastAsia" w:asciiTheme="minorEastAsia" w:hAnsiTheme="minorEastAsia" w:eastAsiaTheme="minorEastAsia" w:cstheme="minorEastAsia"/>
          <w:b/>
          <w:bCs/>
          <w:sz w:val="21"/>
          <w:szCs w:val="21"/>
          <w:u w:val="single"/>
        </w:rPr>
        <w:t>2</w:t>
      </w:r>
      <w:r>
        <w:rPr>
          <w:rFonts w:hint="eastAsia" w:asciiTheme="minorEastAsia" w:hAnsiTheme="minorEastAsia" w:eastAsiaTheme="minorEastAsia" w:cstheme="minorEastAsia"/>
          <w:b/>
          <w:bCs/>
          <w:sz w:val="21"/>
          <w:szCs w:val="21"/>
        </w:rPr>
        <w:t>日</w:t>
      </w:r>
      <w:r>
        <w:rPr>
          <w:rFonts w:hint="eastAsia" w:asciiTheme="minorEastAsia" w:hAnsiTheme="minorEastAsia" w:eastAsiaTheme="minorEastAsia" w:cstheme="minorEastAsia"/>
          <w:b/>
          <w:bCs/>
          <w:sz w:val="21"/>
          <w:szCs w:val="21"/>
          <w:u w:val="single"/>
        </w:rPr>
        <w:t>9</w:t>
      </w:r>
      <w:r>
        <w:rPr>
          <w:rFonts w:hint="eastAsia" w:asciiTheme="minorEastAsia" w:hAnsiTheme="minorEastAsia" w:eastAsiaTheme="minorEastAsia" w:cstheme="minorEastAsia"/>
          <w:b/>
          <w:bCs/>
          <w:sz w:val="21"/>
          <w:szCs w:val="21"/>
        </w:rPr>
        <w:t>时</w:t>
      </w:r>
      <w:r>
        <w:rPr>
          <w:rFonts w:hint="eastAsia" w:asciiTheme="minorEastAsia" w:hAnsiTheme="minorEastAsia" w:eastAsiaTheme="minorEastAsia" w:cstheme="minorEastAsia"/>
          <w:b/>
          <w:bCs/>
          <w:sz w:val="21"/>
          <w:szCs w:val="21"/>
          <w:u w:val="single"/>
        </w:rPr>
        <w:t>30</w:t>
      </w:r>
      <w:r>
        <w:rPr>
          <w:rFonts w:hint="eastAsia" w:asciiTheme="minorEastAsia" w:hAnsiTheme="minorEastAsia" w:eastAsiaTheme="minorEastAsia" w:cstheme="minorEastAsia"/>
          <w:b/>
          <w:bCs/>
          <w:sz w:val="21"/>
          <w:szCs w:val="21"/>
        </w:rPr>
        <w:t>分（北京时间）</w:t>
      </w:r>
      <w:r>
        <w:rPr>
          <w:rFonts w:hint="eastAsia" w:asciiTheme="minorEastAsia" w:hAnsiTheme="minorEastAsia" w:eastAsiaTheme="minorEastAsia" w:cstheme="minorEastAsia"/>
          <w:sz w:val="21"/>
          <w:szCs w:val="21"/>
        </w:rPr>
        <w:t>。</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（六）投标人须满足以下要件，其投标才被接受：</w:t>
      </w:r>
    </w:p>
    <w:p>
      <w:pPr>
        <w:snapToGrid w:val="0"/>
        <w:spacing w:line="360" w:lineRule="exact"/>
        <w:ind w:firstLine="525" w:firstLineChars="25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1、按时递交了投标文件；</w:t>
      </w:r>
    </w:p>
    <w:p>
      <w:pPr>
        <w:snapToGrid w:val="0"/>
        <w:spacing w:line="360" w:lineRule="exact"/>
        <w:ind w:firstLine="525" w:firstLineChars="25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2、按时签到；</w:t>
      </w:r>
    </w:p>
    <w:p>
      <w:pPr>
        <w:snapToGrid w:val="0"/>
        <w:spacing w:line="360" w:lineRule="exact"/>
        <w:ind w:firstLine="525" w:firstLineChars="25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3、按招标文件要求进行密封的投标文件。</w:t>
      </w:r>
    </w:p>
    <w:p>
      <w:pPr>
        <w:tabs>
          <w:tab w:val="left" w:pos="2370"/>
        </w:tabs>
        <w:snapToGrid w:val="0"/>
        <w:spacing w:line="360" w:lineRule="exact"/>
        <w:ind w:firstLine="420" w:firstLineChars="200"/>
        <w:rPr>
          <w:rFonts w:asciiTheme="minorEastAsia" w:hAnsiTheme="minorEastAsia" w:eastAsiaTheme="minorEastAsia" w:cstheme="minorEastAsia"/>
          <w:bCs/>
          <w:sz w:val="21"/>
          <w:szCs w:val="21"/>
        </w:rPr>
      </w:pPr>
      <w:bookmarkStart w:id="44" w:name="_Toc465262481"/>
      <w:r>
        <w:rPr>
          <w:rFonts w:hint="eastAsia" w:asciiTheme="minorEastAsia" w:hAnsiTheme="minorEastAsia" w:eastAsiaTheme="minorEastAsia" w:cstheme="minorEastAsia"/>
          <w:bCs/>
          <w:sz w:val="21"/>
          <w:szCs w:val="21"/>
        </w:rPr>
        <w:t>（七）</w:t>
      </w:r>
      <w:r>
        <w:rPr>
          <w:rFonts w:hint="eastAsia" w:asciiTheme="minorEastAsia" w:hAnsiTheme="minorEastAsia" w:eastAsiaTheme="minorEastAsia" w:cstheme="minorEastAsia"/>
          <w:bCs/>
          <w:kern w:val="2"/>
          <w:sz w:val="21"/>
          <w:szCs w:val="21"/>
        </w:rPr>
        <w:t>投标地点：</w:t>
      </w:r>
      <w:r>
        <w:rPr>
          <w:rFonts w:hint="eastAsia" w:asciiTheme="minorEastAsia" w:hAnsiTheme="minorEastAsia" w:eastAsiaTheme="minorEastAsia" w:cstheme="minorEastAsia"/>
          <w:kern w:val="2"/>
          <w:sz w:val="21"/>
          <w:szCs w:val="21"/>
        </w:rPr>
        <w:t>重庆市北碚区天生路2号西南大学文俊楼(南区行政楼)二楼采购与招投标管理中心开标1室（西南大学二号门内400米处）。</w:t>
      </w:r>
    </w:p>
    <w:p>
      <w:pPr>
        <w:tabs>
          <w:tab w:val="left" w:pos="2370"/>
        </w:tabs>
        <w:snapToGrid w:val="0"/>
        <w:spacing w:line="360" w:lineRule="exact"/>
        <w:ind w:firstLine="420" w:firstLineChars="200"/>
        <w:rPr>
          <w:rFonts w:asciiTheme="minorEastAsia" w:hAnsiTheme="minorEastAsia" w:eastAsiaTheme="minorEastAsia" w:cstheme="minorEastAsia"/>
          <w:bCs/>
          <w:kern w:val="2"/>
          <w:sz w:val="21"/>
          <w:szCs w:val="21"/>
        </w:rPr>
      </w:pPr>
      <w:r>
        <w:rPr>
          <w:rFonts w:hint="eastAsia" w:asciiTheme="minorEastAsia" w:hAnsiTheme="minorEastAsia" w:eastAsiaTheme="minorEastAsia" w:cstheme="minorEastAsia"/>
          <w:bCs/>
          <w:sz w:val="21"/>
          <w:szCs w:val="21"/>
        </w:rPr>
        <w:t>（八）</w:t>
      </w:r>
      <w:r>
        <w:rPr>
          <w:rFonts w:hint="eastAsia" w:asciiTheme="minorEastAsia" w:hAnsiTheme="minorEastAsia" w:eastAsiaTheme="minorEastAsia" w:cstheme="minorEastAsia"/>
          <w:bCs/>
          <w:kern w:val="2"/>
          <w:sz w:val="21"/>
          <w:szCs w:val="21"/>
        </w:rPr>
        <w:t>开标地点：同投标地点</w:t>
      </w:r>
    </w:p>
    <w:p>
      <w:pPr>
        <w:pStyle w:val="4"/>
        <w:snapToGrid w:val="0"/>
        <w:spacing w:before="0" w:after="0" w:line="360" w:lineRule="exact"/>
        <w:ind w:left="0" w:firstLine="422" w:firstLineChars="200"/>
        <w:rPr>
          <w:rFonts w:ascii="宋体" w:hAnsi="宋体"/>
          <w:sz w:val="21"/>
          <w:szCs w:val="21"/>
        </w:rPr>
      </w:pPr>
      <w:r>
        <w:rPr>
          <w:rFonts w:hint="eastAsia" w:ascii="宋体" w:hAnsi="宋体"/>
          <w:sz w:val="21"/>
          <w:szCs w:val="21"/>
        </w:rPr>
        <w:t>五、投标保证金</w:t>
      </w:r>
      <w:bookmarkEnd w:id="44"/>
    </w:p>
    <w:p>
      <w:pPr>
        <w:snapToGrid w:val="0"/>
        <w:spacing w:line="360" w:lineRule="exact"/>
        <w:ind w:firstLine="422" w:firstLineChars="200"/>
        <w:jc w:val="both"/>
        <w:textAlignment w:val="auto"/>
        <w:rPr>
          <w:rFonts w:asciiTheme="minorEastAsia" w:hAnsiTheme="minorEastAsia" w:eastAsiaTheme="minorEastAsia" w:cstheme="minorEastAsia"/>
          <w:kern w:val="2"/>
          <w:sz w:val="21"/>
          <w:szCs w:val="21"/>
        </w:rPr>
      </w:pPr>
      <w:bookmarkStart w:id="45" w:name="_Toc516648291"/>
      <w:bookmarkStart w:id="46" w:name="_Toc516249119"/>
      <w:bookmarkStart w:id="47" w:name="_Toc523826308"/>
      <w:bookmarkStart w:id="48" w:name="_Toc465262482"/>
      <w:r>
        <w:rPr>
          <w:rFonts w:hint="eastAsia" w:asciiTheme="minorEastAsia" w:hAnsiTheme="minorEastAsia" w:eastAsiaTheme="minorEastAsia" w:cstheme="minorEastAsia"/>
          <w:b/>
          <w:bCs/>
          <w:kern w:val="2"/>
          <w:sz w:val="21"/>
          <w:szCs w:val="21"/>
        </w:rPr>
        <w:t>本项目不收取投标（响应）保证金</w:t>
      </w:r>
      <w:r>
        <w:rPr>
          <w:rFonts w:hint="eastAsia" w:asciiTheme="minorEastAsia" w:hAnsiTheme="minorEastAsia" w:eastAsiaTheme="minorEastAsia" w:cstheme="minorEastAsia"/>
          <w:kern w:val="2"/>
          <w:sz w:val="21"/>
          <w:szCs w:val="21"/>
        </w:rPr>
        <w:t>，但投标人若存在以下情形的，将被列为西南大学失信行为人名单，视情节轻重，禁止失信行为人及其关联方3至5年内参加西南大学政府采购限额标准以下的任何采购项目：</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（一）在投标（响应）有效期内撤回投标（响应）文件的；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（二）无正当理由放弃中标（成交）资格的；    </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（三）不按规定提交履约担保或低价风险担保（如有）的；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（四）非不可抗力原因，拒不签订采购合同的；    </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（五）合同签订后拒绝履行合同义务的；    </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（六）弄虚作假，提供虚假材料的；    </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（七）存在围标、串标等违法行为的；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（八）其他严重扰乱采购程序的。</w:t>
      </w:r>
      <w:r>
        <w:rPr>
          <w:rFonts w:hint="eastAsia" w:asciiTheme="minorEastAsia" w:hAnsiTheme="minorEastAsia" w:eastAsiaTheme="minorEastAsia" w:cstheme="minorEastAsia"/>
          <w:kern w:val="2"/>
          <w:sz w:val="21"/>
          <w:szCs w:val="21"/>
        </w:rPr>
        <w:br w:type="textWrapping"/>
      </w:r>
      <w:r>
        <w:rPr>
          <w:rFonts w:hint="eastAsia" w:asciiTheme="minorEastAsia" w:hAnsiTheme="minorEastAsia" w:eastAsiaTheme="minorEastAsia" w:cstheme="minorEastAsia"/>
          <w:kern w:val="2"/>
          <w:sz w:val="21"/>
          <w:szCs w:val="21"/>
        </w:rPr>
        <w:t xml:space="preserve">    上述关联方是指单位负责人为同一人或存在直接控股、关联关系的不同供应商。</w:t>
      </w:r>
    </w:p>
    <w:p>
      <w:pPr>
        <w:pStyle w:val="4"/>
        <w:snapToGrid w:val="0"/>
        <w:spacing w:before="0" w:after="0" w:line="360" w:lineRule="exact"/>
        <w:ind w:left="0" w:firstLine="422" w:firstLineChars="200"/>
        <w:rPr>
          <w:rFonts w:ascii="宋体" w:hAnsi="宋体"/>
          <w:sz w:val="21"/>
          <w:szCs w:val="21"/>
        </w:rPr>
      </w:pPr>
      <w:r>
        <w:rPr>
          <w:rFonts w:ascii="宋体" w:hAnsi="宋体"/>
          <w:sz w:val="21"/>
          <w:szCs w:val="21"/>
        </w:rPr>
        <w:t>六、采购项目需落实的政府采购政策</w:t>
      </w:r>
    </w:p>
    <w:p>
      <w:pPr>
        <w:snapToGrid w:val="0"/>
        <w:spacing w:line="360" w:lineRule="exact"/>
        <w:ind w:firstLine="420" w:firstLineChars="200"/>
        <w:jc w:val="both"/>
        <w:rPr>
          <w:rFonts w:ascii="宋体" w:hAnsi="宋体"/>
          <w:sz w:val="21"/>
          <w:szCs w:val="21"/>
        </w:rPr>
      </w:pPr>
      <w:r>
        <w:rPr>
          <w:rFonts w:hint="eastAsia" w:ascii="宋体" w:hAnsi="宋体"/>
          <w:sz w:val="21"/>
          <w:szCs w:val="21"/>
        </w:rPr>
        <w:t>（一）按照《财政部 生态环境部关于印发环境标志产品政府采购品目清单的通知》（财库〔2019〕18号）和《财政部 发展改革委关于印发节能产品政府采购品目清单的通知》（财库〔2019〕19号）的规定，落实国家节能环保政策。</w:t>
      </w:r>
    </w:p>
    <w:p>
      <w:pPr>
        <w:snapToGrid w:val="0"/>
        <w:spacing w:line="360" w:lineRule="exact"/>
        <w:ind w:firstLine="420" w:firstLineChars="200"/>
        <w:jc w:val="both"/>
        <w:rPr>
          <w:rFonts w:ascii="宋体" w:hAnsi="宋体"/>
          <w:sz w:val="21"/>
          <w:szCs w:val="21"/>
        </w:rPr>
      </w:pPr>
      <w:r>
        <w:rPr>
          <w:rFonts w:ascii="宋体" w:hAnsi="宋体"/>
          <w:sz w:val="21"/>
          <w:szCs w:val="21"/>
        </w:rPr>
        <w:t>（</w:t>
      </w:r>
      <w:r>
        <w:rPr>
          <w:rFonts w:hint="eastAsia" w:ascii="宋体" w:hAnsi="宋体"/>
          <w:sz w:val="21"/>
          <w:szCs w:val="21"/>
        </w:rPr>
        <w:t>二</w:t>
      </w:r>
      <w:r>
        <w:rPr>
          <w:rFonts w:ascii="宋体" w:hAnsi="宋体"/>
          <w:sz w:val="21"/>
          <w:szCs w:val="21"/>
        </w:rPr>
        <w:t>）按照&lt;财政部 工业和信息化部关于印发《</w:t>
      </w:r>
      <w:r>
        <w:rPr>
          <w:rFonts w:hint="eastAsia" w:ascii="宋体" w:hAnsi="宋体"/>
          <w:sz w:val="21"/>
          <w:szCs w:val="21"/>
        </w:rPr>
        <w:t>政府采购促进中小企业发展管理办法</w:t>
      </w:r>
      <w:r>
        <w:rPr>
          <w:rFonts w:ascii="宋体" w:hAnsi="宋体"/>
          <w:sz w:val="21"/>
          <w:szCs w:val="21"/>
        </w:rPr>
        <w:t>》的通知&gt;（财库〔</w:t>
      </w:r>
      <w:r>
        <w:rPr>
          <w:rFonts w:hint="eastAsia" w:ascii="宋体" w:hAnsi="宋体"/>
          <w:sz w:val="21"/>
          <w:szCs w:val="21"/>
        </w:rPr>
        <w:t>2020</w:t>
      </w:r>
      <w:r>
        <w:rPr>
          <w:rFonts w:ascii="宋体" w:hAnsi="宋体"/>
          <w:sz w:val="21"/>
          <w:szCs w:val="21"/>
        </w:rPr>
        <w:t>〕</w:t>
      </w:r>
      <w:r>
        <w:rPr>
          <w:rFonts w:hint="eastAsia" w:ascii="宋体" w:hAnsi="宋体"/>
          <w:sz w:val="21"/>
          <w:szCs w:val="21"/>
        </w:rPr>
        <w:t>46</w:t>
      </w:r>
      <w:r>
        <w:rPr>
          <w:rFonts w:ascii="宋体" w:hAnsi="宋体"/>
          <w:sz w:val="21"/>
          <w:szCs w:val="21"/>
        </w:rPr>
        <w:t>号）</w:t>
      </w:r>
      <w:r>
        <w:rPr>
          <w:rFonts w:hint="eastAsia" w:ascii="宋体" w:hAnsi="宋体"/>
          <w:kern w:val="2"/>
          <w:sz w:val="21"/>
          <w:szCs w:val="21"/>
        </w:rPr>
        <w:t>和财库（2</w:t>
      </w:r>
      <w:r>
        <w:rPr>
          <w:rFonts w:ascii="宋体" w:hAnsi="宋体"/>
          <w:kern w:val="2"/>
          <w:sz w:val="21"/>
          <w:szCs w:val="21"/>
        </w:rPr>
        <w:t>022</w:t>
      </w:r>
      <w:r>
        <w:rPr>
          <w:rFonts w:hint="eastAsia" w:ascii="宋体" w:hAnsi="宋体"/>
          <w:kern w:val="2"/>
          <w:sz w:val="21"/>
          <w:szCs w:val="21"/>
        </w:rPr>
        <w:t>）1</w:t>
      </w:r>
      <w:r>
        <w:rPr>
          <w:rFonts w:ascii="宋体" w:hAnsi="宋体"/>
          <w:kern w:val="2"/>
          <w:sz w:val="21"/>
          <w:szCs w:val="21"/>
        </w:rPr>
        <w:t>9</w:t>
      </w:r>
      <w:r>
        <w:rPr>
          <w:rFonts w:hint="eastAsia" w:ascii="宋体" w:hAnsi="宋体"/>
          <w:kern w:val="2"/>
          <w:sz w:val="21"/>
          <w:szCs w:val="21"/>
        </w:rPr>
        <w:t>号</w:t>
      </w:r>
      <w:r>
        <w:rPr>
          <w:rFonts w:ascii="宋体" w:hAnsi="宋体"/>
          <w:sz w:val="21"/>
          <w:szCs w:val="21"/>
        </w:rPr>
        <w:t>的规定，落实促进中小企业发展政策。</w:t>
      </w:r>
    </w:p>
    <w:p>
      <w:pPr>
        <w:snapToGrid w:val="0"/>
        <w:spacing w:line="360" w:lineRule="exact"/>
        <w:ind w:firstLine="420" w:firstLineChars="200"/>
        <w:jc w:val="both"/>
        <w:rPr>
          <w:rFonts w:ascii="宋体" w:hAnsi="宋体"/>
          <w:sz w:val="21"/>
          <w:szCs w:val="21"/>
        </w:rPr>
      </w:pPr>
      <w:r>
        <w:rPr>
          <w:rFonts w:ascii="宋体" w:hAnsi="宋体"/>
          <w:sz w:val="21"/>
          <w:szCs w:val="21"/>
        </w:rPr>
        <w:t>（</w:t>
      </w:r>
      <w:r>
        <w:rPr>
          <w:rFonts w:hint="eastAsia" w:ascii="宋体" w:hAnsi="宋体"/>
          <w:sz w:val="21"/>
          <w:szCs w:val="21"/>
        </w:rPr>
        <w:t>三</w:t>
      </w:r>
      <w:r>
        <w:rPr>
          <w:rFonts w:ascii="宋体" w:hAnsi="宋体"/>
          <w:sz w:val="21"/>
          <w:szCs w:val="21"/>
        </w:rPr>
        <w:t>）按照&lt;财政部、司法部关于政府采购支持监狱企业发展有关问题的通知&gt;（财库〔2014〕68号）的规定，落实支持监狱企业发展政策。</w:t>
      </w:r>
    </w:p>
    <w:p>
      <w:pPr>
        <w:snapToGrid w:val="0"/>
        <w:spacing w:line="360" w:lineRule="exact"/>
        <w:ind w:firstLine="420" w:firstLineChars="200"/>
        <w:jc w:val="both"/>
        <w:rPr>
          <w:rFonts w:ascii="宋体" w:hAnsi="宋体"/>
          <w:sz w:val="21"/>
          <w:szCs w:val="21"/>
        </w:rPr>
      </w:pPr>
      <w:r>
        <w:rPr>
          <w:rFonts w:ascii="宋体" w:hAnsi="宋体"/>
          <w:sz w:val="21"/>
          <w:szCs w:val="21"/>
        </w:rPr>
        <w:t>（</w:t>
      </w:r>
      <w:r>
        <w:rPr>
          <w:rFonts w:hint="eastAsia" w:ascii="宋体" w:hAnsi="宋体"/>
          <w:sz w:val="21"/>
          <w:szCs w:val="21"/>
        </w:rPr>
        <w:t>四</w:t>
      </w:r>
      <w:r>
        <w:rPr>
          <w:rFonts w:ascii="宋体" w:hAnsi="宋体"/>
          <w:sz w:val="21"/>
          <w:szCs w:val="21"/>
        </w:rPr>
        <w:t>）按照《三部门联合发布关于促进残疾人就业政府采购政策的通知》（财库〔2017〕 141号）的规定，落实支持残疾人福利性单位发展政策。</w:t>
      </w:r>
    </w:p>
    <w:p>
      <w:pPr>
        <w:pStyle w:val="4"/>
        <w:snapToGrid w:val="0"/>
        <w:spacing w:before="0" w:after="0" w:line="360" w:lineRule="exact"/>
        <w:ind w:left="0" w:firstLine="422"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七、</w:t>
      </w:r>
      <w:bookmarkEnd w:id="45"/>
      <w:bookmarkEnd w:id="46"/>
      <w:bookmarkEnd w:id="47"/>
      <w:bookmarkStart w:id="49" w:name="_Toc523826309"/>
      <w:bookmarkStart w:id="50" w:name="_Toc516249120"/>
      <w:bookmarkStart w:id="51" w:name="_Toc516648292"/>
      <w:r>
        <w:rPr>
          <w:rFonts w:hint="eastAsia" w:asciiTheme="minorEastAsia" w:hAnsiTheme="minorEastAsia" w:eastAsiaTheme="minorEastAsia" w:cstheme="minorEastAsia"/>
          <w:sz w:val="21"/>
          <w:szCs w:val="21"/>
        </w:rPr>
        <w:t>投标有关规定</w:t>
      </w:r>
      <w:bookmarkEnd w:id="49"/>
      <w:bookmarkEnd w:id="50"/>
      <w:bookmarkEnd w:id="51"/>
    </w:p>
    <w:p>
      <w:pPr>
        <w:snapToGrid w:val="0"/>
        <w:spacing w:line="360" w:lineRule="exact"/>
        <w:ind w:firstLine="210" w:firstLineChars="1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（一）法定代表人为同一个人的两个及两个以上单位，母公司、全资子公司及其控股公司，不得对同一分包同时进行投标。 </w:t>
      </w:r>
    </w:p>
    <w:p>
      <w:pPr>
        <w:snapToGrid w:val="0"/>
        <w:spacing w:line="360" w:lineRule="exact"/>
        <w:ind w:firstLine="210" w:firstLineChars="1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（二）单位负责人为同一人或者存在直接控股、管理关系的不同投标人，不得参加同一合同项（分包）下的政府采购活动。</w:t>
      </w:r>
    </w:p>
    <w:p>
      <w:pPr>
        <w:snapToGrid w:val="0"/>
        <w:spacing w:line="360" w:lineRule="exact"/>
        <w:ind w:firstLine="210" w:firstLineChars="1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（三）为采购项目提供整体设计、规范编制或者项目管理、监理、检测等服务的投标人，不得再参加该采购项目的其他采购活动。</w:t>
      </w:r>
    </w:p>
    <w:p>
      <w:pPr>
        <w:snapToGrid w:val="0"/>
        <w:spacing w:line="360" w:lineRule="exact"/>
        <w:ind w:firstLine="210" w:firstLineChars="1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（四）投标人不得向采购人/西南大学提供赠品、回扣或者与采购无关的其他商品、服务，一经发现，其投标人资格将被取消。</w:t>
      </w:r>
    </w:p>
    <w:p>
      <w:pPr>
        <w:snapToGrid w:val="0"/>
        <w:spacing w:line="360" w:lineRule="exact"/>
        <w:ind w:firstLine="210" w:firstLineChars="1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（五）超过投标截止时间递交的投标文件，恕不接收。</w:t>
      </w:r>
    </w:p>
    <w:p>
      <w:pPr>
        <w:snapToGrid w:val="0"/>
        <w:spacing w:line="360" w:lineRule="exact"/>
        <w:ind w:firstLine="210" w:firstLineChars="1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（六）投标费用：无论投标结果如何，投标人参与本项目投标的所有费用均应由投标人自行承担。采购人/采购组织机构/采购代理机构在任何情况下无义务也无责任承担这些费用。</w:t>
      </w:r>
    </w:p>
    <w:p>
      <w:pPr>
        <w:snapToGrid w:val="0"/>
        <w:spacing w:line="360" w:lineRule="exact"/>
        <w:ind w:firstLine="211" w:firstLineChars="1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（七）本项目不接受联合体投标。</w:t>
      </w:r>
    </w:p>
    <w:p>
      <w:pPr>
        <w:tabs>
          <w:tab w:val="left" w:pos="2370"/>
        </w:tabs>
        <w:spacing w:line="360" w:lineRule="exact"/>
        <w:ind w:firstLine="210" w:firstLineChars="100"/>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（八）</w:t>
      </w:r>
      <w:bookmarkStart w:id="52" w:name="OLE_LINK1"/>
      <w:r>
        <w:rPr>
          <w:rFonts w:hint="eastAsia" w:asciiTheme="minorEastAsia" w:hAnsiTheme="minorEastAsia" w:eastAsiaTheme="minorEastAsia" w:cstheme="minorEastAsia"/>
          <w:sz w:val="21"/>
          <w:szCs w:val="21"/>
        </w:rPr>
        <w:t>按照《财政部关于在政府采购活动中查询及使用信用记录有关问题的通知》财库〔2016〕125号的规定，投标人被列入失信被执行人、重大税收违法案件当事人名单、政府采购严重违法失信行为记录名单及其他不符合《中华人民共和国政府采购法》第二十二条规定条件的</w:t>
      </w:r>
      <w:bookmarkEnd w:id="52"/>
      <w:r>
        <w:rPr>
          <w:rFonts w:hint="eastAsia" w:asciiTheme="minorEastAsia" w:hAnsiTheme="minorEastAsia" w:eastAsiaTheme="minorEastAsia" w:cstheme="minorEastAsia"/>
          <w:sz w:val="21"/>
          <w:szCs w:val="21"/>
        </w:rPr>
        <w:t>投标人，将拒绝其参与政府采购活动。</w:t>
      </w:r>
      <w:bookmarkStart w:id="53" w:name="_Toc480788291"/>
      <w:bookmarkStart w:id="54" w:name="_Toc446505900"/>
    </w:p>
    <w:p>
      <w:pPr>
        <w:tabs>
          <w:tab w:val="left" w:pos="2370"/>
        </w:tabs>
        <w:spacing w:line="360" w:lineRule="exact"/>
        <w:ind w:firstLine="210" w:firstLineChars="100"/>
        <w:jc w:val="both"/>
        <w:rPr>
          <w:rFonts w:ascii="黑体" w:hAnsi="黑体" w:cs="黑体"/>
          <w:sz w:val="21"/>
          <w:szCs w:val="21"/>
        </w:rPr>
      </w:pPr>
      <w:r>
        <w:rPr>
          <w:rFonts w:hint="eastAsia" w:asciiTheme="minorEastAsia" w:hAnsiTheme="minorEastAsia" w:eastAsiaTheme="minorEastAsia" w:cstheme="minorEastAsia"/>
          <w:sz w:val="21"/>
          <w:szCs w:val="21"/>
        </w:rPr>
        <w:t>（九）采购人/采购组织机构/采购代理机构在任何时候发现投标人以他人名义投标、相互串通投标，在投标文件中提交虚假资料或失实资料的，或者以其他方式弄虚作假的，其投标将被拒绝并视情况依法追究其责任。</w:t>
      </w:r>
    </w:p>
    <w:p>
      <w:pPr>
        <w:pStyle w:val="4"/>
        <w:snapToGrid w:val="0"/>
        <w:spacing w:before="0" w:after="0" w:line="360" w:lineRule="exact"/>
        <w:ind w:left="0" w:firstLine="422"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八、</w:t>
      </w:r>
      <w:bookmarkEnd w:id="53"/>
      <w:bookmarkEnd w:id="54"/>
      <w:bookmarkStart w:id="55" w:name="_Toc523826310"/>
      <w:bookmarkStart w:id="56" w:name="_Toc500253676"/>
      <w:bookmarkStart w:id="57" w:name="_Toc516249121"/>
      <w:bookmarkStart w:id="58" w:name="_Toc516648293"/>
      <w:r>
        <w:rPr>
          <w:rFonts w:hint="eastAsia" w:asciiTheme="minorEastAsia" w:hAnsiTheme="minorEastAsia" w:eastAsiaTheme="minorEastAsia" w:cstheme="minorEastAsia"/>
          <w:sz w:val="21"/>
          <w:szCs w:val="21"/>
        </w:rPr>
        <w:t>发布公告的媒介</w:t>
      </w:r>
      <w:bookmarkEnd w:id="55"/>
      <w:bookmarkEnd w:id="56"/>
    </w:p>
    <w:p>
      <w:pPr>
        <w:snapToGrid w:val="0"/>
        <w:spacing w:line="360" w:lineRule="exact"/>
        <w:ind w:firstLine="420" w:firstLineChars="200"/>
        <w:rPr>
          <w:rFonts w:asciiTheme="minorEastAsia" w:hAnsiTheme="minorEastAsia" w:eastAsiaTheme="minorEastAsia" w:cstheme="minorEastAsia"/>
          <w:sz w:val="21"/>
          <w:szCs w:val="21"/>
        </w:rPr>
      </w:pPr>
      <w:bookmarkStart w:id="59" w:name="_Toc519427126"/>
      <w:r>
        <w:rPr>
          <w:rFonts w:hint="eastAsia" w:asciiTheme="minorEastAsia" w:hAnsiTheme="minorEastAsia" w:eastAsiaTheme="minorEastAsia" w:cstheme="minorEastAsia"/>
          <w:sz w:val="21"/>
          <w:szCs w:val="21"/>
        </w:rPr>
        <w:t>本项目招标公告将在</w:t>
      </w:r>
      <w:r>
        <w:rPr>
          <w:rFonts w:hint="eastAsia" w:asciiTheme="minorEastAsia" w:hAnsiTheme="minorEastAsia" w:eastAsiaTheme="minorEastAsia" w:cstheme="minorEastAsia"/>
          <w:kern w:val="2"/>
          <w:sz w:val="21"/>
          <w:szCs w:val="21"/>
        </w:rPr>
        <w:t>中国政府采购网（</w:t>
      </w:r>
      <w:r>
        <w:fldChar w:fldCharType="begin"/>
      </w:r>
      <w:r>
        <w:instrText xml:space="preserve"> HYPERLINK "http://www.ccgp.gov.cn" </w:instrText>
      </w:r>
      <w:r>
        <w:fldChar w:fldCharType="separate"/>
      </w:r>
      <w:r>
        <w:rPr>
          <w:rFonts w:hint="eastAsia" w:asciiTheme="minorEastAsia" w:hAnsiTheme="minorEastAsia" w:eastAsiaTheme="minorEastAsia" w:cstheme="minorEastAsia"/>
          <w:kern w:val="2"/>
          <w:sz w:val="21"/>
          <w:szCs w:val="21"/>
        </w:rPr>
        <w:t>http://www.ccgp.gov.cn</w:t>
      </w:r>
      <w:r>
        <w:rPr>
          <w:rFonts w:hint="eastAsia" w:asciiTheme="minorEastAsia" w:hAnsiTheme="minorEastAsia" w:eastAsiaTheme="minorEastAsia" w:cstheme="minorEastAsia"/>
          <w:kern w:val="2"/>
          <w:sz w:val="21"/>
          <w:szCs w:val="21"/>
        </w:rPr>
        <w:fldChar w:fldCharType="end"/>
      </w:r>
      <w:r>
        <w:rPr>
          <w:rFonts w:hint="eastAsia" w:asciiTheme="minorEastAsia" w:hAnsiTheme="minorEastAsia" w:eastAsiaTheme="minorEastAsia" w:cstheme="minorEastAsia"/>
          <w:kern w:val="2"/>
          <w:sz w:val="21"/>
          <w:szCs w:val="21"/>
        </w:rPr>
        <w:t>）和西南大学采购与招投标管理中心网页（https://ecaigou.swu.edu.cn:30910/bid/index?redirect=%2F）</w:t>
      </w:r>
      <w:r>
        <w:rPr>
          <w:rFonts w:hint="eastAsia" w:asciiTheme="minorEastAsia" w:hAnsiTheme="minorEastAsia" w:eastAsiaTheme="minorEastAsia" w:cstheme="minorEastAsia"/>
          <w:sz w:val="21"/>
          <w:szCs w:val="21"/>
        </w:rPr>
        <w:t>上同时发布。</w:t>
      </w:r>
      <w:bookmarkEnd w:id="59"/>
    </w:p>
    <w:p>
      <w:pPr>
        <w:pStyle w:val="4"/>
        <w:snapToGrid w:val="0"/>
        <w:spacing w:before="0" w:after="0" w:line="360" w:lineRule="exact"/>
        <w:ind w:left="0" w:firstLine="422" w:firstLineChars="200"/>
        <w:rPr>
          <w:rFonts w:asciiTheme="minorEastAsia" w:hAnsiTheme="minorEastAsia" w:eastAsiaTheme="minorEastAsia" w:cstheme="minorEastAsia"/>
          <w:sz w:val="21"/>
          <w:szCs w:val="21"/>
        </w:rPr>
      </w:pPr>
      <w:bookmarkStart w:id="60" w:name="_Toc523826311"/>
      <w:r>
        <w:rPr>
          <w:rFonts w:hint="eastAsia" w:asciiTheme="minorEastAsia" w:hAnsiTheme="minorEastAsia" w:eastAsiaTheme="minorEastAsia" w:cstheme="minorEastAsia"/>
          <w:sz w:val="21"/>
          <w:szCs w:val="21"/>
        </w:rPr>
        <w:t>九、联系方式</w:t>
      </w:r>
      <w:bookmarkEnd w:id="57"/>
      <w:bookmarkEnd w:id="58"/>
      <w:bookmarkEnd w:id="60"/>
    </w:p>
    <w:p>
      <w:pPr>
        <w:spacing w:line="400" w:lineRule="exact"/>
        <w:ind w:firstLine="210" w:firstLineChars="1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（一）采购人：</w:t>
      </w:r>
      <w:r>
        <w:rPr>
          <w:rFonts w:hint="eastAsia" w:asciiTheme="minorEastAsia" w:hAnsiTheme="minorEastAsia" w:eastAsiaTheme="minorEastAsia" w:cstheme="minorEastAsia"/>
          <w:sz w:val="21"/>
        </w:rPr>
        <w:t>西南大学</w:t>
      </w:r>
    </w:p>
    <w:p>
      <w:pPr>
        <w:snapToGrid w:val="0"/>
        <w:spacing w:line="360" w:lineRule="exact"/>
        <w:ind w:firstLine="210" w:firstLineChars="1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（二）采购组织机构：西南大学采购与招投标管理中心</w:t>
      </w:r>
    </w:p>
    <w:p>
      <w:pPr>
        <w:snapToGrid w:val="0"/>
        <w:spacing w:line="360" w:lineRule="exact"/>
        <w:ind w:firstLine="840" w:firstLineChars="4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联系人：</w:t>
      </w:r>
      <w:r>
        <w:rPr>
          <w:rFonts w:hint="eastAsia" w:ascii="宋体" w:hAnsi="宋体"/>
          <w:sz w:val="21"/>
          <w:szCs w:val="21"/>
        </w:rPr>
        <w:t>张老师</w:t>
      </w:r>
      <w:r>
        <w:rPr>
          <w:rFonts w:hint="eastAsia" w:asciiTheme="minorEastAsia" w:hAnsiTheme="minorEastAsia" w:eastAsiaTheme="minorEastAsia" w:cstheme="minorEastAsia"/>
          <w:sz w:val="21"/>
          <w:szCs w:val="21"/>
        </w:rPr>
        <w:t xml:space="preserve">   袁老师</w:t>
      </w:r>
    </w:p>
    <w:p>
      <w:pPr>
        <w:snapToGrid w:val="0"/>
        <w:spacing w:line="360" w:lineRule="exact"/>
        <w:ind w:firstLine="844" w:firstLineChars="402"/>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电  话：</w:t>
      </w:r>
      <w:r>
        <w:rPr>
          <w:rFonts w:ascii="宋体" w:hAnsi="宋体"/>
          <w:sz w:val="21"/>
          <w:szCs w:val="21"/>
        </w:rPr>
        <w:t>023-6825</w:t>
      </w:r>
      <w:r>
        <w:rPr>
          <w:rFonts w:hint="eastAsia" w:ascii="宋体" w:hAnsi="宋体"/>
          <w:sz w:val="21"/>
          <w:szCs w:val="21"/>
        </w:rPr>
        <w:t>09</w:t>
      </w:r>
      <w:r>
        <w:rPr>
          <w:rFonts w:ascii="宋体" w:hAnsi="宋体"/>
          <w:sz w:val="21"/>
          <w:szCs w:val="21"/>
        </w:rPr>
        <w:t>43</w:t>
      </w:r>
      <w:r>
        <w:rPr>
          <w:rFonts w:hint="eastAsia" w:asciiTheme="minorEastAsia" w:hAnsiTheme="minorEastAsia" w:eastAsiaTheme="minorEastAsia" w:cstheme="minorEastAsia"/>
          <w:sz w:val="21"/>
          <w:szCs w:val="21"/>
        </w:rPr>
        <w:t xml:space="preserve">   023-68252007</w:t>
      </w:r>
    </w:p>
    <w:p>
      <w:pPr>
        <w:snapToGrid w:val="0"/>
        <w:spacing w:line="360" w:lineRule="exact"/>
        <w:ind w:firstLine="844" w:firstLineChars="402"/>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邮  箱：</w:t>
      </w:r>
      <w:r>
        <w:rPr>
          <w:rFonts w:hint="eastAsia" w:ascii="宋体" w:hAnsi="宋体"/>
          <w:sz w:val="21"/>
          <w:szCs w:val="21"/>
        </w:rPr>
        <w:t xml:space="preserve"> simba@swu.edu.cn   </w:t>
      </w:r>
    </w:p>
    <w:p>
      <w:pPr>
        <w:snapToGrid w:val="0"/>
        <w:spacing w:line="360" w:lineRule="exact"/>
        <w:ind w:firstLine="844" w:firstLineChars="402"/>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  址：重庆市北碚区天生路2号</w:t>
      </w:r>
    </w:p>
    <w:p>
      <w:pPr>
        <w:snapToGrid w:val="0"/>
        <w:spacing w:line="360" w:lineRule="exact"/>
        <w:ind w:firstLine="840" w:firstLineChars="4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位  置：西南大学2号门内进入直行约400米，南区文俊楼（南区行政楼）二楼右侧。</w:t>
      </w:r>
    </w:p>
    <w:p>
      <w:pPr>
        <w:snapToGrid w:val="0"/>
        <w:spacing w:line="360" w:lineRule="exact"/>
        <w:ind w:firstLine="210" w:firstLineChars="100"/>
        <w:rPr>
          <w:rFonts w:ascii="宋体" w:hAnsi="宋体"/>
          <w:sz w:val="21"/>
          <w:szCs w:val="21"/>
        </w:rPr>
      </w:pPr>
      <w:r>
        <w:rPr>
          <w:rFonts w:hint="eastAsia" w:asciiTheme="minorEastAsia" w:hAnsiTheme="minorEastAsia" w:eastAsiaTheme="minorEastAsia" w:cstheme="minorEastAsia"/>
          <w:sz w:val="21"/>
          <w:szCs w:val="21"/>
        </w:rPr>
        <w:t>（三）</w:t>
      </w:r>
      <w:r>
        <w:rPr>
          <w:rFonts w:ascii="宋体" w:hAnsi="宋体"/>
          <w:sz w:val="21"/>
          <w:szCs w:val="21"/>
        </w:rPr>
        <w:t>采购代理机构：</w:t>
      </w:r>
      <w:r>
        <w:rPr>
          <w:rFonts w:hint="eastAsia" w:ascii="宋体" w:hAnsi="宋体"/>
          <w:sz w:val="21"/>
          <w:szCs w:val="21"/>
        </w:rPr>
        <w:t>中招国际招标有限公司重庆分公司</w:t>
      </w:r>
    </w:p>
    <w:p>
      <w:pPr>
        <w:snapToGrid w:val="0"/>
        <w:spacing w:line="360" w:lineRule="exact"/>
        <w:ind w:firstLine="844" w:firstLineChars="402"/>
        <w:rPr>
          <w:rFonts w:ascii="宋体" w:hAnsi="宋体"/>
          <w:sz w:val="21"/>
          <w:szCs w:val="21"/>
        </w:rPr>
      </w:pPr>
      <w:r>
        <w:rPr>
          <w:rFonts w:ascii="宋体" w:hAnsi="宋体"/>
          <w:sz w:val="21"/>
          <w:szCs w:val="21"/>
        </w:rPr>
        <w:t>联系人：</w:t>
      </w:r>
      <w:r>
        <w:rPr>
          <w:rFonts w:hint="eastAsia" w:ascii="宋体" w:hAnsi="宋体"/>
          <w:sz w:val="21"/>
          <w:szCs w:val="21"/>
        </w:rPr>
        <w:t>秦佑琼、雷九红</w:t>
      </w:r>
    </w:p>
    <w:p>
      <w:pPr>
        <w:snapToGrid w:val="0"/>
        <w:spacing w:line="360" w:lineRule="exact"/>
        <w:ind w:firstLine="844" w:firstLineChars="402"/>
        <w:rPr>
          <w:rFonts w:ascii="宋体" w:hAnsi="宋体"/>
          <w:sz w:val="21"/>
          <w:szCs w:val="21"/>
        </w:rPr>
      </w:pPr>
      <w:r>
        <w:rPr>
          <w:rFonts w:ascii="宋体" w:hAnsi="宋体"/>
          <w:sz w:val="21"/>
          <w:szCs w:val="21"/>
        </w:rPr>
        <w:t>电  话：</w:t>
      </w:r>
      <w:r>
        <w:rPr>
          <w:rFonts w:hint="eastAsia" w:ascii="宋体" w:hAnsi="宋体"/>
          <w:sz w:val="21"/>
          <w:szCs w:val="21"/>
        </w:rPr>
        <w:t>023-68881331</w:t>
      </w:r>
      <w:r>
        <w:rPr>
          <w:rFonts w:ascii="宋体" w:hAnsi="宋体"/>
          <w:sz w:val="21"/>
          <w:szCs w:val="21"/>
        </w:rPr>
        <w:t>-90</w:t>
      </w:r>
      <w:r>
        <w:rPr>
          <w:rFonts w:hint="eastAsia" w:ascii="宋体" w:hAnsi="宋体"/>
          <w:sz w:val="21"/>
          <w:szCs w:val="21"/>
        </w:rPr>
        <w:t>71、18502305170</w:t>
      </w:r>
    </w:p>
    <w:p>
      <w:pPr>
        <w:snapToGrid w:val="0"/>
        <w:spacing w:line="360" w:lineRule="exact"/>
        <w:ind w:firstLine="844" w:firstLineChars="402"/>
        <w:rPr>
          <w:rFonts w:ascii="宋体" w:hAnsi="宋体"/>
          <w:sz w:val="21"/>
          <w:szCs w:val="21"/>
        </w:rPr>
      </w:pPr>
      <w:r>
        <w:rPr>
          <w:rFonts w:ascii="宋体" w:hAnsi="宋体"/>
          <w:sz w:val="21"/>
          <w:szCs w:val="21"/>
        </w:rPr>
        <w:t>传  真：</w:t>
      </w:r>
      <w:r>
        <w:rPr>
          <w:rFonts w:hint="eastAsia" w:ascii="宋体" w:hAnsi="宋体"/>
          <w:sz w:val="21"/>
          <w:szCs w:val="21"/>
        </w:rPr>
        <w:t>023-68696636</w:t>
      </w:r>
    </w:p>
    <w:p>
      <w:pPr>
        <w:spacing w:line="400" w:lineRule="exact"/>
        <w:ind w:firstLine="840" w:firstLineChars="400"/>
        <w:rPr>
          <w:rFonts w:asciiTheme="minorEastAsia" w:hAnsiTheme="minorEastAsia" w:eastAsiaTheme="minorEastAsia" w:cstheme="minorEastAsia"/>
          <w:sz w:val="21"/>
          <w:szCs w:val="21"/>
        </w:rPr>
      </w:pPr>
      <w:r>
        <w:rPr>
          <w:rFonts w:ascii="宋体" w:hAnsi="宋体"/>
          <w:sz w:val="21"/>
          <w:szCs w:val="21"/>
        </w:rPr>
        <w:t>地  址：</w:t>
      </w:r>
      <w:r>
        <w:rPr>
          <w:rFonts w:hint="eastAsia" w:ascii="宋体" w:hAnsi="宋体"/>
          <w:sz w:val="21"/>
          <w:szCs w:val="21"/>
        </w:rPr>
        <w:t>重庆市渝北区黄山大道中段5</w:t>
      </w:r>
      <w:r>
        <w:rPr>
          <w:rFonts w:ascii="宋体" w:hAnsi="宋体"/>
          <w:sz w:val="21"/>
          <w:szCs w:val="21"/>
        </w:rPr>
        <w:t>3</w:t>
      </w:r>
      <w:r>
        <w:rPr>
          <w:rFonts w:hint="eastAsia" w:ascii="宋体" w:hAnsi="宋体"/>
          <w:sz w:val="21"/>
          <w:szCs w:val="21"/>
        </w:rPr>
        <w:t>号5</w:t>
      </w:r>
      <w:r>
        <w:rPr>
          <w:rFonts w:ascii="宋体" w:hAnsi="宋体"/>
          <w:sz w:val="21"/>
          <w:szCs w:val="21"/>
        </w:rPr>
        <w:t>-1</w:t>
      </w:r>
      <w:r>
        <w:rPr>
          <w:rFonts w:hint="eastAsia" w:ascii="宋体" w:hAnsi="宋体"/>
          <w:sz w:val="21"/>
          <w:szCs w:val="21"/>
        </w:rPr>
        <w:t>（双鱼A座5楼）</w:t>
      </w:r>
    </w:p>
    <w:p>
      <w:pPr>
        <w:snapToGrid w:val="0"/>
        <w:spacing w:line="360" w:lineRule="exact"/>
        <w:ind w:firstLine="210" w:firstLineChars="1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（四）技术交流人：张老师   </w:t>
      </w:r>
    </w:p>
    <w:p>
      <w:pPr>
        <w:snapToGrid w:val="0"/>
        <w:spacing w:line="360" w:lineRule="exact"/>
        <w:ind w:firstLine="1050" w:firstLineChars="5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电   话：18780203230</w:t>
      </w:r>
    </w:p>
    <w:p>
      <w:pPr>
        <w:snapToGrid w:val="0"/>
        <w:spacing w:line="360" w:lineRule="exact"/>
        <w:ind w:left="839" w:leftChars="87" w:hanging="630" w:hangingChars="3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（五）询问、质疑受理人：杨老师</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电  话：023-68251032</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邮  箱：yangm@swu.edu.cn</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地  址：重庆市北碚区天生路2号</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位  置：西南大学2号门内进入直行约400米，南区文俊楼（南区行政楼）二楼右侧。</w:t>
      </w:r>
    </w:p>
    <w:p>
      <w:pPr>
        <w:tabs>
          <w:tab w:val="left" w:pos="2370"/>
        </w:tabs>
        <w:snapToGrid w:val="0"/>
        <w:spacing w:line="360" w:lineRule="exact"/>
        <w:ind w:firstLine="422" w:firstLineChars="200"/>
        <w:rPr>
          <w:rFonts w:asciiTheme="minorEastAsia" w:hAnsiTheme="minorEastAsia" w:eastAsiaTheme="minorEastAsia" w:cstheme="minorEastAsia"/>
          <w:b/>
          <w:bCs/>
          <w:sz w:val="21"/>
          <w:szCs w:val="21"/>
        </w:rPr>
      </w:pPr>
    </w:p>
    <w:p>
      <w:pPr>
        <w:pStyle w:val="4"/>
        <w:snapToGrid w:val="0"/>
        <w:spacing w:before="0" w:after="0" w:line="360" w:lineRule="exact"/>
        <w:ind w:left="0" w:firstLine="422" w:firstLineChars="200"/>
        <w:rPr>
          <w:rFonts w:ascii="宋体" w:hAnsi="宋体"/>
          <w:sz w:val="21"/>
          <w:szCs w:val="21"/>
        </w:rPr>
      </w:pPr>
      <w:r>
        <w:rPr>
          <w:rFonts w:hint="eastAsia" w:ascii="宋体" w:hAnsi="宋体"/>
          <w:sz w:val="21"/>
          <w:szCs w:val="21"/>
        </w:rPr>
        <w:t>十、其他</w:t>
      </w:r>
    </w:p>
    <w:p>
      <w:pPr>
        <w:spacing w:line="42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一)本项目不组织统一现场踏勘，请各供应商自行前往现场踏勘并充分了解项目情况、运输道路、安装空间及环境、装卸限制及任何其它足以影响报价的情况，任何因忽视或误解项目情况而导致的索赔或交货期延长申请将不获批准。无论供应商是否踏勘过现场，均被认为在递交投标文件之前已经踏勘现场，对本合同项目的风险和义务已经十分了解，并在其投标文件中已充分考虑了现场和环境条件。供应商需自行负责在踏勘现场中所发生的人员伤亡和财产损失，现场踏勘所发生的费用由供应商承担。</w:t>
      </w:r>
    </w:p>
    <w:p>
      <w:pPr>
        <w:spacing w:line="420" w:lineRule="exact"/>
        <w:ind w:firstLine="493" w:firstLineChars="235"/>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现场踏勘联系人：</w:t>
      </w:r>
      <w:r>
        <w:rPr>
          <w:rFonts w:hint="eastAsia" w:ascii="宋体" w:hAnsi="宋体"/>
          <w:sz w:val="21"/>
          <w:szCs w:val="21"/>
        </w:rPr>
        <w:t xml:space="preserve"> </w:t>
      </w:r>
      <w:r>
        <w:rPr>
          <w:rFonts w:hint="eastAsia" w:asciiTheme="minorEastAsia" w:hAnsiTheme="minorEastAsia" w:eastAsiaTheme="minorEastAsia" w:cstheme="minorEastAsia"/>
          <w:sz w:val="21"/>
          <w:szCs w:val="21"/>
        </w:rPr>
        <w:t>张老师</w:t>
      </w:r>
      <w:r>
        <w:rPr>
          <w:rFonts w:hint="eastAsia" w:ascii="宋体" w:hAnsi="宋体"/>
          <w:sz w:val="21"/>
          <w:szCs w:val="21"/>
        </w:rPr>
        <w:t>，电话：</w:t>
      </w:r>
      <w:r>
        <w:rPr>
          <w:rFonts w:hint="eastAsia" w:asciiTheme="minorEastAsia" w:hAnsiTheme="minorEastAsia" w:eastAsiaTheme="minorEastAsia" w:cstheme="minorEastAsia"/>
          <w:sz w:val="21"/>
          <w:szCs w:val="21"/>
        </w:rPr>
        <w:t>18780203230</w:t>
      </w:r>
    </w:p>
    <w:p>
      <w:pPr>
        <w:snapToGrid w:val="0"/>
        <w:spacing w:line="40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(二)进校人员要求：</w:t>
      </w:r>
    </w:p>
    <w:p>
      <w:pPr>
        <w:pStyle w:val="20"/>
        <w:shd w:val="clear" w:color="auto" w:fill="FFFFFF"/>
        <w:wordWrap w:val="0"/>
        <w:spacing w:before="0" w:beforeAutospacing="0" w:after="0" w:afterAutospacing="0" w:line="420" w:lineRule="atLeast"/>
        <w:ind w:firstLine="64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1、人员出入</w:t>
      </w:r>
    </w:p>
    <w:p>
      <w:pPr>
        <w:pStyle w:val="20"/>
        <w:shd w:val="clear" w:color="auto" w:fill="FFFFFF"/>
        <w:wordWrap w:val="0"/>
        <w:spacing w:before="0" w:beforeAutospacing="0" w:after="0" w:afterAutospacing="0" w:line="420" w:lineRule="atLeast"/>
        <w:ind w:firstLine="64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需持有效身份证在校门通过人行门禁由门岗工作人员核验身份证、采集信息后，可出入校园。</w:t>
      </w:r>
    </w:p>
    <w:p>
      <w:pPr>
        <w:pStyle w:val="20"/>
        <w:shd w:val="clear" w:color="auto" w:fill="FFFFFF"/>
        <w:wordWrap w:val="0"/>
        <w:spacing w:before="0" w:beforeAutospacing="0" w:after="0" w:afterAutospacing="0" w:line="420" w:lineRule="atLeast"/>
        <w:ind w:firstLine="64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2、车辆出入</w:t>
      </w:r>
    </w:p>
    <w:p>
      <w:pPr>
        <w:pStyle w:val="20"/>
        <w:shd w:val="clear" w:color="auto" w:fill="FFFFFF"/>
        <w:spacing w:before="0" w:beforeAutospacing="0" w:after="0" w:afterAutospacing="0" w:line="420" w:lineRule="exact"/>
        <w:ind w:firstLine="64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校外车辆来校实行预约报备制，需提前至少一天通过“西南大学保卫处”微信公众号提交《校外车辆进校申请》（</w:t>
      </w:r>
      <w:r>
        <w:rPr>
          <w:rFonts w:hint="eastAsia" w:ascii="黑体" w:hAnsi="黑体" w:cs="黑体"/>
          <w:sz w:val="21"/>
          <w:szCs w:val="21"/>
        </w:rPr>
        <w:t>具体流程及方式：请微信关注公众号“西南大学保卫处”-“校园服务”-“校外车辆进校申请”），</w:t>
      </w:r>
      <w:r>
        <w:rPr>
          <w:rFonts w:hint="eastAsia" w:asciiTheme="minorEastAsia" w:hAnsiTheme="minorEastAsia" w:eastAsiaTheme="minorEastAsia" w:cstheme="minorEastAsia"/>
          <w:sz w:val="21"/>
          <w:szCs w:val="21"/>
        </w:rPr>
        <w:t>由校内对接单位在“数智西大”平台审核、保卫处审批通过后，方可出入校园。信息填写要求详见西南大学采招中心网页（</w:t>
      </w:r>
      <w:r>
        <w:fldChar w:fldCharType="begin"/>
      </w:r>
      <w:r>
        <w:instrText xml:space="preserve"> HYPERLINK "https://ecaigou.swu.edu.cn:30910/bid/detail?id=9157" </w:instrText>
      </w:r>
      <w:r>
        <w:fldChar w:fldCharType="separate"/>
      </w:r>
      <w:r>
        <w:rPr>
          <w:rFonts w:hint="eastAsia" w:asciiTheme="minorEastAsia" w:hAnsiTheme="minorEastAsia" w:eastAsiaTheme="minorEastAsia" w:cstheme="minorEastAsia"/>
          <w:sz w:val="21"/>
          <w:szCs w:val="21"/>
        </w:rPr>
        <w:t>https://ecaigou.swu.edu.cn:30910/bid/detail?id=9157</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t>）所述。项目单位联系人与现场踏勘联系人相同。</w:t>
      </w:r>
    </w:p>
    <w:p>
      <w:pPr>
        <w:pStyle w:val="10"/>
        <w:spacing w:line="420" w:lineRule="exact"/>
        <w:ind w:firstLine="420" w:firstLineChars="200"/>
        <w:rPr>
          <w:rFonts w:asciiTheme="minorEastAsia" w:hAnsiTheme="minorEastAsia" w:eastAsiaTheme="minorEastAsia" w:cstheme="minorEastAsia"/>
          <w:kern w:val="0"/>
        </w:rPr>
      </w:pPr>
      <w:r>
        <w:rPr>
          <w:rFonts w:hint="eastAsia" w:asciiTheme="minorEastAsia" w:hAnsiTheme="minorEastAsia" w:eastAsiaTheme="minorEastAsia" w:cstheme="minorEastAsia"/>
          <w:kern w:val="0"/>
        </w:rPr>
        <w:t>有发热、干咳、乏力、咽痛、嗅（味）觉减退、流涕、肌肉酸痛、腹泻等症状的人员不得进校。</w:t>
      </w:r>
    </w:p>
    <w:bookmarkEnd w:id="48"/>
    <w:p>
      <w:pPr>
        <w:rPr>
          <w:rFonts w:asciiTheme="minorEastAsia" w:hAnsiTheme="minorEastAsia" w:eastAsiaTheme="minorEastAsia" w:cstheme="minorEastAsia"/>
        </w:rPr>
        <w:sectPr>
          <w:headerReference r:id="rId9" w:type="first"/>
          <w:footerReference r:id="rId10" w:type="default"/>
          <w:pgSz w:w="11906" w:h="16838"/>
          <w:pgMar w:top="1418" w:right="1247" w:bottom="1247" w:left="1418" w:header="851" w:footer="992" w:gutter="0"/>
          <w:cols w:space="720" w:num="1"/>
          <w:docGrid w:linePitch="312" w:charSpace="0"/>
        </w:sectPr>
      </w:pPr>
    </w:p>
    <w:bookmarkEnd w:id="39"/>
    <w:bookmarkEnd w:id="40"/>
    <w:bookmarkEnd w:id="41"/>
    <w:bookmarkEnd w:id="42"/>
    <w:bookmarkEnd w:id="43"/>
    <w:p>
      <w:pPr>
        <w:pStyle w:val="3"/>
        <w:spacing w:before="120" w:after="120"/>
        <w:ind w:left="0" w:firstLine="0"/>
        <w:jc w:val="center"/>
        <w:rPr>
          <w:rFonts w:asciiTheme="minorEastAsia" w:hAnsiTheme="minorEastAsia" w:eastAsiaTheme="minorEastAsia" w:cstheme="minorEastAsia"/>
        </w:rPr>
      </w:pPr>
      <w:bookmarkStart w:id="61" w:name="_Toc174185152"/>
      <w:bookmarkStart w:id="62" w:name="_Toc138929557"/>
      <w:bookmarkStart w:id="63" w:name="OLE_LINK5"/>
      <w:bookmarkStart w:id="64" w:name="OLE_LINK6"/>
      <w:r>
        <w:rPr>
          <w:rFonts w:hint="eastAsia" w:asciiTheme="minorEastAsia" w:hAnsiTheme="minorEastAsia" w:eastAsiaTheme="minorEastAsia" w:cstheme="minorEastAsia"/>
        </w:rPr>
        <w:t xml:space="preserve">第二篇 </w:t>
      </w:r>
      <w:bookmarkEnd w:id="61"/>
      <w:bookmarkEnd w:id="62"/>
      <w:r>
        <w:rPr>
          <w:rFonts w:hint="eastAsia" w:ascii="宋体" w:hAnsi="宋体"/>
        </w:rPr>
        <w:t>采购需求</w:t>
      </w:r>
    </w:p>
    <w:p>
      <w:pPr>
        <w:autoSpaceDE w:val="0"/>
        <w:autoSpaceDN w:val="0"/>
        <w:spacing w:line="360" w:lineRule="auto"/>
        <w:rPr>
          <w:rFonts w:asciiTheme="minorEastAsia" w:hAnsiTheme="minorEastAsia" w:eastAsiaTheme="minorEastAsia" w:cstheme="minorEastAsia"/>
          <w:b/>
          <w:sz w:val="21"/>
          <w:szCs w:val="21"/>
        </w:rPr>
      </w:pPr>
      <w:bookmarkStart w:id="65" w:name="_Toc535418619"/>
      <w:bookmarkStart w:id="66" w:name="_Toc498417024"/>
    </w:p>
    <w:p>
      <w:pPr>
        <w:pStyle w:val="4"/>
        <w:snapToGrid w:val="0"/>
        <w:spacing w:before="0" w:after="0" w:line="360" w:lineRule="exact"/>
        <w:ind w:left="0" w:firstLine="422"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一、货物名称、数量：</w:t>
      </w:r>
    </w:p>
    <w:p>
      <w:pPr>
        <w:pStyle w:val="4"/>
        <w:snapToGrid w:val="0"/>
        <w:spacing w:before="0" w:after="0" w:line="360" w:lineRule="exact"/>
        <w:ind w:left="0" w:firstLine="420" w:firstLineChars="200"/>
        <w:rPr>
          <w:rFonts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1、货物名称：600MHz核磁共振波谱仪</w:t>
      </w:r>
    </w:p>
    <w:p>
      <w:pPr>
        <w:pStyle w:val="4"/>
        <w:snapToGrid w:val="0"/>
        <w:spacing w:before="0" w:after="0" w:line="360" w:lineRule="exact"/>
        <w:ind w:left="0" w:firstLine="420" w:firstLineChars="200"/>
        <w:rPr>
          <w:rFonts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2、数量：1套</w:t>
      </w:r>
    </w:p>
    <w:p>
      <w:pPr>
        <w:pStyle w:val="4"/>
        <w:snapToGrid w:val="0"/>
        <w:spacing w:before="0" w:after="0" w:line="360" w:lineRule="exact"/>
        <w:ind w:left="0" w:firstLine="422"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二、功能及用途：</w:t>
      </w:r>
      <w:r>
        <w:rPr>
          <w:rFonts w:hint="eastAsia" w:asciiTheme="minorEastAsia" w:hAnsiTheme="minorEastAsia" w:eastAsiaTheme="minorEastAsia" w:cstheme="minorEastAsia"/>
          <w:bCs w:val="0"/>
          <w:sz w:val="21"/>
          <w:szCs w:val="21"/>
        </w:rPr>
        <w:t>（本条为实质性要求，投标人须提供满足要求的承诺书，未提供承诺书或承诺内容不满足要求的，其投标无效）</w:t>
      </w:r>
    </w:p>
    <w:p>
      <w:pPr>
        <w:pStyle w:val="2"/>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获得对应物质的核磁共振谱图；对液体、可溶性有机物、无机物、聚合物、生物物质、各类有机化合物、天然产物、药物分子、多糖、脂质、肽链、蛋白质的分子结构和分子间相互作用研究，以及生物学、有机化学、生物化学、药学等方面的结构分析和性能研究。</w:t>
      </w:r>
    </w:p>
    <w:p>
      <w:pPr>
        <w:pStyle w:val="4"/>
        <w:snapToGrid w:val="0"/>
        <w:spacing w:before="0" w:after="0" w:line="360" w:lineRule="exact"/>
        <w:ind w:left="0" w:firstLine="422"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三、具体技术要求</w:t>
      </w:r>
    </w:p>
    <w:tbl>
      <w:tblPr>
        <w:tblStyle w:val="24"/>
        <w:tblW w:w="8519" w:type="dxa"/>
        <w:jc w:val="center"/>
        <w:tblLayout w:type="fixed"/>
        <w:tblCellMar>
          <w:top w:w="0" w:type="dxa"/>
          <w:left w:w="108" w:type="dxa"/>
          <w:bottom w:w="0" w:type="dxa"/>
          <w:right w:w="108" w:type="dxa"/>
        </w:tblCellMar>
      </w:tblPr>
      <w:tblGrid>
        <w:gridCol w:w="654"/>
        <w:gridCol w:w="1150"/>
        <w:gridCol w:w="5091"/>
        <w:gridCol w:w="775"/>
        <w:gridCol w:w="849"/>
      </w:tblGrid>
      <w:tr>
        <w:tblPrEx>
          <w:tblCellMar>
            <w:top w:w="0" w:type="dxa"/>
            <w:left w:w="108" w:type="dxa"/>
            <w:bottom w:w="0" w:type="dxa"/>
            <w:right w:w="108" w:type="dxa"/>
          </w:tblCellMar>
        </w:tblPrEx>
        <w:trPr>
          <w:trHeight w:val="504" w:hRule="atLeast"/>
          <w:jc w:val="center"/>
        </w:trPr>
        <w:tc>
          <w:tcPr>
            <w:tcW w:w="65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 w:val="21"/>
                <w:szCs w:val="21"/>
              </w:rPr>
            </w:pPr>
            <w:r>
              <w:rPr>
                <w:rFonts w:hint="eastAsia" w:ascii="宋体" w:hAnsi="宋体" w:cs="宋体"/>
                <w:sz w:val="21"/>
                <w:szCs w:val="21"/>
              </w:rPr>
              <w:t>序号</w:t>
            </w:r>
          </w:p>
        </w:tc>
        <w:tc>
          <w:tcPr>
            <w:tcW w:w="1150"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sz w:val="21"/>
                <w:szCs w:val="21"/>
              </w:rPr>
            </w:pPr>
            <w:r>
              <w:rPr>
                <w:rFonts w:hint="eastAsia" w:ascii="宋体" w:hAnsi="宋体" w:cs="宋体"/>
                <w:sz w:val="21"/>
                <w:szCs w:val="21"/>
              </w:rPr>
              <w:t>品    名</w:t>
            </w:r>
          </w:p>
        </w:tc>
        <w:tc>
          <w:tcPr>
            <w:tcW w:w="5091"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s="宋体"/>
                <w:sz w:val="21"/>
                <w:szCs w:val="21"/>
              </w:rPr>
            </w:pPr>
            <w:r>
              <w:rPr>
                <w:rFonts w:hint="eastAsia" w:ascii="宋体" w:hAnsi="宋体" w:cs="宋体"/>
                <w:sz w:val="21"/>
                <w:szCs w:val="21"/>
              </w:rPr>
              <w:t>主要技术指标</w:t>
            </w:r>
          </w:p>
        </w:tc>
        <w:tc>
          <w:tcPr>
            <w:tcW w:w="775"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s="宋体"/>
                <w:sz w:val="21"/>
                <w:szCs w:val="21"/>
              </w:rPr>
            </w:pPr>
            <w:r>
              <w:rPr>
                <w:rFonts w:hint="eastAsia" w:ascii="宋体" w:hAnsi="宋体" w:cs="宋体"/>
                <w:sz w:val="21"/>
                <w:szCs w:val="21"/>
              </w:rPr>
              <w:t>单位</w:t>
            </w:r>
          </w:p>
        </w:tc>
        <w:tc>
          <w:tcPr>
            <w:tcW w:w="849"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s="宋体"/>
                <w:sz w:val="21"/>
                <w:szCs w:val="21"/>
              </w:rPr>
            </w:pPr>
            <w:r>
              <w:rPr>
                <w:rFonts w:hint="eastAsia" w:ascii="宋体" w:hAnsi="宋体" w:cs="宋体"/>
                <w:sz w:val="21"/>
                <w:szCs w:val="21"/>
              </w:rPr>
              <w:t>数量</w:t>
            </w:r>
          </w:p>
        </w:tc>
      </w:tr>
      <w:tr>
        <w:tblPrEx>
          <w:tblCellMar>
            <w:top w:w="0" w:type="dxa"/>
            <w:left w:w="108" w:type="dxa"/>
            <w:bottom w:w="0" w:type="dxa"/>
            <w:right w:w="108" w:type="dxa"/>
          </w:tblCellMar>
        </w:tblPrEx>
        <w:trPr>
          <w:trHeight w:val="504" w:hRule="atLeast"/>
          <w:jc w:val="center"/>
        </w:trPr>
        <w:tc>
          <w:tcPr>
            <w:tcW w:w="654"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sz w:val="21"/>
                <w:szCs w:val="21"/>
              </w:rPr>
            </w:pPr>
            <w:r>
              <w:rPr>
                <w:rFonts w:hint="eastAsia" w:ascii="宋体" w:hAnsi="宋体" w:cs="宋体"/>
                <w:sz w:val="21"/>
                <w:szCs w:val="21"/>
              </w:rPr>
              <w:t>1</w:t>
            </w:r>
          </w:p>
        </w:tc>
        <w:tc>
          <w:tcPr>
            <w:tcW w:w="1150" w:type="dxa"/>
            <w:tcBorders>
              <w:top w:val="nil"/>
              <w:left w:val="nil"/>
              <w:bottom w:val="single" w:color="auto" w:sz="4" w:space="0"/>
              <w:right w:val="single" w:color="auto" w:sz="4" w:space="0"/>
            </w:tcBorders>
            <w:vAlign w:val="center"/>
          </w:tcPr>
          <w:p>
            <w:pPr>
              <w:widowControl/>
              <w:textAlignment w:val="center"/>
              <w:rPr>
                <w:rFonts w:ascii="宋体" w:hAnsi="宋体" w:cs="宋体"/>
                <w:sz w:val="21"/>
                <w:szCs w:val="21"/>
              </w:rPr>
            </w:pPr>
            <w:r>
              <w:rPr>
                <w:rFonts w:hint="eastAsia" w:ascii="宋体" w:hAnsi="宋体" w:cs="宋体"/>
                <w:sz w:val="21"/>
                <w:szCs w:val="21"/>
              </w:rPr>
              <w:t>600MHz核磁共振波谱仪</w:t>
            </w:r>
          </w:p>
        </w:tc>
        <w:tc>
          <w:tcPr>
            <w:tcW w:w="5091" w:type="dxa"/>
            <w:tcBorders>
              <w:top w:val="nil"/>
              <w:left w:val="nil"/>
              <w:bottom w:val="single" w:color="auto" w:sz="4" w:space="0"/>
              <w:right w:val="single" w:color="auto" w:sz="4" w:space="0"/>
            </w:tcBorders>
            <w:vAlign w:val="center"/>
          </w:tcPr>
          <w:p>
            <w:pPr>
              <w:pStyle w:val="31"/>
              <w:numPr>
                <w:ilvl w:val="0"/>
                <w:numId w:val="2"/>
              </w:numPr>
              <w:snapToGrid w:val="0"/>
              <w:spacing w:line="276" w:lineRule="auto"/>
              <w:ind w:firstLineChars="0"/>
              <w:rPr>
                <w:rFonts w:ascii="宋体" w:hAnsi="宋体" w:cs="宋体"/>
                <w:bCs/>
                <w:kern w:val="0"/>
                <w:szCs w:val="21"/>
              </w:rPr>
            </w:pPr>
            <w:r>
              <w:rPr>
                <w:rFonts w:hint="eastAsia" w:ascii="宋体" w:hAnsi="宋体" w:cs="宋体"/>
                <w:bCs/>
                <w:kern w:val="0"/>
                <w:szCs w:val="21"/>
              </w:rPr>
              <w:t>超导磁体</w:t>
            </w:r>
          </w:p>
          <w:p>
            <w:pPr>
              <w:spacing w:line="276" w:lineRule="auto"/>
              <w:rPr>
                <w:rFonts w:ascii="宋体" w:hAnsi="宋体" w:cs="宋体"/>
                <w:bCs/>
                <w:sz w:val="21"/>
                <w:szCs w:val="21"/>
              </w:rPr>
            </w:pPr>
            <w:r>
              <w:rPr>
                <w:rFonts w:hint="eastAsia" w:ascii="宋体" w:hAnsi="宋体" w:cs="宋体"/>
                <w:bCs/>
                <w:sz w:val="21"/>
                <w:szCs w:val="21"/>
              </w:rPr>
              <w:t>★1.1. 磁场强度14.09T，具有低液氦与液氮消耗、高稳定性、高均匀性、抗干扰超屏蔽超导磁体或自屏蔽磁体，低温匀场线圈：≥ 9组，室温匀场线圈：≥ 36组，磁场漂移：≤ 6 Hz／小时</w:t>
            </w:r>
          </w:p>
          <w:p>
            <w:pPr>
              <w:spacing w:line="276" w:lineRule="auto"/>
              <w:rPr>
                <w:rFonts w:ascii="宋体" w:hAnsi="宋体" w:cs="宋体"/>
                <w:bCs/>
                <w:sz w:val="21"/>
                <w:szCs w:val="21"/>
              </w:rPr>
            </w:pPr>
            <w:r>
              <w:rPr>
                <w:rFonts w:hint="eastAsia" w:ascii="宋体" w:hAnsi="宋体" w:cs="宋体"/>
                <w:bCs/>
                <w:sz w:val="21"/>
                <w:szCs w:val="21"/>
              </w:rPr>
              <w:t>1.2. 液氦维持时间：≥ 150天</w:t>
            </w:r>
          </w:p>
          <w:p>
            <w:pPr>
              <w:spacing w:line="276" w:lineRule="auto"/>
              <w:rPr>
                <w:rFonts w:ascii="宋体" w:hAnsi="宋体" w:cs="宋体"/>
                <w:bCs/>
                <w:sz w:val="21"/>
                <w:szCs w:val="21"/>
              </w:rPr>
            </w:pPr>
            <w:r>
              <w:rPr>
                <w:rFonts w:hint="eastAsia" w:ascii="宋体" w:hAnsi="宋体" w:cs="宋体"/>
                <w:bCs/>
                <w:sz w:val="21"/>
                <w:szCs w:val="21"/>
              </w:rPr>
              <w:t>1.3. 液氦消耗速率：≤ 23 ml／小时</w:t>
            </w:r>
          </w:p>
          <w:p>
            <w:pPr>
              <w:spacing w:line="276" w:lineRule="auto"/>
              <w:rPr>
                <w:rFonts w:ascii="宋体" w:hAnsi="宋体" w:cs="宋体"/>
                <w:bCs/>
                <w:sz w:val="21"/>
                <w:szCs w:val="21"/>
              </w:rPr>
            </w:pPr>
            <w:r>
              <w:rPr>
                <w:rFonts w:hint="eastAsia" w:ascii="宋体" w:hAnsi="宋体" w:cs="宋体"/>
                <w:bCs/>
                <w:sz w:val="21"/>
                <w:szCs w:val="21"/>
              </w:rPr>
              <w:t>1.4. 液氮维持时间 ≥15天</w:t>
            </w:r>
          </w:p>
          <w:p>
            <w:pPr>
              <w:spacing w:line="360" w:lineRule="auto"/>
              <w:rPr>
                <w:rFonts w:ascii="宋体" w:hAnsi="宋体" w:cs="宋体"/>
                <w:sz w:val="21"/>
                <w:szCs w:val="21"/>
              </w:rPr>
            </w:pPr>
            <w:r>
              <w:rPr>
                <w:rFonts w:hint="eastAsia" w:ascii="宋体" w:hAnsi="宋体" w:cs="宋体"/>
                <w:sz w:val="21"/>
                <w:szCs w:val="21"/>
              </w:rPr>
              <w:t>1.5.  5高斯强度处横向距离：＜ 0.7 米</w:t>
            </w:r>
          </w:p>
          <w:p>
            <w:pPr>
              <w:spacing w:line="360" w:lineRule="auto"/>
              <w:rPr>
                <w:rFonts w:ascii="宋体" w:hAnsi="宋体" w:cs="宋体"/>
                <w:sz w:val="21"/>
                <w:szCs w:val="21"/>
              </w:rPr>
            </w:pPr>
            <w:r>
              <w:rPr>
                <w:rFonts w:hint="eastAsia" w:ascii="宋体" w:hAnsi="宋体" w:cs="宋体"/>
                <w:sz w:val="21"/>
                <w:szCs w:val="21"/>
              </w:rPr>
              <w:t>1.6. 有液氦液面自动监视和最小液面自动报警装置</w:t>
            </w:r>
          </w:p>
          <w:p>
            <w:pPr>
              <w:spacing w:line="276" w:lineRule="auto"/>
              <w:rPr>
                <w:rFonts w:ascii="宋体" w:hAnsi="宋体" w:cs="宋体"/>
                <w:bCs/>
                <w:sz w:val="21"/>
                <w:szCs w:val="21"/>
              </w:rPr>
            </w:pPr>
            <w:r>
              <w:rPr>
                <w:rFonts w:hint="eastAsia" w:ascii="宋体" w:hAnsi="宋体" w:cs="宋体"/>
                <w:bCs/>
                <w:sz w:val="21"/>
                <w:szCs w:val="21"/>
              </w:rPr>
              <w:t>2. 机柜</w:t>
            </w:r>
          </w:p>
          <w:p>
            <w:pPr>
              <w:spacing w:line="276" w:lineRule="auto"/>
              <w:rPr>
                <w:rFonts w:ascii="宋体" w:hAnsi="宋体" w:cs="宋体"/>
                <w:bCs/>
                <w:sz w:val="21"/>
                <w:szCs w:val="21"/>
              </w:rPr>
            </w:pPr>
            <w:r>
              <w:rPr>
                <w:rFonts w:hint="eastAsia" w:ascii="宋体" w:hAnsi="宋体" w:cs="宋体"/>
                <w:bCs/>
                <w:sz w:val="21"/>
                <w:szCs w:val="21"/>
              </w:rPr>
              <w:t>★2.1. 射频通道数2个，</w:t>
            </w:r>
            <w:r>
              <w:rPr>
                <w:rFonts w:hint="eastAsia" w:ascii="宋体" w:hAnsi="宋体" w:cs="宋体"/>
                <w:sz w:val="21"/>
                <w:szCs w:val="21"/>
              </w:rPr>
              <w:t>各通道具有的功能：各通道有独立的观测、去偶、信号接收、模数转换功能，可实现双通道并行采样；或集成射频通道具有观测、去偶、信号接收、模数转换功能，实现单实验，多数据采样。</w:t>
            </w:r>
          </w:p>
          <w:p>
            <w:pPr>
              <w:spacing w:line="276" w:lineRule="auto"/>
              <w:rPr>
                <w:rFonts w:ascii="宋体" w:hAnsi="宋体" w:cs="宋体"/>
                <w:bCs/>
                <w:sz w:val="21"/>
                <w:szCs w:val="21"/>
              </w:rPr>
            </w:pPr>
            <w:r>
              <w:rPr>
                <w:rFonts w:hint="eastAsia" w:ascii="宋体" w:hAnsi="宋体" w:cs="宋体"/>
                <w:bCs/>
                <w:sz w:val="21"/>
                <w:szCs w:val="21"/>
              </w:rPr>
              <w:t>2.2. 双通道频率发生器数字频率合成，每个通道合成频率范围5-1280 MHz；</w:t>
            </w:r>
          </w:p>
          <w:p>
            <w:pPr>
              <w:spacing w:line="276" w:lineRule="auto"/>
              <w:rPr>
                <w:rFonts w:ascii="宋体" w:hAnsi="宋体" w:cs="宋体"/>
                <w:bCs/>
                <w:sz w:val="21"/>
                <w:szCs w:val="21"/>
              </w:rPr>
            </w:pPr>
            <w:r>
              <w:rPr>
                <w:rFonts w:hint="eastAsia" w:ascii="宋体" w:hAnsi="宋体" w:cs="宋体"/>
                <w:bCs/>
                <w:sz w:val="21"/>
                <w:szCs w:val="21"/>
              </w:rPr>
              <w:t>2.3. 质子最大输出功率：≥100W</w:t>
            </w:r>
          </w:p>
          <w:p>
            <w:pPr>
              <w:spacing w:line="276" w:lineRule="auto"/>
              <w:rPr>
                <w:rFonts w:ascii="宋体" w:hAnsi="宋体" w:cs="宋体"/>
                <w:bCs/>
                <w:sz w:val="21"/>
                <w:szCs w:val="21"/>
              </w:rPr>
            </w:pPr>
            <w:r>
              <w:rPr>
                <w:rFonts w:hint="eastAsia" w:ascii="宋体" w:hAnsi="宋体" w:cs="宋体"/>
                <w:bCs/>
                <w:sz w:val="21"/>
                <w:szCs w:val="21"/>
              </w:rPr>
              <w:t>2.4. 多核最大输出功率：≥300W</w:t>
            </w:r>
          </w:p>
          <w:p>
            <w:pPr>
              <w:spacing w:line="276" w:lineRule="auto"/>
              <w:rPr>
                <w:rFonts w:ascii="宋体" w:hAnsi="宋体" w:cs="宋体"/>
                <w:bCs/>
                <w:sz w:val="21"/>
                <w:szCs w:val="21"/>
              </w:rPr>
            </w:pPr>
            <w:r>
              <w:rPr>
                <w:rFonts w:hint="eastAsia" w:ascii="宋体" w:hAnsi="宋体" w:cs="宋体"/>
                <w:bCs/>
                <w:sz w:val="21"/>
                <w:szCs w:val="21"/>
              </w:rPr>
              <w:t xml:space="preserve">2.5. 最大谱宽 ≥ 7 MHz 或 </w:t>
            </w:r>
            <w:r>
              <w:rPr>
                <w:rFonts w:hint="eastAsia" w:ascii="宋体" w:hAnsi="宋体" w:cs="宋体"/>
                <w:sz w:val="21"/>
                <w:szCs w:val="21"/>
              </w:rPr>
              <w:t>接收中频≥1.852 GHz</w:t>
            </w:r>
          </w:p>
          <w:p>
            <w:pPr>
              <w:spacing w:line="276" w:lineRule="auto"/>
              <w:rPr>
                <w:rFonts w:ascii="宋体" w:hAnsi="宋体" w:cs="宋体"/>
                <w:bCs/>
                <w:sz w:val="21"/>
                <w:szCs w:val="21"/>
              </w:rPr>
            </w:pPr>
            <w:r>
              <w:rPr>
                <w:rFonts w:hint="eastAsia" w:ascii="宋体" w:hAnsi="宋体" w:cs="宋体"/>
                <w:bCs/>
                <w:sz w:val="21"/>
                <w:szCs w:val="21"/>
              </w:rPr>
              <w:t>2.6. 高速ADC或DQD，采样速率≥100 兆次/秒</w:t>
            </w:r>
          </w:p>
          <w:p>
            <w:pPr>
              <w:spacing w:line="276" w:lineRule="auto"/>
              <w:rPr>
                <w:rFonts w:ascii="宋体" w:hAnsi="宋体" w:cs="宋体"/>
                <w:bCs/>
                <w:sz w:val="21"/>
                <w:szCs w:val="21"/>
              </w:rPr>
            </w:pPr>
            <w:r>
              <w:rPr>
                <w:rFonts w:hint="eastAsia" w:ascii="宋体" w:hAnsi="宋体" w:cs="宋体"/>
                <w:bCs/>
                <w:sz w:val="21"/>
                <w:szCs w:val="21"/>
              </w:rPr>
              <w:t>2.7. 有效动态范围&gt;22Bit</w:t>
            </w:r>
          </w:p>
          <w:p>
            <w:pPr>
              <w:spacing w:line="276" w:lineRule="auto"/>
              <w:rPr>
                <w:rFonts w:ascii="宋体" w:hAnsi="宋体" w:cs="宋体"/>
                <w:bCs/>
                <w:sz w:val="21"/>
                <w:szCs w:val="21"/>
              </w:rPr>
            </w:pPr>
            <w:r>
              <w:rPr>
                <w:rFonts w:hint="eastAsia" w:ascii="宋体" w:hAnsi="宋体" w:cs="宋体"/>
                <w:bCs/>
                <w:sz w:val="21"/>
                <w:szCs w:val="21"/>
              </w:rPr>
              <w:t xml:space="preserve">2.8. Z方向射频脉冲梯度场，梯度场最大电流：≥10A </w:t>
            </w:r>
          </w:p>
          <w:p>
            <w:pPr>
              <w:spacing w:line="276" w:lineRule="auto"/>
              <w:rPr>
                <w:rFonts w:ascii="宋体" w:hAnsi="宋体" w:cs="宋体"/>
                <w:bCs/>
                <w:sz w:val="21"/>
                <w:szCs w:val="21"/>
              </w:rPr>
            </w:pPr>
            <w:r>
              <w:rPr>
                <w:rFonts w:hint="eastAsia" w:ascii="宋体" w:hAnsi="宋体" w:cs="宋体"/>
                <w:bCs/>
                <w:sz w:val="21"/>
                <w:szCs w:val="21"/>
              </w:rPr>
              <w:t>2.9. 配≥30L杜瓦瓶和加热器用于变温实验</w:t>
            </w:r>
          </w:p>
          <w:p>
            <w:pPr>
              <w:spacing w:line="276" w:lineRule="auto"/>
              <w:rPr>
                <w:rFonts w:ascii="宋体" w:hAnsi="宋体" w:cs="宋体"/>
                <w:bCs/>
                <w:sz w:val="21"/>
                <w:szCs w:val="21"/>
              </w:rPr>
            </w:pPr>
            <w:r>
              <w:rPr>
                <w:rFonts w:hint="eastAsia" w:ascii="宋体" w:hAnsi="宋体" w:cs="宋体"/>
                <w:bCs/>
                <w:sz w:val="21"/>
                <w:szCs w:val="21"/>
              </w:rPr>
              <w:t>3. 探头</w:t>
            </w:r>
          </w:p>
          <w:p>
            <w:pPr>
              <w:spacing w:line="276" w:lineRule="auto"/>
              <w:rPr>
                <w:rFonts w:ascii="宋体" w:hAnsi="宋体" w:cs="宋体"/>
                <w:bCs/>
                <w:sz w:val="21"/>
                <w:szCs w:val="21"/>
              </w:rPr>
            </w:pPr>
            <w:r>
              <w:rPr>
                <w:rFonts w:hint="eastAsia" w:ascii="宋体" w:hAnsi="宋体" w:cs="宋体"/>
                <w:bCs/>
                <w:sz w:val="21"/>
                <w:szCs w:val="21"/>
              </w:rPr>
              <w:t xml:space="preserve">3.1. </w:t>
            </w:r>
            <w:r>
              <w:rPr>
                <w:rFonts w:hint="eastAsia" w:ascii="宋体" w:hAnsi="宋体" w:cs="宋体"/>
                <w:b/>
                <w:sz w:val="21"/>
                <w:szCs w:val="21"/>
              </w:rPr>
              <w:t xml:space="preserve"> 5mm双共振宽带液体探头</w:t>
            </w:r>
          </w:p>
          <w:p>
            <w:pPr>
              <w:spacing w:line="276" w:lineRule="auto"/>
              <w:rPr>
                <w:rFonts w:ascii="宋体" w:hAnsi="宋体" w:cs="宋体"/>
                <w:bCs/>
                <w:sz w:val="21"/>
                <w:szCs w:val="21"/>
              </w:rPr>
            </w:pPr>
            <w:r>
              <w:rPr>
                <w:rFonts w:hint="eastAsia" w:ascii="宋体" w:hAnsi="宋体" w:cs="宋体"/>
                <w:bCs/>
                <w:sz w:val="21"/>
                <w:szCs w:val="21"/>
              </w:rPr>
              <w:t>★3.1.1. 检测核：</w:t>
            </w:r>
            <w:r>
              <w:rPr>
                <w:rFonts w:hint="eastAsia" w:ascii="宋体" w:hAnsi="宋体" w:cs="宋体"/>
                <w:bCs/>
                <w:sz w:val="21"/>
                <w:szCs w:val="21"/>
                <w:vertAlign w:val="superscript"/>
              </w:rPr>
              <w:t xml:space="preserve"> 1</w:t>
            </w:r>
            <w:r>
              <w:rPr>
                <w:rFonts w:hint="eastAsia" w:ascii="宋体" w:hAnsi="宋体" w:cs="宋体"/>
                <w:bCs/>
                <w:sz w:val="21"/>
                <w:szCs w:val="21"/>
              </w:rPr>
              <w:t>H,</w:t>
            </w:r>
            <w:r>
              <w:rPr>
                <w:rFonts w:hint="eastAsia" w:ascii="宋体" w:hAnsi="宋体" w:cs="宋体"/>
                <w:bCs/>
                <w:sz w:val="21"/>
                <w:szCs w:val="21"/>
                <w:vertAlign w:val="superscript"/>
              </w:rPr>
              <w:t xml:space="preserve"> 19</w:t>
            </w:r>
            <w:r>
              <w:rPr>
                <w:rFonts w:hint="eastAsia" w:ascii="宋体" w:hAnsi="宋体" w:cs="宋体"/>
                <w:bCs/>
                <w:sz w:val="21"/>
                <w:szCs w:val="21"/>
              </w:rPr>
              <w:t>F，共振频率在</w:t>
            </w:r>
            <w:r>
              <w:rPr>
                <w:rFonts w:hint="eastAsia" w:ascii="宋体" w:hAnsi="宋体" w:cs="宋体"/>
                <w:bCs/>
                <w:sz w:val="21"/>
                <w:szCs w:val="21"/>
                <w:vertAlign w:val="superscript"/>
              </w:rPr>
              <w:t>15</w:t>
            </w:r>
            <w:r>
              <w:rPr>
                <w:rFonts w:hint="eastAsia" w:ascii="宋体" w:hAnsi="宋体" w:cs="宋体"/>
                <w:bCs/>
                <w:sz w:val="21"/>
                <w:szCs w:val="21"/>
              </w:rPr>
              <w:t>N-</w:t>
            </w:r>
            <w:r>
              <w:rPr>
                <w:rFonts w:hint="eastAsia" w:ascii="宋体" w:hAnsi="宋体" w:cs="宋体"/>
                <w:bCs/>
                <w:sz w:val="21"/>
                <w:szCs w:val="21"/>
                <w:vertAlign w:val="superscript"/>
              </w:rPr>
              <w:t>31</w:t>
            </w:r>
            <w:r>
              <w:rPr>
                <w:rFonts w:hint="eastAsia" w:ascii="宋体" w:hAnsi="宋体" w:cs="宋体"/>
                <w:bCs/>
                <w:sz w:val="21"/>
                <w:szCs w:val="21"/>
              </w:rPr>
              <w:t>P之间的所有核</w:t>
            </w:r>
          </w:p>
          <w:p>
            <w:pPr>
              <w:spacing w:line="276" w:lineRule="auto"/>
              <w:rPr>
                <w:rFonts w:ascii="宋体" w:hAnsi="宋体" w:cs="宋体"/>
                <w:bCs/>
                <w:sz w:val="21"/>
                <w:szCs w:val="21"/>
              </w:rPr>
            </w:pPr>
            <w:r>
              <w:rPr>
                <w:rFonts w:hint="eastAsia" w:ascii="宋体" w:hAnsi="宋体" w:cs="宋体"/>
                <w:bCs/>
                <w:sz w:val="21"/>
                <w:szCs w:val="21"/>
              </w:rPr>
              <w:t>*3.1.2. 灵敏度和分辨率</w:t>
            </w:r>
          </w:p>
          <w:p>
            <w:pPr>
              <w:spacing w:line="276" w:lineRule="auto"/>
              <w:rPr>
                <w:rFonts w:ascii="宋体" w:hAnsi="宋体" w:cs="宋体"/>
                <w:bCs/>
                <w:sz w:val="21"/>
                <w:szCs w:val="21"/>
              </w:rPr>
            </w:pPr>
            <w:r>
              <w:rPr>
                <w:rFonts w:hint="eastAsia" w:ascii="宋体" w:hAnsi="宋体" w:cs="宋体"/>
                <w:bCs/>
                <w:sz w:val="21"/>
                <w:szCs w:val="21"/>
                <w:vertAlign w:val="superscript"/>
              </w:rPr>
              <w:t>1</w:t>
            </w:r>
            <w:r>
              <w:rPr>
                <w:rFonts w:hint="eastAsia" w:ascii="宋体" w:hAnsi="宋体" w:cs="宋体"/>
                <w:bCs/>
                <w:sz w:val="21"/>
                <w:szCs w:val="21"/>
              </w:rPr>
              <w:t>H灵敏度≥ 400:1 (0.1％ EB)</w:t>
            </w:r>
          </w:p>
          <w:p>
            <w:pPr>
              <w:spacing w:line="276" w:lineRule="auto"/>
              <w:rPr>
                <w:rFonts w:ascii="宋体" w:hAnsi="宋体" w:cs="宋体"/>
                <w:bCs/>
                <w:strike/>
                <w:sz w:val="21"/>
                <w:szCs w:val="21"/>
              </w:rPr>
            </w:pPr>
            <w:r>
              <w:rPr>
                <w:rFonts w:hint="eastAsia" w:ascii="宋体" w:hAnsi="宋体" w:cs="宋体"/>
                <w:bCs/>
                <w:sz w:val="21"/>
                <w:szCs w:val="21"/>
                <w:vertAlign w:val="superscript"/>
              </w:rPr>
              <w:t>13</w:t>
            </w:r>
            <w:r>
              <w:rPr>
                <w:rFonts w:hint="eastAsia" w:ascii="宋体" w:hAnsi="宋体" w:cs="宋体"/>
                <w:bCs/>
                <w:sz w:val="21"/>
                <w:szCs w:val="21"/>
              </w:rPr>
              <w:t>C灵敏度≥ 250:1 (ASTM)</w:t>
            </w:r>
          </w:p>
          <w:p>
            <w:pPr>
              <w:spacing w:line="360" w:lineRule="auto"/>
              <w:rPr>
                <w:rFonts w:ascii="宋体" w:hAnsi="宋体" w:cs="宋体"/>
                <w:bCs/>
                <w:sz w:val="21"/>
                <w:szCs w:val="21"/>
              </w:rPr>
            </w:pPr>
            <w:bookmarkStart w:id="67" w:name="_Hlk145490192"/>
            <w:r>
              <w:rPr>
                <w:rFonts w:hint="eastAsia" w:ascii="宋体" w:hAnsi="宋体" w:cs="宋体"/>
                <w:bCs/>
                <w:sz w:val="21"/>
                <w:szCs w:val="21"/>
                <w:vertAlign w:val="superscript"/>
              </w:rPr>
              <w:t>1</w:t>
            </w:r>
            <w:r>
              <w:rPr>
                <w:rFonts w:hint="eastAsia" w:ascii="宋体" w:hAnsi="宋体" w:cs="宋体"/>
                <w:bCs/>
                <w:sz w:val="21"/>
                <w:szCs w:val="21"/>
              </w:rPr>
              <w:t>H分辨率（旋转）≤ 0.6 Hz (1% CHCl</w:t>
            </w:r>
            <w:r>
              <w:rPr>
                <w:rFonts w:hint="eastAsia" w:ascii="宋体" w:hAnsi="宋体" w:cs="宋体"/>
                <w:bCs/>
                <w:sz w:val="21"/>
                <w:szCs w:val="21"/>
                <w:vertAlign w:val="subscript"/>
              </w:rPr>
              <w:t>3</w:t>
            </w:r>
            <w:r>
              <w:rPr>
                <w:rFonts w:hint="eastAsia" w:ascii="宋体" w:hAnsi="宋体" w:cs="宋体"/>
                <w:bCs/>
                <w:sz w:val="21"/>
                <w:szCs w:val="21"/>
              </w:rPr>
              <w:t>)</w:t>
            </w:r>
          </w:p>
          <w:p>
            <w:pPr>
              <w:spacing w:line="360" w:lineRule="auto"/>
              <w:rPr>
                <w:rFonts w:ascii="宋体" w:hAnsi="宋体" w:cs="宋体"/>
                <w:bCs/>
                <w:sz w:val="21"/>
                <w:szCs w:val="21"/>
              </w:rPr>
            </w:pPr>
            <w:r>
              <w:rPr>
                <w:rFonts w:hint="eastAsia" w:ascii="宋体" w:hAnsi="宋体" w:cs="宋体"/>
                <w:bCs/>
                <w:sz w:val="21"/>
                <w:szCs w:val="21"/>
                <w:vertAlign w:val="superscript"/>
              </w:rPr>
              <w:t>13</w:t>
            </w:r>
            <w:r>
              <w:rPr>
                <w:rFonts w:hint="eastAsia" w:ascii="宋体" w:hAnsi="宋体" w:cs="宋体"/>
                <w:bCs/>
                <w:sz w:val="21"/>
                <w:szCs w:val="21"/>
              </w:rPr>
              <w:t>C分辨率 (旋转)≤ 0.2 Hz（ASTM）</w:t>
            </w:r>
          </w:p>
          <w:bookmarkEnd w:id="67"/>
          <w:p>
            <w:pPr>
              <w:spacing w:line="276" w:lineRule="auto"/>
              <w:rPr>
                <w:rFonts w:ascii="宋体" w:hAnsi="宋体" w:cs="宋体"/>
                <w:bCs/>
                <w:sz w:val="21"/>
                <w:szCs w:val="21"/>
              </w:rPr>
            </w:pPr>
          </w:p>
          <w:p>
            <w:pPr>
              <w:spacing w:line="276" w:lineRule="auto"/>
              <w:rPr>
                <w:rFonts w:ascii="宋体" w:hAnsi="宋体" w:cs="宋体"/>
                <w:bCs/>
                <w:sz w:val="21"/>
                <w:szCs w:val="21"/>
              </w:rPr>
            </w:pPr>
            <w:r>
              <w:rPr>
                <w:rFonts w:hint="eastAsia" w:ascii="宋体" w:hAnsi="宋体" w:cs="宋体"/>
                <w:bCs/>
                <w:sz w:val="21"/>
                <w:szCs w:val="21"/>
              </w:rPr>
              <w:t>3.1.3. 加Z-方向梯度场线圈≥ 29高斯/cm</w:t>
            </w:r>
          </w:p>
          <w:p>
            <w:pPr>
              <w:spacing w:line="276" w:lineRule="auto"/>
              <w:rPr>
                <w:rFonts w:ascii="宋体" w:hAnsi="宋体" w:cs="宋体"/>
                <w:bCs/>
                <w:strike/>
                <w:sz w:val="21"/>
                <w:szCs w:val="21"/>
              </w:rPr>
            </w:pPr>
            <w:r>
              <w:rPr>
                <w:rFonts w:hint="eastAsia" w:ascii="宋体" w:hAnsi="宋体" w:cs="宋体"/>
                <w:bCs/>
                <w:sz w:val="21"/>
                <w:szCs w:val="21"/>
              </w:rPr>
              <w:t>3.1.4. 探头耐受温度范围: -100℃ - +150℃</w:t>
            </w:r>
          </w:p>
          <w:p>
            <w:pPr>
              <w:spacing w:line="276" w:lineRule="auto"/>
              <w:rPr>
                <w:rFonts w:ascii="宋体" w:hAnsi="宋体" w:cs="宋体"/>
                <w:bCs/>
                <w:sz w:val="21"/>
                <w:szCs w:val="21"/>
              </w:rPr>
            </w:pPr>
            <w:r>
              <w:rPr>
                <w:rFonts w:hint="eastAsia" w:ascii="宋体" w:hAnsi="宋体" w:cs="宋体"/>
                <w:bCs/>
                <w:sz w:val="21"/>
                <w:szCs w:val="21"/>
              </w:rPr>
              <w:t>3.1.5. 90度脉冲宽度：</w:t>
            </w:r>
          </w:p>
          <w:p>
            <w:pPr>
              <w:spacing w:line="360" w:lineRule="auto"/>
              <w:rPr>
                <w:rFonts w:ascii="宋体" w:hAnsi="宋体" w:cs="宋体"/>
                <w:bCs/>
                <w:sz w:val="21"/>
                <w:szCs w:val="21"/>
              </w:rPr>
            </w:pPr>
            <w:r>
              <w:rPr>
                <w:rFonts w:hint="eastAsia" w:ascii="宋体" w:hAnsi="宋体" w:cs="宋体"/>
                <w:bCs/>
                <w:sz w:val="21"/>
                <w:szCs w:val="21"/>
                <w:vertAlign w:val="superscript"/>
              </w:rPr>
              <w:t>1</w:t>
            </w:r>
            <w:r>
              <w:rPr>
                <w:rFonts w:hint="eastAsia" w:ascii="宋体" w:hAnsi="宋体" w:cs="宋体"/>
                <w:bCs/>
                <w:sz w:val="21"/>
                <w:szCs w:val="21"/>
              </w:rPr>
              <w:t>H ≤ 10μs (0.1% EB sample)</w:t>
            </w:r>
          </w:p>
          <w:p>
            <w:pPr>
              <w:spacing w:line="360" w:lineRule="auto"/>
              <w:rPr>
                <w:rFonts w:ascii="宋体" w:hAnsi="宋体" w:cs="宋体"/>
                <w:bCs/>
                <w:sz w:val="21"/>
                <w:szCs w:val="21"/>
              </w:rPr>
            </w:pPr>
            <w:r>
              <w:rPr>
                <w:rFonts w:hint="eastAsia" w:ascii="宋体" w:hAnsi="宋体" w:cs="宋体"/>
                <w:bCs/>
                <w:sz w:val="21"/>
                <w:szCs w:val="21"/>
                <w:vertAlign w:val="superscript"/>
              </w:rPr>
              <w:t>13</w:t>
            </w:r>
            <w:r>
              <w:rPr>
                <w:rFonts w:hint="eastAsia" w:ascii="宋体" w:hAnsi="宋体" w:cs="宋体"/>
                <w:bCs/>
                <w:sz w:val="21"/>
                <w:szCs w:val="21"/>
              </w:rPr>
              <w:t>C ≤ 15μs (ASTM sample)</w:t>
            </w:r>
          </w:p>
          <w:p>
            <w:pPr>
              <w:spacing w:line="276" w:lineRule="auto"/>
              <w:rPr>
                <w:rFonts w:ascii="宋体" w:hAnsi="宋体" w:cs="宋体"/>
                <w:bCs/>
                <w:sz w:val="21"/>
                <w:szCs w:val="21"/>
              </w:rPr>
            </w:pPr>
            <w:r>
              <w:rPr>
                <w:rFonts w:hint="eastAsia" w:ascii="宋体" w:hAnsi="宋体" w:cs="宋体"/>
                <w:bCs/>
                <w:sz w:val="21"/>
                <w:szCs w:val="21"/>
              </w:rPr>
              <w:t>★3.1.6. 探头全自动调谐和匹配附件：须配备能调所有观测核的全自动调谐和匹配附件</w:t>
            </w:r>
          </w:p>
          <w:p>
            <w:pPr>
              <w:spacing w:line="276" w:lineRule="auto"/>
              <w:rPr>
                <w:rFonts w:ascii="宋体" w:hAnsi="宋体" w:cs="宋体"/>
                <w:bCs/>
                <w:sz w:val="21"/>
                <w:szCs w:val="21"/>
              </w:rPr>
            </w:pPr>
            <w:r>
              <w:rPr>
                <w:rFonts w:hint="eastAsia" w:ascii="宋体" w:hAnsi="宋体" w:cs="宋体"/>
                <w:bCs/>
                <w:sz w:val="21"/>
                <w:szCs w:val="21"/>
              </w:rPr>
              <w:t>★3.1.7. 在观测</w:t>
            </w:r>
            <w:r>
              <w:rPr>
                <w:rFonts w:hint="eastAsia" w:ascii="宋体" w:hAnsi="宋体" w:cs="宋体"/>
                <w:bCs/>
                <w:sz w:val="21"/>
                <w:szCs w:val="21"/>
                <w:vertAlign w:val="superscript"/>
              </w:rPr>
              <w:t>13</w:t>
            </w:r>
            <w:r>
              <w:rPr>
                <w:rFonts w:hint="eastAsia" w:ascii="宋体" w:hAnsi="宋体" w:cs="宋体"/>
                <w:bCs/>
                <w:sz w:val="21"/>
                <w:szCs w:val="21"/>
              </w:rPr>
              <w:t>C时，可以对</w:t>
            </w:r>
            <w:r>
              <w:rPr>
                <w:rFonts w:hint="eastAsia" w:ascii="宋体" w:hAnsi="宋体" w:cs="宋体"/>
                <w:bCs/>
                <w:sz w:val="21"/>
                <w:szCs w:val="21"/>
                <w:vertAlign w:val="superscript"/>
              </w:rPr>
              <w:t>1</w:t>
            </w:r>
            <w:r>
              <w:rPr>
                <w:rFonts w:hint="eastAsia" w:ascii="宋体" w:hAnsi="宋体" w:cs="宋体"/>
                <w:bCs/>
                <w:sz w:val="21"/>
                <w:szCs w:val="21"/>
              </w:rPr>
              <w:t>H和</w:t>
            </w:r>
            <w:r>
              <w:rPr>
                <w:rFonts w:hint="eastAsia" w:ascii="宋体" w:hAnsi="宋体" w:cs="宋体"/>
                <w:bCs/>
                <w:sz w:val="21"/>
                <w:szCs w:val="21"/>
                <w:vertAlign w:val="superscript"/>
              </w:rPr>
              <w:t>19</w:t>
            </w:r>
            <w:r>
              <w:rPr>
                <w:rFonts w:hint="eastAsia" w:ascii="宋体" w:hAnsi="宋体" w:cs="宋体"/>
                <w:bCs/>
                <w:sz w:val="21"/>
                <w:szCs w:val="21"/>
              </w:rPr>
              <w:t>F同时去耦</w:t>
            </w:r>
          </w:p>
          <w:p>
            <w:pPr>
              <w:pStyle w:val="2"/>
              <w:rPr>
                <w:rFonts w:ascii="宋体" w:hAnsi="宋体" w:cs="宋体"/>
                <w:sz w:val="21"/>
                <w:szCs w:val="21"/>
              </w:rPr>
            </w:pPr>
          </w:p>
          <w:p>
            <w:pPr>
              <w:spacing w:line="276" w:lineRule="auto"/>
              <w:rPr>
                <w:rFonts w:ascii="宋体" w:hAnsi="宋体" w:cs="宋体"/>
                <w:bCs/>
                <w:sz w:val="21"/>
                <w:szCs w:val="21"/>
              </w:rPr>
            </w:pPr>
            <w:r>
              <w:rPr>
                <w:rFonts w:hint="eastAsia" w:ascii="宋体" w:hAnsi="宋体" w:cs="宋体"/>
                <w:bCs/>
                <w:sz w:val="21"/>
                <w:szCs w:val="21"/>
              </w:rPr>
              <w:t xml:space="preserve">3.2.  </w:t>
            </w:r>
            <w:r>
              <w:rPr>
                <w:rFonts w:hint="eastAsia" w:ascii="宋体" w:hAnsi="宋体" w:cs="宋体"/>
                <w:b/>
                <w:sz w:val="21"/>
                <w:szCs w:val="21"/>
              </w:rPr>
              <w:t>5mm液氮低温探头</w:t>
            </w:r>
          </w:p>
          <w:p>
            <w:pPr>
              <w:spacing w:line="276" w:lineRule="auto"/>
              <w:rPr>
                <w:rFonts w:ascii="宋体" w:hAnsi="宋体" w:cs="宋体"/>
                <w:bCs/>
                <w:sz w:val="21"/>
                <w:szCs w:val="21"/>
              </w:rPr>
            </w:pPr>
            <w:r>
              <w:rPr>
                <w:rFonts w:hint="eastAsia" w:ascii="宋体" w:hAnsi="宋体" w:cs="宋体"/>
                <w:bCs/>
                <w:sz w:val="21"/>
                <w:szCs w:val="21"/>
              </w:rPr>
              <w:t>★3.2.1. 检测核：</w:t>
            </w:r>
            <w:r>
              <w:rPr>
                <w:rFonts w:hint="eastAsia" w:ascii="宋体" w:hAnsi="宋体" w:cs="宋体"/>
                <w:bCs/>
                <w:sz w:val="21"/>
                <w:szCs w:val="21"/>
                <w:vertAlign w:val="superscript"/>
              </w:rPr>
              <w:t>1</w:t>
            </w:r>
            <w:r>
              <w:rPr>
                <w:rFonts w:hint="eastAsia" w:ascii="宋体" w:hAnsi="宋体" w:cs="宋体"/>
                <w:bCs/>
                <w:sz w:val="21"/>
                <w:szCs w:val="21"/>
              </w:rPr>
              <w:t>H和</w:t>
            </w:r>
            <w:r>
              <w:rPr>
                <w:rFonts w:hint="eastAsia" w:ascii="宋体" w:hAnsi="宋体" w:cs="宋体"/>
                <w:bCs/>
                <w:sz w:val="21"/>
                <w:szCs w:val="21"/>
                <w:vertAlign w:val="superscript"/>
              </w:rPr>
              <w:t>19</w:t>
            </w:r>
            <w:r>
              <w:rPr>
                <w:rFonts w:hint="eastAsia" w:ascii="宋体" w:hAnsi="宋体" w:cs="宋体"/>
                <w:bCs/>
                <w:sz w:val="21"/>
                <w:szCs w:val="21"/>
              </w:rPr>
              <w:t>F, 共振频率在</w:t>
            </w:r>
            <w:r>
              <w:rPr>
                <w:rFonts w:hint="eastAsia" w:ascii="宋体" w:hAnsi="宋体" w:cs="宋体"/>
                <w:bCs/>
                <w:sz w:val="21"/>
                <w:szCs w:val="21"/>
                <w:vertAlign w:val="superscript"/>
              </w:rPr>
              <w:t>15</w:t>
            </w:r>
            <w:r>
              <w:rPr>
                <w:rFonts w:hint="eastAsia" w:ascii="宋体" w:hAnsi="宋体" w:cs="宋体"/>
                <w:bCs/>
                <w:sz w:val="21"/>
                <w:szCs w:val="21"/>
              </w:rPr>
              <w:t>N-</w:t>
            </w:r>
            <w:r>
              <w:rPr>
                <w:rFonts w:hint="eastAsia" w:ascii="宋体" w:hAnsi="宋体" w:cs="宋体"/>
                <w:bCs/>
                <w:sz w:val="21"/>
                <w:szCs w:val="21"/>
                <w:vertAlign w:val="superscript"/>
              </w:rPr>
              <w:t>31</w:t>
            </w:r>
            <w:r>
              <w:rPr>
                <w:rFonts w:hint="eastAsia" w:ascii="宋体" w:hAnsi="宋体" w:cs="宋体"/>
                <w:bCs/>
                <w:sz w:val="21"/>
                <w:szCs w:val="21"/>
              </w:rPr>
              <w:t>P之间的所有核（</w:t>
            </w:r>
            <w:r>
              <w:rPr>
                <w:rFonts w:hint="eastAsia" w:ascii="宋体" w:hAnsi="宋体" w:cs="宋体"/>
                <w:bCs/>
                <w:sz w:val="21"/>
                <w:szCs w:val="21"/>
                <w:vertAlign w:val="superscript"/>
              </w:rPr>
              <w:t>199</w:t>
            </w:r>
            <w:r>
              <w:rPr>
                <w:rFonts w:hint="eastAsia" w:ascii="宋体" w:hAnsi="宋体" w:cs="宋体"/>
                <w:bCs/>
                <w:sz w:val="21"/>
                <w:szCs w:val="21"/>
              </w:rPr>
              <w:t>Hg-</w:t>
            </w:r>
            <w:r>
              <w:rPr>
                <w:rFonts w:hint="eastAsia" w:ascii="宋体" w:hAnsi="宋体" w:cs="宋体"/>
                <w:bCs/>
                <w:sz w:val="21"/>
                <w:szCs w:val="21"/>
                <w:vertAlign w:val="superscript"/>
              </w:rPr>
              <w:t>153</w:t>
            </w:r>
            <w:r>
              <w:rPr>
                <w:rFonts w:hint="eastAsia" w:ascii="宋体" w:hAnsi="宋体" w:cs="宋体"/>
                <w:bCs/>
                <w:sz w:val="21"/>
                <w:szCs w:val="21"/>
              </w:rPr>
              <w:t>Eu除外）</w:t>
            </w:r>
          </w:p>
          <w:p>
            <w:pPr>
              <w:spacing w:line="276" w:lineRule="auto"/>
              <w:rPr>
                <w:rFonts w:ascii="宋体" w:hAnsi="宋体" w:cs="宋体"/>
                <w:bCs/>
                <w:sz w:val="21"/>
                <w:szCs w:val="21"/>
              </w:rPr>
            </w:pPr>
            <w:r>
              <w:rPr>
                <w:rFonts w:hint="eastAsia" w:ascii="宋体" w:hAnsi="宋体" w:cs="宋体"/>
                <w:bCs/>
                <w:sz w:val="21"/>
                <w:szCs w:val="21"/>
              </w:rPr>
              <w:t>*3.2.2. 灵敏度和分辨率</w:t>
            </w:r>
          </w:p>
          <w:p>
            <w:pPr>
              <w:spacing w:line="276" w:lineRule="auto"/>
              <w:rPr>
                <w:rFonts w:ascii="宋体" w:hAnsi="宋体" w:cs="宋体"/>
                <w:bCs/>
                <w:sz w:val="21"/>
                <w:szCs w:val="21"/>
              </w:rPr>
            </w:pPr>
            <w:r>
              <w:rPr>
                <w:rFonts w:hint="eastAsia" w:ascii="宋体" w:hAnsi="宋体" w:cs="宋体"/>
                <w:bCs/>
                <w:sz w:val="21"/>
                <w:szCs w:val="21"/>
                <w:vertAlign w:val="superscript"/>
              </w:rPr>
              <w:t>1</w:t>
            </w:r>
            <w:r>
              <w:rPr>
                <w:rFonts w:hint="eastAsia" w:ascii="宋体" w:hAnsi="宋体" w:cs="宋体"/>
                <w:bCs/>
                <w:sz w:val="21"/>
                <w:szCs w:val="21"/>
              </w:rPr>
              <w:t>H灵敏度≥ 1500:1(0.1％ EB)</w:t>
            </w:r>
          </w:p>
          <w:p>
            <w:pPr>
              <w:spacing w:line="276" w:lineRule="auto"/>
              <w:rPr>
                <w:rFonts w:ascii="宋体" w:hAnsi="宋体" w:cs="宋体"/>
                <w:bCs/>
                <w:sz w:val="21"/>
                <w:szCs w:val="21"/>
              </w:rPr>
            </w:pPr>
            <w:r>
              <w:rPr>
                <w:rFonts w:hint="eastAsia" w:ascii="宋体" w:hAnsi="宋体" w:cs="宋体"/>
                <w:bCs/>
                <w:sz w:val="21"/>
                <w:szCs w:val="21"/>
                <w:vertAlign w:val="superscript"/>
              </w:rPr>
              <w:t>13</w:t>
            </w:r>
            <w:r>
              <w:rPr>
                <w:rFonts w:hint="eastAsia" w:ascii="宋体" w:hAnsi="宋体" w:cs="宋体"/>
                <w:bCs/>
                <w:sz w:val="21"/>
                <w:szCs w:val="21"/>
              </w:rPr>
              <w:t>C灵敏度≥ 750:1(ASTM)</w:t>
            </w:r>
          </w:p>
          <w:p>
            <w:pPr>
              <w:spacing w:line="276" w:lineRule="auto"/>
              <w:rPr>
                <w:rFonts w:ascii="宋体" w:hAnsi="宋体" w:cs="宋体"/>
                <w:bCs/>
                <w:sz w:val="21"/>
                <w:szCs w:val="21"/>
              </w:rPr>
            </w:pPr>
            <w:r>
              <w:rPr>
                <w:rFonts w:hint="eastAsia" w:ascii="宋体" w:hAnsi="宋体" w:cs="宋体"/>
                <w:bCs/>
                <w:sz w:val="21"/>
                <w:szCs w:val="21"/>
                <w:vertAlign w:val="superscript"/>
              </w:rPr>
              <w:t>31</w:t>
            </w:r>
            <w:r>
              <w:rPr>
                <w:rFonts w:hint="eastAsia" w:ascii="宋体" w:hAnsi="宋体" w:cs="宋体"/>
                <w:bCs/>
                <w:sz w:val="21"/>
                <w:szCs w:val="21"/>
              </w:rPr>
              <w:t>P灵敏度≥ 350:1(0.0485M TPP) 或 ≥ 490:1(TPP)</w:t>
            </w:r>
          </w:p>
          <w:p>
            <w:pPr>
              <w:spacing w:line="276" w:lineRule="auto"/>
              <w:rPr>
                <w:rFonts w:ascii="宋体" w:hAnsi="宋体" w:cs="宋体"/>
                <w:bCs/>
                <w:sz w:val="21"/>
                <w:szCs w:val="21"/>
              </w:rPr>
            </w:pPr>
            <w:r>
              <w:rPr>
                <w:rFonts w:hint="eastAsia" w:ascii="宋体" w:hAnsi="宋体" w:cs="宋体"/>
                <w:bCs/>
                <w:sz w:val="21"/>
                <w:szCs w:val="21"/>
                <w:vertAlign w:val="superscript"/>
              </w:rPr>
              <w:t>15</w:t>
            </w:r>
            <w:r>
              <w:rPr>
                <w:rFonts w:hint="eastAsia" w:ascii="宋体" w:hAnsi="宋体" w:cs="宋体"/>
                <w:bCs/>
                <w:sz w:val="21"/>
                <w:szCs w:val="21"/>
              </w:rPr>
              <w:t>N灵敏度≥ 90:1 (90% formamide)</w:t>
            </w:r>
          </w:p>
          <w:p>
            <w:pPr>
              <w:spacing w:line="276" w:lineRule="auto"/>
              <w:rPr>
                <w:rFonts w:ascii="宋体" w:hAnsi="宋体" w:cs="宋体"/>
                <w:bCs/>
                <w:sz w:val="21"/>
                <w:szCs w:val="21"/>
              </w:rPr>
            </w:pPr>
            <w:r>
              <w:rPr>
                <w:rFonts w:hint="eastAsia" w:ascii="宋体" w:hAnsi="宋体" w:cs="宋体"/>
                <w:bCs/>
                <w:sz w:val="21"/>
                <w:szCs w:val="21"/>
                <w:vertAlign w:val="superscript"/>
              </w:rPr>
              <w:t>19</w:t>
            </w:r>
            <w:r>
              <w:rPr>
                <w:rFonts w:hint="eastAsia" w:ascii="宋体" w:hAnsi="宋体" w:cs="宋体"/>
                <w:bCs/>
                <w:sz w:val="21"/>
                <w:szCs w:val="21"/>
              </w:rPr>
              <w:t>F灵敏度≥ 1200:1 (0.05% TFT) 或 1350:1 (90% TFT)</w:t>
            </w:r>
          </w:p>
          <w:p>
            <w:pPr>
              <w:spacing w:line="276" w:lineRule="auto"/>
              <w:rPr>
                <w:rFonts w:ascii="宋体" w:hAnsi="宋体" w:cs="宋体"/>
                <w:bCs/>
                <w:sz w:val="21"/>
                <w:szCs w:val="21"/>
              </w:rPr>
            </w:pPr>
            <w:r>
              <w:rPr>
                <w:rFonts w:hint="eastAsia" w:ascii="宋体" w:hAnsi="宋体" w:cs="宋体"/>
                <w:sz w:val="21"/>
                <w:szCs w:val="21"/>
                <w:vertAlign w:val="superscript"/>
              </w:rPr>
              <w:t>1</w:t>
            </w:r>
            <w:r>
              <w:rPr>
                <w:rFonts w:hint="eastAsia" w:ascii="宋体" w:hAnsi="宋体" w:cs="宋体"/>
                <w:bCs/>
                <w:sz w:val="21"/>
                <w:szCs w:val="21"/>
              </w:rPr>
              <w:t>H</w:t>
            </w:r>
            <w:bookmarkStart w:id="68" w:name="_Hlk145490179"/>
            <w:r>
              <w:rPr>
                <w:rFonts w:hint="eastAsia" w:ascii="宋体" w:hAnsi="宋体" w:cs="宋体"/>
                <w:bCs/>
                <w:sz w:val="21"/>
                <w:szCs w:val="21"/>
              </w:rPr>
              <w:t>分辨率</w:t>
            </w:r>
            <w:bookmarkEnd w:id="68"/>
            <w:r>
              <w:rPr>
                <w:rFonts w:hint="eastAsia" w:ascii="宋体" w:hAnsi="宋体" w:cs="宋体"/>
                <w:bCs/>
                <w:sz w:val="21"/>
                <w:szCs w:val="21"/>
              </w:rPr>
              <w:t>（旋转）≤ 0.8 Hz (1% CHCl3)</w:t>
            </w:r>
          </w:p>
          <w:p>
            <w:pPr>
              <w:spacing w:line="276" w:lineRule="auto"/>
              <w:rPr>
                <w:rFonts w:ascii="宋体" w:hAnsi="宋体" w:cs="宋体"/>
                <w:bCs/>
                <w:sz w:val="21"/>
                <w:szCs w:val="21"/>
              </w:rPr>
            </w:pPr>
            <w:r>
              <w:rPr>
                <w:rFonts w:hint="eastAsia" w:ascii="宋体" w:hAnsi="宋体" w:cs="宋体"/>
                <w:bCs/>
                <w:sz w:val="21"/>
                <w:szCs w:val="21"/>
              </w:rPr>
              <w:t>13C分辨率 (旋转)≤ 0.22 Hz （ASTM）</w:t>
            </w:r>
          </w:p>
          <w:p>
            <w:pPr>
              <w:spacing w:line="276" w:lineRule="auto"/>
              <w:rPr>
                <w:rFonts w:ascii="宋体" w:hAnsi="宋体" w:cs="宋体"/>
                <w:bCs/>
                <w:sz w:val="21"/>
                <w:szCs w:val="21"/>
              </w:rPr>
            </w:pPr>
            <w:r>
              <w:rPr>
                <w:rFonts w:hint="eastAsia" w:ascii="宋体" w:hAnsi="宋体" w:cs="宋体"/>
                <w:bCs/>
                <w:sz w:val="21"/>
                <w:szCs w:val="21"/>
              </w:rPr>
              <w:t>3.2.3. 90度脉冲宽度</w:t>
            </w:r>
          </w:p>
          <w:p>
            <w:pPr>
              <w:spacing w:line="360" w:lineRule="auto"/>
              <w:rPr>
                <w:rFonts w:ascii="宋体" w:hAnsi="宋体" w:cs="宋体"/>
                <w:sz w:val="21"/>
                <w:szCs w:val="21"/>
              </w:rPr>
            </w:pPr>
            <w:r>
              <w:rPr>
                <w:rFonts w:hint="eastAsia" w:ascii="宋体" w:hAnsi="宋体" w:cs="宋体"/>
                <w:sz w:val="21"/>
                <w:szCs w:val="21"/>
                <w:vertAlign w:val="superscript"/>
              </w:rPr>
              <w:t>1</w:t>
            </w:r>
            <w:r>
              <w:rPr>
                <w:rFonts w:hint="eastAsia" w:ascii="宋体" w:hAnsi="宋体" w:cs="宋体"/>
                <w:sz w:val="21"/>
                <w:szCs w:val="21"/>
              </w:rPr>
              <w:t xml:space="preserve">H ≤ 13μs (0.1% EB sample) </w:t>
            </w:r>
          </w:p>
          <w:p>
            <w:pPr>
              <w:spacing w:line="360" w:lineRule="auto"/>
              <w:rPr>
                <w:rFonts w:ascii="宋体" w:hAnsi="宋体" w:cs="宋体"/>
                <w:sz w:val="21"/>
                <w:szCs w:val="21"/>
              </w:rPr>
            </w:pPr>
            <w:r>
              <w:rPr>
                <w:rFonts w:hint="eastAsia" w:ascii="宋体" w:hAnsi="宋体" w:cs="宋体"/>
                <w:sz w:val="21"/>
                <w:szCs w:val="21"/>
                <w:vertAlign w:val="superscript"/>
              </w:rPr>
              <w:t>13</w:t>
            </w:r>
            <w:r>
              <w:rPr>
                <w:rFonts w:hint="eastAsia" w:ascii="宋体" w:hAnsi="宋体" w:cs="宋体"/>
                <w:sz w:val="21"/>
                <w:szCs w:val="21"/>
              </w:rPr>
              <w:t xml:space="preserve">C ≤ 15μs (ASTM sample) </w:t>
            </w:r>
          </w:p>
          <w:p>
            <w:pPr>
              <w:spacing w:line="276" w:lineRule="auto"/>
              <w:rPr>
                <w:rFonts w:ascii="宋体" w:hAnsi="宋体" w:cs="宋体"/>
                <w:bCs/>
                <w:sz w:val="21"/>
                <w:szCs w:val="21"/>
              </w:rPr>
            </w:pPr>
            <w:r>
              <w:rPr>
                <w:rFonts w:hint="eastAsia" w:ascii="宋体" w:hAnsi="宋体" w:cs="宋体"/>
                <w:bCs/>
                <w:sz w:val="21"/>
                <w:szCs w:val="21"/>
              </w:rPr>
              <w:t>3.2.4. 加Z-方向梯度场线圈≥ 29高斯/cm</w:t>
            </w:r>
          </w:p>
          <w:p>
            <w:pPr>
              <w:spacing w:line="276" w:lineRule="auto"/>
              <w:rPr>
                <w:rFonts w:ascii="宋体" w:hAnsi="宋体" w:cs="宋体"/>
                <w:bCs/>
                <w:sz w:val="21"/>
                <w:szCs w:val="21"/>
              </w:rPr>
            </w:pPr>
            <w:r>
              <w:rPr>
                <w:rFonts w:hint="eastAsia" w:ascii="宋体" w:hAnsi="宋体" w:cs="宋体"/>
                <w:bCs/>
                <w:sz w:val="21"/>
                <w:szCs w:val="21"/>
              </w:rPr>
              <w:t>3.2.5. 低温探头实际变温范围: -40℃ - +150℃</w:t>
            </w:r>
          </w:p>
          <w:p>
            <w:pPr>
              <w:spacing w:line="276" w:lineRule="auto"/>
              <w:rPr>
                <w:rFonts w:ascii="宋体" w:hAnsi="宋体" w:cs="宋体"/>
                <w:bCs/>
                <w:sz w:val="21"/>
                <w:szCs w:val="21"/>
              </w:rPr>
            </w:pPr>
            <w:r>
              <w:rPr>
                <w:rFonts w:hint="eastAsia" w:ascii="宋体" w:hAnsi="宋体" w:cs="宋体"/>
                <w:bCs/>
                <w:sz w:val="21"/>
                <w:szCs w:val="21"/>
              </w:rPr>
              <w:t>★3.2.6. 探头全自动调谐和匹配附件：须配备能调所有观测核的全自动调谐和匹配附件</w:t>
            </w:r>
          </w:p>
          <w:p>
            <w:pPr>
              <w:spacing w:line="276" w:lineRule="auto"/>
              <w:rPr>
                <w:rFonts w:ascii="宋体" w:hAnsi="宋体" w:cs="宋体"/>
                <w:bCs/>
                <w:sz w:val="21"/>
                <w:szCs w:val="21"/>
              </w:rPr>
            </w:pPr>
            <w:r>
              <w:rPr>
                <w:rFonts w:hint="eastAsia" w:ascii="宋体" w:hAnsi="宋体" w:cs="宋体"/>
                <w:bCs/>
                <w:sz w:val="21"/>
                <w:szCs w:val="21"/>
              </w:rPr>
              <w:t>★4. 包含24位及以上自动进样器及相应位数的核磁转子</w:t>
            </w:r>
          </w:p>
          <w:p>
            <w:pPr>
              <w:spacing w:line="360" w:lineRule="auto"/>
              <w:rPr>
                <w:rFonts w:ascii="宋体" w:hAnsi="宋体" w:cs="宋体"/>
                <w:b/>
                <w:sz w:val="21"/>
                <w:szCs w:val="21"/>
              </w:rPr>
            </w:pPr>
            <w:bookmarkStart w:id="69" w:name="_Hlk145490773"/>
            <w:r>
              <w:rPr>
                <w:rFonts w:hint="eastAsia" w:ascii="宋体" w:hAnsi="宋体" w:cs="宋体"/>
                <w:b/>
                <w:sz w:val="21"/>
                <w:szCs w:val="21"/>
              </w:rPr>
              <w:t>5. PC工作站（品牌计算机）及打印机</w:t>
            </w:r>
            <w:bookmarkEnd w:id="69"/>
          </w:p>
          <w:p>
            <w:pPr>
              <w:spacing w:line="360" w:lineRule="auto"/>
              <w:rPr>
                <w:rFonts w:ascii="宋体" w:hAnsi="宋体" w:cs="宋体"/>
                <w:b/>
                <w:sz w:val="21"/>
                <w:szCs w:val="21"/>
              </w:rPr>
            </w:pPr>
            <w:r>
              <w:rPr>
                <w:rFonts w:hint="eastAsia" w:ascii="宋体" w:hAnsi="宋体" w:cs="宋体"/>
                <w:b/>
                <w:sz w:val="21"/>
                <w:szCs w:val="21"/>
              </w:rPr>
              <w:t>5.1.  PC工作站（品牌计算机）</w:t>
            </w:r>
          </w:p>
          <w:p>
            <w:pPr>
              <w:spacing w:line="360" w:lineRule="auto"/>
              <w:rPr>
                <w:rFonts w:ascii="宋体" w:hAnsi="宋体" w:cs="宋体"/>
                <w:bCs/>
                <w:sz w:val="21"/>
                <w:szCs w:val="21"/>
              </w:rPr>
            </w:pPr>
            <w:r>
              <w:rPr>
                <w:rFonts w:hint="eastAsia" w:ascii="宋体" w:hAnsi="宋体" w:cs="宋体"/>
                <w:bCs/>
                <w:sz w:val="21"/>
                <w:szCs w:val="21"/>
              </w:rPr>
              <w:t>5.1.1 CPU：intel至强四核或以上高端处理器</w:t>
            </w:r>
          </w:p>
          <w:p>
            <w:pPr>
              <w:spacing w:line="360" w:lineRule="auto"/>
              <w:rPr>
                <w:rFonts w:ascii="宋体" w:hAnsi="宋体" w:cs="宋体"/>
                <w:bCs/>
                <w:sz w:val="21"/>
                <w:szCs w:val="21"/>
              </w:rPr>
            </w:pPr>
            <w:r>
              <w:rPr>
                <w:rFonts w:hint="eastAsia" w:ascii="宋体" w:hAnsi="宋体" w:cs="宋体"/>
                <w:bCs/>
                <w:sz w:val="21"/>
                <w:szCs w:val="21"/>
              </w:rPr>
              <w:t>5.1.2 内存：≥16GB</w:t>
            </w:r>
          </w:p>
          <w:p>
            <w:pPr>
              <w:spacing w:line="360" w:lineRule="auto"/>
              <w:rPr>
                <w:rFonts w:ascii="宋体" w:hAnsi="宋体" w:cs="宋体"/>
                <w:bCs/>
                <w:sz w:val="21"/>
                <w:szCs w:val="21"/>
              </w:rPr>
            </w:pPr>
            <w:bookmarkStart w:id="70" w:name="_Hlk145490837"/>
            <w:r>
              <w:rPr>
                <w:rFonts w:hint="eastAsia" w:ascii="宋体" w:hAnsi="宋体" w:cs="宋体"/>
                <w:bCs/>
                <w:sz w:val="21"/>
                <w:szCs w:val="21"/>
              </w:rPr>
              <w:t>5.1.3 硬盘：≥ 2 TB</w:t>
            </w:r>
          </w:p>
          <w:p>
            <w:pPr>
              <w:spacing w:line="360" w:lineRule="auto"/>
              <w:rPr>
                <w:rFonts w:ascii="宋体" w:hAnsi="宋体" w:cs="宋体"/>
                <w:bCs/>
                <w:sz w:val="21"/>
                <w:szCs w:val="21"/>
              </w:rPr>
            </w:pPr>
            <w:r>
              <w:rPr>
                <w:rFonts w:hint="eastAsia" w:ascii="宋体" w:hAnsi="宋体" w:cs="宋体"/>
                <w:bCs/>
                <w:sz w:val="21"/>
                <w:szCs w:val="21"/>
              </w:rPr>
              <w:t>5.1.4显示器：屏幕≥23.8寸（IPS），分辨率≥1920*1080（16:9）</w:t>
            </w:r>
          </w:p>
          <w:bookmarkEnd w:id="70"/>
          <w:p>
            <w:pPr>
              <w:spacing w:line="360" w:lineRule="auto"/>
              <w:rPr>
                <w:rFonts w:ascii="宋体" w:hAnsi="宋体" w:cs="宋体"/>
                <w:bCs/>
                <w:sz w:val="21"/>
                <w:szCs w:val="21"/>
              </w:rPr>
            </w:pPr>
            <w:bookmarkStart w:id="71" w:name="_Hlk145490888"/>
            <w:r>
              <w:rPr>
                <w:rFonts w:hint="eastAsia" w:ascii="宋体" w:hAnsi="宋体" w:cs="宋体"/>
                <w:b/>
                <w:sz w:val="21"/>
                <w:szCs w:val="21"/>
              </w:rPr>
              <w:t>5.2. 打印机</w:t>
            </w:r>
            <w:bookmarkEnd w:id="71"/>
            <w:r>
              <w:rPr>
                <w:rFonts w:hint="eastAsia" w:ascii="宋体" w:hAnsi="宋体" w:cs="宋体"/>
                <w:b/>
                <w:sz w:val="21"/>
                <w:szCs w:val="21"/>
              </w:rPr>
              <w:t>：</w:t>
            </w:r>
            <w:r>
              <w:rPr>
                <w:rFonts w:hint="eastAsia" w:ascii="宋体" w:hAnsi="宋体" w:cs="宋体"/>
                <w:bCs/>
                <w:sz w:val="21"/>
                <w:szCs w:val="21"/>
              </w:rPr>
              <w:t>打印类型：激光彩打；打印幅面：A4；打印速度≥24 ppm</w:t>
            </w:r>
          </w:p>
          <w:p>
            <w:pPr>
              <w:spacing w:line="360" w:lineRule="auto"/>
              <w:rPr>
                <w:rFonts w:ascii="宋体" w:hAnsi="宋体" w:cs="宋体"/>
                <w:bCs/>
                <w:sz w:val="21"/>
                <w:szCs w:val="21"/>
              </w:rPr>
            </w:pPr>
            <w:r>
              <w:rPr>
                <w:rFonts w:hint="eastAsia" w:ascii="宋体" w:hAnsi="宋体" w:cs="宋体"/>
                <w:bCs/>
                <w:sz w:val="21"/>
                <w:szCs w:val="21"/>
              </w:rPr>
              <w:t>6. NMR软件</w:t>
            </w:r>
          </w:p>
          <w:p>
            <w:pPr>
              <w:spacing w:line="360" w:lineRule="auto"/>
              <w:rPr>
                <w:rFonts w:ascii="宋体" w:hAnsi="宋体" w:cs="宋体"/>
                <w:bCs/>
                <w:sz w:val="21"/>
                <w:szCs w:val="21"/>
              </w:rPr>
            </w:pPr>
            <w:r>
              <w:rPr>
                <w:rFonts w:hint="eastAsia" w:ascii="宋体" w:hAnsi="宋体" w:cs="宋体"/>
                <w:bCs/>
                <w:sz w:val="21"/>
                <w:szCs w:val="21"/>
              </w:rPr>
              <w:t>6.1. 快速多维采样处理软件</w:t>
            </w:r>
            <w:bookmarkStart w:id="72" w:name="_Hlk145490982"/>
            <w:r>
              <w:rPr>
                <w:rFonts w:hint="eastAsia" w:ascii="宋体" w:hAnsi="宋体" w:cs="宋体"/>
                <w:bCs/>
                <w:sz w:val="21"/>
                <w:szCs w:val="21"/>
              </w:rPr>
              <w:t>用户使用权限≥</w:t>
            </w:r>
            <w:bookmarkEnd w:id="72"/>
            <w:r>
              <w:rPr>
                <w:rFonts w:hint="eastAsia" w:ascii="宋体" w:hAnsi="宋体" w:cs="宋体"/>
                <w:b/>
                <w:sz w:val="21"/>
                <w:szCs w:val="21"/>
              </w:rPr>
              <w:t>一个</w:t>
            </w:r>
            <w:r>
              <w:rPr>
                <w:rFonts w:hint="eastAsia" w:ascii="宋体" w:hAnsi="宋体" w:cs="宋体"/>
                <w:bCs/>
                <w:sz w:val="21"/>
                <w:szCs w:val="21"/>
              </w:rPr>
              <w:t>。</w:t>
            </w:r>
          </w:p>
          <w:p>
            <w:pPr>
              <w:spacing w:line="360" w:lineRule="auto"/>
              <w:rPr>
                <w:rFonts w:ascii="宋体" w:hAnsi="宋体" w:cs="宋体"/>
                <w:bCs/>
                <w:sz w:val="21"/>
                <w:szCs w:val="21"/>
              </w:rPr>
            </w:pPr>
            <w:bookmarkStart w:id="73" w:name="_Hlk145490967"/>
            <w:r>
              <w:rPr>
                <w:rFonts w:hint="eastAsia" w:ascii="宋体" w:hAnsi="宋体" w:cs="宋体"/>
                <w:bCs/>
                <w:sz w:val="21"/>
                <w:szCs w:val="21"/>
              </w:rPr>
              <w:t>6.2. 脉冲程序模拟软件</w:t>
            </w:r>
          </w:p>
          <w:bookmarkEnd w:id="73"/>
          <w:p>
            <w:pPr>
              <w:spacing w:line="360" w:lineRule="auto"/>
              <w:rPr>
                <w:rFonts w:ascii="宋体" w:hAnsi="宋体" w:cs="宋体"/>
                <w:bCs/>
                <w:sz w:val="21"/>
                <w:szCs w:val="21"/>
              </w:rPr>
            </w:pPr>
            <w:r>
              <w:rPr>
                <w:rFonts w:hint="eastAsia" w:ascii="宋体" w:hAnsi="宋体" w:cs="宋体"/>
                <w:bCs/>
                <w:sz w:val="21"/>
                <w:szCs w:val="21"/>
              </w:rPr>
              <w:t>6.3. 核磁数据处理软件用户使用权限</w:t>
            </w:r>
            <w:bookmarkStart w:id="74" w:name="_Hlk146023886"/>
            <w:r>
              <w:rPr>
                <w:rFonts w:hint="eastAsia" w:ascii="宋体" w:hAnsi="宋体" w:cs="宋体"/>
                <w:bCs/>
                <w:sz w:val="21"/>
                <w:szCs w:val="21"/>
              </w:rPr>
              <w:t>≥</w:t>
            </w:r>
            <w:bookmarkEnd w:id="74"/>
            <w:r>
              <w:rPr>
                <w:rFonts w:hint="eastAsia" w:ascii="宋体" w:hAnsi="宋体" w:cs="宋体"/>
                <w:bCs/>
                <w:sz w:val="21"/>
                <w:szCs w:val="21"/>
              </w:rPr>
              <w:t>一个</w:t>
            </w:r>
          </w:p>
          <w:p>
            <w:pPr>
              <w:spacing w:line="360" w:lineRule="auto"/>
              <w:rPr>
                <w:rFonts w:ascii="宋体" w:hAnsi="宋体" w:cs="宋体"/>
                <w:bCs/>
                <w:sz w:val="21"/>
                <w:szCs w:val="21"/>
              </w:rPr>
            </w:pPr>
            <w:r>
              <w:rPr>
                <w:rFonts w:hint="eastAsia" w:ascii="宋体" w:hAnsi="宋体" w:cs="宋体"/>
                <w:bCs/>
                <w:sz w:val="21"/>
                <w:szCs w:val="21"/>
              </w:rPr>
              <w:t>*7. UPS电源（≥10 KVA），≥2小时续航。</w:t>
            </w:r>
          </w:p>
          <w:p>
            <w:pPr>
              <w:spacing w:line="360" w:lineRule="auto"/>
              <w:rPr>
                <w:rFonts w:ascii="宋体" w:hAnsi="宋体" w:cs="宋体"/>
                <w:bCs/>
                <w:sz w:val="21"/>
                <w:szCs w:val="21"/>
              </w:rPr>
            </w:pPr>
            <w:r>
              <w:rPr>
                <w:rFonts w:hint="eastAsia" w:ascii="宋体" w:hAnsi="宋体" w:cs="宋体"/>
                <w:bCs/>
                <w:sz w:val="21"/>
                <w:szCs w:val="21"/>
              </w:rPr>
              <w:t>★8.空压机（带过滤器）、储气罐和干燥器1套</w:t>
            </w:r>
          </w:p>
          <w:p>
            <w:pPr>
              <w:spacing w:line="360" w:lineRule="auto"/>
              <w:rPr>
                <w:rFonts w:ascii="宋体" w:hAnsi="宋体" w:cs="宋体"/>
                <w:bCs/>
                <w:sz w:val="21"/>
                <w:szCs w:val="21"/>
              </w:rPr>
            </w:pPr>
            <w:r>
              <w:rPr>
                <w:rFonts w:hint="eastAsia" w:ascii="宋体" w:hAnsi="宋体" w:cs="宋体"/>
                <w:bCs/>
                <w:sz w:val="21"/>
                <w:szCs w:val="21"/>
              </w:rPr>
              <w:t>9. 附件：</w:t>
            </w:r>
          </w:p>
          <w:p>
            <w:pPr>
              <w:spacing w:line="360" w:lineRule="auto"/>
              <w:rPr>
                <w:rFonts w:ascii="宋体" w:hAnsi="宋体" w:cs="宋体"/>
                <w:bCs/>
                <w:sz w:val="21"/>
                <w:szCs w:val="21"/>
              </w:rPr>
            </w:pPr>
            <w:r>
              <w:rPr>
                <w:rFonts w:hint="eastAsia" w:ascii="宋体" w:hAnsi="宋体" w:cs="宋体"/>
                <w:bCs/>
                <w:sz w:val="21"/>
                <w:szCs w:val="21"/>
              </w:rPr>
              <w:t>9.1随机必备的标准附件专用工具</w:t>
            </w:r>
          </w:p>
          <w:p>
            <w:pPr>
              <w:spacing w:line="360" w:lineRule="auto"/>
              <w:rPr>
                <w:rFonts w:ascii="宋体" w:hAnsi="宋体" w:cs="宋体"/>
                <w:bCs/>
                <w:sz w:val="21"/>
                <w:szCs w:val="21"/>
              </w:rPr>
            </w:pPr>
            <w:r>
              <w:rPr>
                <w:rFonts w:hint="eastAsia" w:ascii="宋体" w:hAnsi="宋体" w:cs="宋体"/>
                <w:bCs/>
                <w:sz w:val="21"/>
                <w:szCs w:val="21"/>
              </w:rPr>
              <w:t>9.2 标准样品 1套</w:t>
            </w:r>
          </w:p>
          <w:p>
            <w:pPr>
              <w:spacing w:line="360" w:lineRule="auto"/>
              <w:rPr>
                <w:rFonts w:ascii="宋体" w:hAnsi="宋体" w:cs="宋体"/>
                <w:bCs/>
                <w:sz w:val="21"/>
                <w:szCs w:val="21"/>
              </w:rPr>
            </w:pPr>
            <w:r>
              <w:rPr>
                <w:rFonts w:hint="eastAsia" w:ascii="宋体" w:hAnsi="宋体" w:cs="宋体"/>
                <w:bCs/>
                <w:sz w:val="21"/>
                <w:szCs w:val="21"/>
              </w:rPr>
              <w:t>9.3超导磁体用液氦真空输液管1个</w:t>
            </w:r>
          </w:p>
          <w:p>
            <w:pPr>
              <w:pStyle w:val="2"/>
              <w:rPr>
                <w:rFonts w:ascii="宋体" w:hAnsi="宋体" w:cs="宋体"/>
                <w:sz w:val="21"/>
                <w:szCs w:val="21"/>
              </w:rPr>
            </w:pPr>
            <w:r>
              <w:rPr>
                <w:rFonts w:hint="eastAsia" w:ascii="宋体" w:hAnsi="宋体" w:cs="宋体"/>
                <w:bCs/>
                <w:sz w:val="21"/>
                <w:szCs w:val="21"/>
              </w:rPr>
              <w:t>9.4微量核磁管≥5个</w:t>
            </w:r>
          </w:p>
        </w:tc>
        <w:tc>
          <w:tcPr>
            <w:tcW w:w="775" w:type="dxa"/>
            <w:tcBorders>
              <w:top w:val="nil"/>
              <w:left w:val="nil"/>
              <w:bottom w:val="single" w:color="auto" w:sz="4" w:space="0"/>
              <w:right w:val="single" w:color="auto" w:sz="4" w:space="0"/>
            </w:tcBorders>
            <w:noWrap/>
            <w:vAlign w:val="center"/>
          </w:tcPr>
          <w:p>
            <w:pPr>
              <w:widowControl/>
              <w:textAlignment w:val="center"/>
              <w:rPr>
                <w:rFonts w:ascii="宋体" w:hAnsi="宋体" w:cs="宋体"/>
                <w:sz w:val="21"/>
                <w:szCs w:val="21"/>
              </w:rPr>
            </w:pPr>
            <w:r>
              <w:rPr>
                <w:rFonts w:hint="eastAsia" w:ascii="宋体" w:hAnsi="宋体" w:cs="宋体"/>
                <w:b/>
                <w:bCs/>
                <w:sz w:val="21"/>
                <w:szCs w:val="21"/>
              </w:rPr>
              <w:t>套</w:t>
            </w:r>
          </w:p>
        </w:tc>
        <w:tc>
          <w:tcPr>
            <w:tcW w:w="849" w:type="dxa"/>
            <w:tcBorders>
              <w:top w:val="nil"/>
              <w:left w:val="nil"/>
              <w:bottom w:val="single" w:color="auto" w:sz="4" w:space="0"/>
              <w:right w:val="single" w:color="auto" w:sz="4" w:space="0"/>
            </w:tcBorders>
            <w:noWrap/>
            <w:vAlign w:val="center"/>
          </w:tcPr>
          <w:p>
            <w:pPr>
              <w:widowControl/>
              <w:jc w:val="center"/>
              <w:textAlignment w:val="center"/>
              <w:rPr>
                <w:rFonts w:ascii="宋体" w:hAnsi="宋体" w:cs="宋体"/>
                <w:sz w:val="21"/>
                <w:szCs w:val="21"/>
              </w:rPr>
            </w:pPr>
            <w:r>
              <w:rPr>
                <w:rFonts w:hint="eastAsia" w:ascii="宋体" w:hAnsi="宋体" w:cs="宋体"/>
                <w:sz w:val="21"/>
                <w:szCs w:val="21"/>
              </w:rPr>
              <w:t>1</w:t>
            </w:r>
          </w:p>
        </w:tc>
      </w:tr>
    </w:tbl>
    <w:p>
      <w:pPr>
        <w:pStyle w:val="4"/>
        <w:snapToGrid w:val="0"/>
        <w:spacing w:before="0" w:after="0" w:line="360" w:lineRule="exact"/>
        <w:ind w:left="398" w:leftChars="166"/>
        <w:rPr>
          <w:rFonts w:ascii="Times New Roman" w:hAnsi="Times New Roman"/>
          <w:b w:val="0"/>
          <w:bCs w:val="0"/>
          <w:sz w:val="20"/>
          <w:szCs w:val="20"/>
        </w:rPr>
      </w:pPr>
    </w:p>
    <w:p>
      <w:pPr>
        <w:pStyle w:val="4"/>
        <w:snapToGrid w:val="0"/>
        <w:spacing w:before="0" w:after="0" w:line="360" w:lineRule="exact"/>
        <w:ind w:left="0" w:firstLine="422"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四、</w:t>
      </w:r>
      <w:r>
        <w:rPr>
          <w:rFonts w:asciiTheme="minorEastAsia" w:hAnsiTheme="minorEastAsia" w:eastAsiaTheme="minorEastAsia"/>
          <w:sz w:val="21"/>
          <w:szCs w:val="21"/>
        </w:rPr>
        <w:t>配置</w:t>
      </w:r>
    </w:p>
    <w:p>
      <w:pPr>
        <w:pStyle w:val="4"/>
        <w:snapToGrid w:val="0"/>
        <w:spacing w:before="0" w:after="0" w:line="360" w:lineRule="exact"/>
        <w:ind w:left="0" w:firstLine="420" w:firstLineChars="200"/>
        <w:rPr>
          <w:rFonts w:asciiTheme="minorEastAsia" w:hAnsiTheme="minorEastAsia"/>
          <w:sz w:val="21"/>
          <w:szCs w:val="21"/>
        </w:rPr>
      </w:pPr>
      <w:r>
        <w:rPr>
          <w:rFonts w:ascii="宋体" w:hAnsi="宋体" w:cs="宋体"/>
          <w:b w:val="0"/>
          <w:bCs w:val="0"/>
          <w:sz w:val="21"/>
          <w:szCs w:val="21"/>
        </w:rPr>
        <w:t>包含</w:t>
      </w:r>
      <w:r>
        <w:rPr>
          <w:rFonts w:hint="eastAsia" w:ascii="宋体" w:hAnsi="宋体" w:cs="宋体"/>
          <w:b w:val="0"/>
          <w:bCs w:val="0"/>
          <w:sz w:val="21"/>
          <w:szCs w:val="21"/>
        </w:rPr>
        <w:t>或</w:t>
      </w:r>
      <w:r>
        <w:rPr>
          <w:rFonts w:ascii="宋体" w:hAnsi="宋体" w:cs="宋体"/>
          <w:b w:val="0"/>
          <w:bCs w:val="0"/>
          <w:sz w:val="21"/>
          <w:szCs w:val="21"/>
        </w:rPr>
        <w:t>不限于以下配置，以实现本</w:t>
      </w:r>
      <w:r>
        <w:rPr>
          <w:rFonts w:hint="eastAsia" w:ascii="宋体" w:hAnsi="宋体" w:cs="宋体"/>
          <w:b w:val="0"/>
          <w:bCs w:val="0"/>
          <w:sz w:val="21"/>
          <w:szCs w:val="21"/>
        </w:rPr>
        <w:t>招标</w:t>
      </w:r>
      <w:r>
        <w:rPr>
          <w:rFonts w:ascii="宋体" w:hAnsi="宋体" w:cs="宋体"/>
          <w:b w:val="0"/>
          <w:bCs w:val="0"/>
          <w:sz w:val="21"/>
          <w:szCs w:val="21"/>
        </w:rPr>
        <w:t>文件要求的技术指标、功能和性能为准，且</w:t>
      </w:r>
      <w:r>
        <w:rPr>
          <w:rFonts w:hint="eastAsia" w:ascii="宋体" w:hAnsi="宋体" w:cs="宋体"/>
          <w:b w:val="0"/>
          <w:bCs w:val="0"/>
          <w:sz w:val="21"/>
          <w:szCs w:val="21"/>
        </w:rPr>
        <w:t>投标</w:t>
      </w:r>
      <w:r>
        <w:rPr>
          <w:rFonts w:ascii="宋体" w:hAnsi="宋体" w:cs="宋体"/>
          <w:b w:val="0"/>
          <w:bCs w:val="0"/>
          <w:sz w:val="21"/>
          <w:szCs w:val="21"/>
        </w:rPr>
        <w:t>文件须明确报出配置及配件的数量、品牌、规格型号</w:t>
      </w:r>
      <w:r>
        <w:rPr>
          <w:rFonts w:hint="eastAsia" w:asciiTheme="minorEastAsia" w:hAnsiTheme="minorEastAsia"/>
          <w:sz w:val="21"/>
          <w:szCs w:val="21"/>
        </w:rPr>
        <w:t>（本条为实质性要求，不满足要求的，为无效标）。</w:t>
      </w:r>
    </w:p>
    <w:p/>
    <w:tbl>
      <w:tblPr>
        <w:tblStyle w:val="24"/>
        <w:tblW w:w="78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5150"/>
        <w:gridCol w:w="17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976" w:type="dxa"/>
            <w:shd w:val="clear" w:color="auto" w:fill="auto"/>
            <w:noWrap/>
            <w:vAlign w:val="center"/>
          </w:tcPr>
          <w:p>
            <w:pPr>
              <w:widowControl/>
              <w:jc w:val="center"/>
              <w:textAlignment w:val="center"/>
              <w:rPr>
                <w:rFonts w:ascii="宋体" w:hAnsi="宋体" w:cs="宋体"/>
                <w:sz w:val="21"/>
                <w:szCs w:val="21"/>
              </w:rPr>
            </w:pPr>
            <w:r>
              <w:rPr>
                <w:rFonts w:hint="eastAsia" w:ascii="宋体" w:hAnsi="宋体" w:cs="宋体"/>
                <w:sz w:val="21"/>
                <w:szCs w:val="21"/>
                <w:lang w:bidi="ar"/>
              </w:rPr>
              <w:t>序号</w:t>
            </w:r>
          </w:p>
        </w:tc>
        <w:tc>
          <w:tcPr>
            <w:tcW w:w="5150" w:type="dxa"/>
            <w:shd w:val="clear" w:color="auto" w:fill="auto"/>
            <w:noWrap/>
            <w:vAlign w:val="center"/>
          </w:tcPr>
          <w:p>
            <w:pPr>
              <w:widowControl/>
              <w:jc w:val="center"/>
              <w:textAlignment w:val="center"/>
              <w:rPr>
                <w:rFonts w:ascii="宋体" w:hAnsi="宋体" w:cs="宋体"/>
                <w:sz w:val="21"/>
                <w:szCs w:val="21"/>
              </w:rPr>
            </w:pPr>
            <w:r>
              <w:rPr>
                <w:rFonts w:hint="eastAsia" w:ascii="宋体" w:hAnsi="宋体" w:cs="宋体"/>
                <w:sz w:val="21"/>
                <w:szCs w:val="21"/>
                <w:lang w:bidi="ar"/>
              </w:rPr>
              <w:t>名称</w:t>
            </w:r>
          </w:p>
        </w:tc>
        <w:tc>
          <w:tcPr>
            <w:tcW w:w="1752" w:type="dxa"/>
            <w:shd w:val="clear" w:color="auto" w:fill="auto"/>
            <w:noWrap/>
            <w:vAlign w:val="center"/>
          </w:tcPr>
          <w:p>
            <w:pPr>
              <w:widowControl/>
              <w:jc w:val="center"/>
              <w:textAlignment w:val="center"/>
              <w:rPr>
                <w:rFonts w:ascii="宋体" w:hAnsi="宋体" w:cs="宋体"/>
                <w:sz w:val="21"/>
                <w:szCs w:val="21"/>
              </w:rPr>
            </w:pPr>
            <w:r>
              <w:rPr>
                <w:rFonts w:hint="eastAsia" w:ascii="宋体" w:hAnsi="宋体" w:cs="宋体"/>
                <w:sz w:val="21"/>
                <w:szCs w:val="21"/>
                <w:lang w:bidi="ar"/>
              </w:rPr>
              <w:t>数量（台/套）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976"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sz w:val="21"/>
                <w:szCs w:val="21"/>
                <w:lang w:bidi="ar"/>
              </w:rPr>
            </w:pPr>
            <w:r>
              <w:rPr>
                <w:rFonts w:hint="eastAsia" w:ascii="宋体" w:hAnsi="宋体" w:cs="宋体"/>
                <w:sz w:val="21"/>
                <w:szCs w:val="21"/>
                <w:lang w:bidi="ar"/>
              </w:rPr>
              <w:t>1</w:t>
            </w:r>
          </w:p>
        </w:tc>
        <w:tc>
          <w:tcPr>
            <w:tcW w:w="515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sz w:val="21"/>
                <w:szCs w:val="21"/>
                <w:lang w:bidi="ar"/>
              </w:rPr>
            </w:pPr>
            <w:r>
              <w:rPr>
                <w:rFonts w:hint="eastAsia" w:ascii="宋体" w:hAnsi="宋体" w:cs="宋体"/>
                <w:sz w:val="21"/>
                <w:szCs w:val="21"/>
                <w:lang w:bidi="ar"/>
              </w:rPr>
              <w:t>超导磁体</w:t>
            </w:r>
          </w:p>
        </w:tc>
        <w:tc>
          <w:tcPr>
            <w:tcW w:w="1752"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bCs/>
                <w:sz w:val="21"/>
                <w:szCs w:val="21"/>
              </w:rPr>
            </w:pPr>
            <w:r>
              <w:rPr>
                <w:rFonts w:hint="eastAsia" w:ascii="宋体" w:hAnsi="宋体" w:cs="宋体"/>
                <w:bCs/>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976"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sz w:val="21"/>
                <w:szCs w:val="21"/>
                <w:lang w:bidi="ar"/>
              </w:rPr>
            </w:pPr>
            <w:r>
              <w:rPr>
                <w:rFonts w:hint="eastAsia" w:ascii="宋体" w:hAnsi="宋体" w:cs="宋体"/>
                <w:sz w:val="21"/>
                <w:szCs w:val="21"/>
                <w:lang w:bidi="ar"/>
              </w:rPr>
              <w:t>2</w:t>
            </w:r>
          </w:p>
        </w:tc>
        <w:tc>
          <w:tcPr>
            <w:tcW w:w="515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sz w:val="21"/>
                <w:szCs w:val="21"/>
                <w:lang w:bidi="ar"/>
              </w:rPr>
            </w:pPr>
            <w:r>
              <w:rPr>
                <w:rFonts w:hint="eastAsia" w:ascii="宋体" w:hAnsi="宋体" w:cs="宋体"/>
                <w:sz w:val="21"/>
                <w:szCs w:val="21"/>
                <w:lang w:bidi="ar"/>
              </w:rPr>
              <w:t>机柜</w:t>
            </w:r>
          </w:p>
        </w:tc>
        <w:tc>
          <w:tcPr>
            <w:tcW w:w="1752"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bCs/>
                <w:sz w:val="21"/>
                <w:szCs w:val="21"/>
              </w:rPr>
            </w:pPr>
            <w:r>
              <w:rPr>
                <w:rFonts w:hint="eastAsia" w:ascii="宋体" w:hAnsi="宋体" w:cs="宋体"/>
                <w:bCs/>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976"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sz w:val="21"/>
                <w:szCs w:val="21"/>
                <w:lang w:bidi="ar"/>
              </w:rPr>
            </w:pPr>
            <w:r>
              <w:rPr>
                <w:rFonts w:hint="eastAsia" w:ascii="宋体" w:hAnsi="宋体" w:cs="宋体"/>
                <w:sz w:val="21"/>
                <w:szCs w:val="21"/>
                <w:lang w:bidi="ar"/>
              </w:rPr>
              <w:t>3</w:t>
            </w:r>
          </w:p>
        </w:tc>
        <w:tc>
          <w:tcPr>
            <w:tcW w:w="515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sz w:val="21"/>
                <w:szCs w:val="21"/>
                <w:lang w:bidi="ar"/>
              </w:rPr>
            </w:pPr>
            <w:r>
              <w:rPr>
                <w:rFonts w:hint="eastAsia" w:ascii="宋体" w:hAnsi="宋体" w:cs="宋体"/>
                <w:bCs/>
                <w:sz w:val="21"/>
                <w:szCs w:val="21"/>
              </w:rPr>
              <w:t>5 mm双共振宽带液体探头</w:t>
            </w:r>
          </w:p>
        </w:tc>
        <w:tc>
          <w:tcPr>
            <w:tcW w:w="1752"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bCs/>
                <w:sz w:val="21"/>
                <w:szCs w:val="21"/>
              </w:rPr>
            </w:pPr>
            <w:r>
              <w:rPr>
                <w:rFonts w:hint="eastAsia" w:ascii="宋体" w:hAnsi="宋体" w:cs="宋体"/>
                <w:bCs/>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976"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sz w:val="21"/>
                <w:szCs w:val="21"/>
                <w:lang w:bidi="ar"/>
              </w:rPr>
            </w:pPr>
            <w:r>
              <w:rPr>
                <w:rFonts w:hint="eastAsia" w:ascii="宋体" w:hAnsi="宋体" w:cs="宋体"/>
                <w:sz w:val="21"/>
                <w:szCs w:val="21"/>
                <w:lang w:bidi="ar"/>
              </w:rPr>
              <w:t>4</w:t>
            </w:r>
          </w:p>
        </w:tc>
        <w:tc>
          <w:tcPr>
            <w:tcW w:w="515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sz w:val="21"/>
                <w:szCs w:val="21"/>
                <w:lang w:bidi="ar"/>
              </w:rPr>
            </w:pPr>
            <w:r>
              <w:rPr>
                <w:rFonts w:hint="eastAsia" w:ascii="宋体" w:hAnsi="宋体" w:cs="宋体"/>
                <w:bCs/>
                <w:sz w:val="21"/>
                <w:szCs w:val="21"/>
              </w:rPr>
              <w:t>5 mm液氮低温探头</w:t>
            </w:r>
          </w:p>
        </w:tc>
        <w:tc>
          <w:tcPr>
            <w:tcW w:w="1752"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bCs/>
                <w:sz w:val="21"/>
                <w:szCs w:val="21"/>
              </w:rPr>
            </w:pPr>
            <w:r>
              <w:rPr>
                <w:rFonts w:hint="eastAsia" w:ascii="宋体" w:hAnsi="宋体" w:cs="宋体"/>
                <w:bCs/>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976"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sz w:val="21"/>
                <w:szCs w:val="21"/>
                <w:lang w:bidi="ar"/>
              </w:rPr>
            </w:pPr>
            <w:r>
              <w:rPr>
                <w:rFonts w:hint="eastAsia" w:ascii="宋体" w:hAnsi="宋体" w:cs="宋体"/>
                <w:sz w:val="21"/>
                <w:szCs w:val="21"/>
                <w:lang w:bidi="ar"/>
              </w:rPr>
              <w:t>5</w:t>
            </w:r>
          </w:p>
        </w:tc>
        <w:tc>
          <w:tcPr>
            <w:tcW w:w="515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sz w:val="21"/>
                <w:szCs w:val="21"/>
                <w:lang w:bidi="ar"/>
              </w:rPr>
            </w:pPr>
            <w:r>
              <w:rPr>
                <w:rFonts w:hint="eastAsia" w:ascii="宋体" w:hAnsi="宋体" w:cs="宋体"/>
                <w:bCs/>
                <w:sz w:val="21"/>
                <w:szCs w:val="21"/>
              </w:rPr>
              <w:t>24位及以上自动进样器及相应位数的核磁转子</w:t>
            </w:r>
          </w:p>
        </w:tc>
        <w:tc>
          <w:tcPr>
            <w:tcW w:w="1752"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bCs/>
                <w:sz w:val="21"/>
                <w:szCs w:val="21"/>
              </w:rPr>
            </w:pPr>
            <w:r>
              <w:rPr>
                <w:rFonts w:hint="eastAsia" w:ascii="宋体" w:hAnsi="宋体" w:cs="宋体"/>
                <w:bCs/>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976"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sz w:val="21"/>
                <w:szCs w:val="21"/>
                <w:lang w:bidi="ar"/>
              </w:rPr>
            </w:pPr>
            <w:r>
              <w:rPr>
                <w:rFonts w:hint="eastAsia" w:ascii="宋体" w:hAnsi="宋体" w:cs="宋体"/>
                <w:sz w:val="21"/>
                <w:szCs w:val="21"/>
                <w:lang w:bidi="ar"/>
              </w:rPr>
              <w:t>6</w:t>
            </w:r>
          </w:p>
        </w:tc>
        <w:tc>
          <w:tcPr>
            <w:tcW w:w="515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sz w:val="21"/>
                <w:szCs w:val="21"/>
                <w:lang w:bidi="ar"/>
              </w:rPr>
            </w:pPr>
            <w:r>
              <w:rPr>
                <w:rFonts w:hint="eastAsia" w:ascii="宋体" w:hAnsi="宋体" w:cs="宋体"/>
                <w:sz w:val="21"/>
                <w:szCs w:val="21"/>
                <w:lang w:bidi="ar"/>
              </w:rPr>
              <w:t>PC工作站（品牌计算机）及打印机</w:t>
            </w:r>
          </w:p>
        </w:tc>
        <w:tc>
          <w:tcPr>
            <w:tcW w:w="1752"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bCs/>
                <w:sz w:val="21"/>
                <w:szCs w:val="21"/>
              </w:rPr>
            </w:pPr>
            <w:r>
              <w:rPr>
                <w:rFonts w:hint="eastAsia" w:ascii="宋体" w:hAnsi="宋体" w:cs="宋体"/>
                <w:bCs/>
                <w:sz w:val="21"/>
                <w:szCs w:val="21"/>
              </w:rPr>
              <w:t>各1台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976"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sz w:val="21"/>
                <w:szCs w:val="21"/>
                <w:lang w:bidi="ar"/>
              </w:rPr>
            </w:pPr>
            <w:r>
              <w:rPr>
                <w:rFonts w:hint="eastAsia" w:ascii="宋体" w:hAnsi="宋体" w:cs="宋体"/>
                <w:sz w:val="21"/>
                <w:szCs w:val="21"/>
                <w:lang w:bidi="ar"/>
              </w:rPr>
              <w:t>7</w:t>
            </w:r>
          </w:p>
        </w:tc>
        <w:tc>
          <w:tcPr>
            <w:tcW w:w="515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sz w:val="21"/>
                <w:szCs w:val="21"/>
                <w:lang w:bidi="ar"/>
              </w:rPr>
            </w:pPr>
            <w:r>
              <w:rPr>
                <w:rFonts w:hint="eastAsia" w:ascii="宋体" w:hAnsi="宋体" w:cs="宋体"/>
                <w:bCs/>
                <w:sz w:val="21"/>
                <w:szCs w:val="21"/>
              </w:rPr>
              <w:t>NMR软件</w:t>
            </w:r>
          </w:p>
        </w:tc>
        <w:tc>
          <w:tcPr>
            <w:tcW w:w="1752"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bCs/>
                <w:sz w:val="21"/>
                <w:szCs w:val="21"/>
              </w:rPr>
            </w:pPr>
            <w:r>
              <w:rPr>
                <w:rFonts w:hint="eastAsia" w:ascii="宋体" w:hAnsi="宋体" w:cs="宋体"/>
                <w:bCs/>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976"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sz w:val="21"/>
                <w:szCs w:val="21"/>
                <w:lang w:bidi="ar"/>
              </w:rPr>
            </w:pPr>
            <w:r>
              <w:rPr>
                <w:rFonts w:hint="eastAsia" w:ascii="宋体" w:hAnsi="宋体" w:cs="宋体"/>
                <w:sz w:val="21"/>
                <w:szCs w:val="21"/>
                <w:lang w:bidi="ar"/>
              </w:rPr>
              <w:t>8</w:t>
            </w:r>
          </w:p>
        </w:tc>
        <w:tc>
          <w:tcPr>
            <w:tcW w:w="515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sz w:val="21"/>
                <w:szCs w:val="21"/>
                <w:lang w:bidi="ar"/>
              </w:rPr>
            </w:pPr>
            <w:r>
              <w:rPr>
                <w:rFonts w:hint="eastAsia" w:ascii="宋体" w:hAnsi="宋体" w:cs="宋体"/>
                <w:bCs/>
                <w:sz w:val="21"/>
                <w:szCs w:val="21"/>
              </w:rPr>
              <w:t>UPS电源</w:t>
            </w:r>
          </w:p>
        </w:tc>
        <w:tc>
          <w:tcPr>
            <w:tcW w:w="1752"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bCs/>
                <w:sz w:val="21"/>
                <w:szCs w:val="21"/>
              </w:rPr>
            </w:pPr>
            <w:r>
              <w:rPr>
                <w:rFonts w:hint="eastAsia" w:ascii="宋体" w:hAnsi="宋体" w:cs="宋体"/>
                <w:bCs/>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976"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sz w:val="21"/>
                <w:szCs w:val="21"/>
                <w:lang w:bidi="ar"/>
              </w:rPr>
            </w:pPr>
            <w:r>
              <w:rPr>
                <w:rFonts w:hint="eastAsia" w:ascii="宋体" w:hAnsi="宋体" w:cs="宋体"/>
                <w:sz w:val="21"/>
                <w:szCs w:val="21"/>
                <w:lang w:bidi="ar"/>
              </w:rPr>
              <w:t>9</w:t>
            </w:r>
          </w:p>
        </w:tc>
        <w:tc>
          <w:tcPr>
            <w:tcW w:w="515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sz w:val="21"/>
                <w:szCs w:val="21"/>
                <w:lang w:bidi="ar"/>
              </w:rPr>
            </w:pPr>
            <w:r>
              <w:rPr>
                <w:rFonts w:hint="eastAsia" w:ascii="宋体" w:hAnsi="宋体" w:cs="宋体"/>
                <w:bCs/>
                <w:sz w:val="21"/>
                <w:szCs w:val="21"/>
              </w:rPr>
              <w:t>空压机（带过滤器）、储气罐和干燥器</w:t>
            </w:r>
          </w:p>
        </w:tc>
        <w:tc>
          <w:tcPr>
            <w:tcW w:w="1752"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bCs/>
                <w:sz w:val="21"/>
                <w:szCs w:val="21"/>
              </w:rPr>
            </w:pPr>
            <w:r>
              <w:rPr>
                <w:rFonts w:hint="eastAsia" w:ascii="宋体" w:hAnsi="宋体" w:cs="宋体"/>
                <w:bCs/>
                <w:sz w:val="21"/>
                <w:szCs w:val="21"/>
              </w:rPr>
              <w:t>1</w:t>
            </w:r>
          </w:p>
        </w:tc>
      </w:tr>
    </w:tbl>
    <w:p>
      <w:pPr>
        <w:autoSpaceDE w:val="0"/>
        <w:autoSpaceDN w:val="0"/>
        <w:spacing w:line="360" w:lineRule="auto"/>
        <w:ind w:firstLine="482" w:firstLineChars="200"/>
        <w:rPr>
          <w:b/>
        </w:rPr>
      </w:pPr>
    </w:p>
    <w:p>
      <w:pPr>
        <w:pStyle w:val="31"/>
        <w:spacing w:line="520" w:lineRule="exact"/>
        <w:ind w:left="567" w:firstLine="0" w:firstLineChars="0"/>
        <w:rPr>
          <w:rFonts w:ascii="宋体" w:hAnsi="宋体"/>
          <w:b/>
          <w:sz w:val="24"/>
          <w:szCs w:val="24"/>
        </w:rPr>
      </w:pPr>
    </w:p>
    <w:p>
      <w:pPr>
        <w:pStyle w:val="4"/>
        <w:snapToGrid w:val="0"/>
        <w:spacing w:before="0" w:after="0" w:line="360" w:lineRule="exact"/>
        <w:ind w:left="0" w:firstLine="422"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五、提供技术支持文件要求</w:t>
      </w:r>
    </w:p>
    <w:p>
      <w:pPr>
        <w:snapToGrid w:val="0"/>
        <w:spacing w:line="420" w:lineRule="exact"/>
        <w:ind w:firstLine="422" w:firstLineChars="200"/>
        <w:rPr>
          <w:rFonts w:asciiTheme="minorEastAsia" w:hAnsiTheme="minorEastAsia" w:eastAsiaTheme="minorEastAsia" w:cstheme="minorEastAsia"/>
          <w:b/>
          <w:sz w:val="21"/>
          <w:szCs w:val="21"/>
        </w:rPr>
      </w:pPr>
      <w:r>
        <w:rPr>
          <w:rFonts w:hint="eastAsia" w:asciiTheme="minorEastAsia" w:hAnsiTheme="minorEastAsia" w:cstheme="minorEastAsia"/>
          <w:b/>
          <w:sz w:val="21"/>
          <w:szCs w:val="21"/>
        </w:rPr>
        <w:t>投标人应对本篇“★</w:t>
      </w:r>
      <w:r>
        <w:rPr>
          <w:rFonts w:hint="eastAsia" w:asciiTheme="minorEastAsia" w:hAnsiTheme="minorEastAsia" w:cstheme="minorEastAsia"/>
          <w:b/>
          <w:kern w:val="24"/>
          <w:sz w:val="21"/>
          <w:szCs w:val="21"/>
        </w:rPr>
        <w:t>”</w:t>
      </w:r>
      <w:r>
        <w:rPr>
          <w:rFonts w:hint="eastAsia" w:asciiTheme="minorEastAsia" w:hAnsiTheme="minorEastAsia" w:cstheme="minorEastAsia"/>
          <w:b/>
          <w:sz w:val="21"/>
          <w:szCs w:val="21"/>
        </w:rPr>
        <w:t>和“</w:t>
      </w:r>
      <w:r>
        <w:rPr>
          <w:rFonts w:hint="eastAsia" w:ascii="宋体" w:hAnsi="宋体" w:cs="宋体"/>
          <w:b/>
          <w:bCs/>
          <w:sz w:val="21"/>
          <w:szCs w:val="21"/>
        </w:rPr>
        <w:t>*</w:t>
      </w:r>
      <w:r>
        <w:rPr>
          <w:rFonts w:hint="eastAsia" w:asciiTheme="minorEastAsia" w:hAnsiTheme="minorEastAsia" w:cstheme="minorEastAsia"/>
          <w:b/>
          <w:sz w:val="21"/>
          <w:szCs w:val="21"/>
        </w:rPr>
        <w:t>”标注</w:t>
      </w:r>
      <w:r>
        <w:rPr>
          <w:rFonts w:hint="eastAsia" w:asciiTheme="minorEastAsia" w:hAnsiTheme="minorEastAsia" w:cstheme="minorEastAsia"/>
          <w:b/>
          <w:bCs/>
          <w:sz w:val="21"/>
          <w:szCs w:val="21"/>
        </w:rPr>
        <w:t>技术规格参数响应情况</w:t>
      </w:r>
      <w:r>
        <w:rPr>
          <w:rFonts w:hint="eastAsia" w:asciiTheme="minorEastAsia" w:hAnsiTheme="minorEastAsia" w:cstheme="minorEastAsia"/>
          <w:b/>
          <w:sz w:val="21"/>
          <w:szCs w:val="21"/>
        </w:rPr>
        <w:t>提供有效的佐证材料，</w:t>
      </w:r>
      <w:r>
        <w:rPr>
          <w:rFonts w:hint="eastAsia" w:asciiTheme="minorEastAsia" w:hAnsiTheme="minorEastAsia" w:cstheme="minorEastAsia"/>
          <w:bCs/>
          <w:sz w:val="21"/>
          <w:szCs w:val="21"/>
        </w:rPr>
        <w:t>包括但不限于列有技术参数且完整的厂家产品彩页，或厂家官方网站公布的截图，或厂家产品说明书，或第三方机构出具的检测报告，或经厂家确认的证明材料等（</w:t>
      </w:r>
      <w:r>
        <w:rPr>
          <w:rFonts w:hint="eastAsia" w:asciiTheme="minorEastAsia" w:hAnsiTheme="minorEastAsia" w:cstheme="minorEastAsia"/>
          <w:b/>
          <w:sz w:val="21"/>
          <w:szCs w:val="21"/>
        </w:rPr>
        <w:t>本篇第三条具体技术要求里有明确的技术文件规定的</w:t>
      </w:r>
      <w:r>
        <w:rPr>
          <w:rFonts w:hint="eastAsia" w:asciiTheme="minorEastAsia" w:hAnsiTheme="minorEastAsia" w:cstheme="minorEastAsia"/>
          <w:bCs/>
          <w:sz w:val="21"/>
          <w:szCs w:val="21"/>
        </w:rPr>
        <w:t>，</w:t>
      </w:r>
      <w:r>
        <w:rPr>
          <w:rFonts w:hint="eastAsia" w:asciiTheme="minorEastAsia" w:hAnsiTheme="minorEastAsia" w:cstheme="minorEastAsia"/>
          <w:b/>
          <w:sz w:val="21"/>
          <w:szCs w:val="21"/>
        </w:rPr>
        <w:t>从其规定）</w:t>
      </w:r>
      <w:r>
        <w:rPr>
          <w:rFonts w:hint="eastAsia" w:asciiTheme="minorEastAsia" w:hAnsiTheme="minorEastAsia" w:cstheme="minorEastAsia"/>
          <w:bCs/>
          <w:sz w:val="21"/>
          <w:szCs w:val="21"/>
        </w:rPr>
        <w:t>，以佐证所投产品的相应的技术参数及功能，</w:t>
      </w:r>
      <w:r>
        <w:rPr>
          <w:rFonts w:hint="eastAsia" w:asciiTheme="minorEastAsia" w:hAnsiTheme="minorEastAsia" w:cstheme="minorEastAsia"/>
          <w:b/>
          <w:sz w:val="21"/>
          <w:szCs w:val="21"/>
        </w:rPr>
        <w:t>如上述资料未能体现采购要求的“★</w:t>
      </w:r>
      <w:r>
        <w:rPr>
          <w:rFonts w:hint="eastAsia" w:asciiTheme="minorEastAsia" w:hAnsiTheme="minorEastAsia" w:cstheme="minorEastAsia"/>
          <w:b/>
          <w:kern w:val="24"/>
          <w:sz w:val="21"/>
          <w:szCs w:val="21"/>
        </w:rPr>
        <w:t>”</w:t>
      </w:r>
      <w:r>
        <w:rPr>
          <w:rFonts w:hint="eastAsia" w:asciiTheme="minorEastAsia" w:hAnsiTheme="minorEastAsia" w:cstheme="minorEastAsia"/>
          <w:b/>
          <w:sz w:val="21"/>
          <w:szCs w:val="21"/>
        </w:rPr>
        <w:t>和“</w:t>
      </w:r>
      <w:r>
        <w:rPr>
          <w:rFonts w:hint="eastAsia" w:ascii="宋体" w:hAnsi="宋体" w:cs="宋体"/>
          <w:b/>
          <w:bCs/>
          <w:sz w:val="21"/>
          <w:szCs w:val="21"/>
        </w:rPr>
        <w:t>*</w:t>
      </w:r>
      <w:r>
        <w:rPr>
          <w:rFonts w:hint="eastAsia" w:asciiTheme="minorEastAsia" w:hAnsiTheme="minorEastAsia" w:cstheme="minorEastAsia"/>
          <w:b/>
          <w:sz w:val="21"/>
          <w:szCs w:val="21"/>
        </w:rPr>
        <w:t>”标注参数的</w:t>
      </w:r>
      <w:r>
        <w:rPr>
          <w:rFonts w:hint="eastAsia" w:asciiTheme="minorEastAsia" w:hAnsiTheme="minorEastAsia" w:cstheme="minorEastAsia"/>
          <w:bCs/>
          <w:sz w:val="21"/>
          <w:szCs w:val="21"/>
        </w:rPr>
        <w:t>，则相应的技术参数响应</w:t>
      </w:r>
      <w:r>
        <w:rPr>
          <w:rFonts w:hint="eastAsia" w:asciiTheme="minorEastAsia" w:hAnsiTheme="minorEastAsia" w:cstheme="minorEastAsia"/>
          <w:b/>
          <w:sz w:val="21"/>
          <w:szCs w:val="21"/>
        </w:rPr>
        <w:t>将被视为负偏离。</w:t>
      </w:r>
    </w:p>
    <w:p>
      <w:pPr>
        <w:snapToGrid w:val="0"/>
        <w:spacing w:line="420" w:lineRule="exact"/>
        <w:ind w:firstLine="422" w:firstLineChars="200"/>
        <w:rPr>
          <w:rFonts w:asciiTheme="minorEastAsia" w:hAnsiTheme="minorEastAsia" w:eastAsiaTheme="minorEastAsia" w:cstheme="minorEastAsia"/>
          <w:b/>
          <w:sz w:val="21"/>
          <w:szCs w:val="21"/>
        </w:rPr>
      </w:pPr>
    </w:p>
    <w:p>
      <w:pPr>
        <w:pStyle w:val="4"/>
        <w:snapToGrid w:val="0"/>
        <w:spacing w:before="0" w:after="0" w:line="360" w:lineRule="exact"/>
        <w:ind w:left="0" w:firstLine="422"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六、标准附件、专用工具和消耗品</w:t>
      </w:r>
    </w:p>
    <w:p>
      <w:pPr>
        <w:snapToGrid w:val="0"/>
        <w:spacing w:line="420" w:lineRule="exact"/>
        <w:ind w:firstLine="420" w:firstLineChars="200"/>
        <w:rPr>
          <w:rFonts w:asciiTheme="minorEastAsia" w:hAnsiTheme="minorEastAsia" w:cstheme="minorEastAsia"/>
          <w:bCs/>
          <w:sz w:val="21"/>
          <w:szCs w:val="21"/>
        </w:rPr>
      </w:pPr>
      <w:r>
        <w:rPr>
          <w:rFonts w:hint="eastAsia" w:asciiTheme="minorEastAsia" w:hAnsiTheme="minorEastAsia" w:cstheme="minorEastAsia"/>
          <w:bCs/>
          <w:sz w:val="21"/>
          <w:szCs w:val="21"/>
        </w:rPr>
        <w:t>除技术要求中指定的附件和专用工具外，投标人应提供仪器设备的正常运行和常规保养所需的全套标准附件、专用工具和消耗品（若有）。投标人在投标文件中需列出这些附件和工具的数量和单价的清单，这些附件和工具的报价的总值需计入投标总价中。</w:t>
      </w:r>
    </w:p>
    <w:p>
      <w:pPr>
        <w:pStyle w:val="2"/>
        <w:rPr>
          <w:rFonts w:asciiTheme="minorEastAsia" w:hAnsiTheme="minorEastAsia" w:eastAsiaTheme="minorEastAsia"/>
          <w:sz w:val="21"/>
          <w:szCs w:val="21"/>
        </w:rPr>
      </w:pPr>
    </w:p>
    <w:p>
      <w:pPr>
        <w:pStyle w:val="4"/>
        <w:snapToGrid w:val="0"/>
        <w:spacing w:before="0" w:after="0" w:line="360" w:lineRule="exact"/>
        <w:ind w:left="0" w:firstLine="422"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七、其他附件：</w:t>
      </w:r>
    </w:p>
    <w:p>
      <w:pPr>
        <w:pStyle w:val="16"/>
        <w:ind w:firstLine="420" w:firstLineChars="200"/>
        <w:rPr>
          <w:rFonts w:asciiTheme="minorEastAsia" w:hAnsiTheme="minorEastAsia" w:cstheme="minorEastAsia"/>
          <w:bCs/>
          <w:color w:val="auto"/>
        </w:rPr>
      </w:pPr>
      <w:r>
        <w:rPr>
          <w:rFonts w:hint="eastAsia" w:asciiTheme="minorEastAsia" w:hAnsiTheme="minorEastAsia" w:cstheme="minorEastAsia"/>
          <w:bCs/>
          <w:color w:val="auto"/>
        </w:rPr>
        <w:t>对于具体技术要求中已列出的作为查询选件的附件、零配件、专用工具和消耗品，投标文件中应列明其数量、单价、总价供采购人参考。投标人也可推荐采购人没有要求的附件（常用的、容易损坏的备品备件及易损件）或专用工具作为选件，并列明其数量、单价、总价供采购人参考。选件价格不计入评标价中。</w:t>
      </w:r>
    </w:p>
    <w:p>
      <w:pPr>
        <w:autoSpaceDE w:val="0"/>
        <w:autoSpaceDN w:val="0"/>
        <w:spacing w:line="400" w:lineRule="exact"/>
        <w:rPr>
          <w:rFonts w:asciiTheme="minorEastAsia" w:hAnsiTheme="minorEastAsia" w:eastAsiaTheme="minorEastAsia" w:cstheme="minorEastAsia"/>
          <w:b/>
          <w:sz w:val="21"/>
          <w:szCs w:val="21"/>
        </w:rPr>
      </w:pPr>
    </w:p>
    <w:p>
      <w:pPr>
        <w:pStyle w:val="4"/>
        <w:snapToGrid w:val="0"/>
        <w:spacing w:before="0" w:after="0" w:line="360" w:lineRule="exact"/>
        <w:ind w:left="0" w:firstLine="422"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八、说明</w:t>
      </w:r>
    </w:p>
    <w:p>
      <w:pPr>
        <w:snapToGrid w:val="0"/>
        <w:spacing w:line="42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投标人应按招标文件要求如实填写技术规格/要求偏离表。投标人须对照招标文件技术规格要求，将自己所投的所有货物的功能、技术性能、配置、用途等内容按照技术规格/要求偏离表格式逐条填写，说明所提供货物和服务已对招标文件的技术规格做出了实质性响应，并申明与技术规格条文的偏差和例外。</w:t>
      </w:r>
      <w:r>
        <w:rPr>
          <w:rFonts w:hint="eastAsia" w:asciiTheme="minorEastAsia" w:hAnsiTheme="minorEastAsia" w:eastAsiaTheme="minorEastAsia" w:cstheme="minorEastAsia"/>
          <w:b/>
          <w:kern w:val="2"/>
          <w:sz w:val="21"/>
          <w:szCs w:val="21"/>
        </w:rPr>
        <w:t>凡未填写技术规格/要求偏离表或未作出应答的</w:t>
      </w:r>
      <w:r>
        <w:rPr>
          <w:rFonts w:hint="eastAsia" w:asciiTheme="minorEastAsia" w:hAnsiTheme="minorEastAsia" w:eastAsiaTheme="minorEastAsia" w:cstheme="minorEastAsia"/>
          <w:kern w:val="2"/>
          <w:sz w:val="21"/>
          <w:szCs w:val="21"/>
        </w:rPr>
        <w:t>，将视为</w:t>
      </w:r>
      <w:r>
        <w:rPr>
          <w:rFonts w:hint="eastAsia" w:asciiTheme="minorEastAsia" w:hAnsiTheme="minorEastAsia" w:eastAsiaTheme="minorEastAsia" w:cstheme="minorEastAsia"/>
          <w:b/>
          <w:kern w:val="2"/>
          <w:sz w:val="21"/>
          <w:szCs w:val="21"/>
        </w:rPr>
        <w:t>无效响应</w:t>
      </w:r>
      <w:r>
        <w:rPr>
          <w:rFonts w:hint="eastAsia" w:asciiTheme="minorEastAsia" w:hAnsiTheme="minorEastAsia" w:eastAsiaTheme="minorEastAsia" w:cstheme="minorEastAsia"/>
          <w:kern w:val="2"/>
          <w:sz w:val="21"/>
          <w:szCs w:val="21"/>
        </w:rPr>
        <w:t>。</w:t>
      </w:r>
    </w:p>
    <w:p>
      <w:pPr>
        <w:snapToGrid w:val="0"/>
        <w:spacing w:line="420" w:lineRule="exact"/>
        <w:ind w:firstLine="420" w:firstLineChars="200"/>
        <w:jc w:val="both"/>
        <w:textAlignment w:val="auto"/>
        <w:rPr>
          <w:rFonts w:asciiTheme="minorEastAsia" w:hAnsiTheme="minorEastAsia" w:eastAsiaTheme="minorEastAsia" w:cstheme="minorEastAsia"/>
          <w:sz w:val="21"/>
          <w:szCs w:val="21"/>
        </w:rPr>
        <w:sectPr>
          <w:pgSz w:w="11906" w:h="16838"/>
          <w:pgMar w:top="1418" w:right="1247" w:bottom="1247" w:left="1418" w:header="851" w:footer="851" w:gutter="0"/>
          <w:cols w:space="720" w:num="1"/>
          <w:docGrid w:linePitch="326" w:charSpace="0"/>
        </w:sectPr>
      </w:pPr>
      <w:r>
        <w:rPr>
          <w:rFonts w:hint="eastAsia" w:asciiTheme="minorEastAsia" w:hAnsiTheme="minorEastAsia" w:eastAsiaTheme="minorEastAsia" w:cstheme="minorEastAsia"/>
          <w:kern w:val="2"/>
          <w:sz w:val="21"/>
          <w:szCs w:val="21"/>
        </w:rPr>
        <w:t>2、对于有区间值要求的指标项，如标示为“≤”某指标值的，评审时以“=”该指标值的判定为满足，“＜”该指标值的判定为优于；同样，如标示为“≥”某指标值的，评审时以“=”该指标值的判定为满足，“＞该指标值的判定为优于</w:t>
      </w:r>
      <w:r>
        <w:rPr>
          <w:rFonts w:hint="eastAsia" w:asciiTheme="minorEastAsia" w:hAnsiTheme="minorEastAsia" w:eastAsiaTheme="minorEastAsia" w:cstheme="minorEastAsia"/>
          <w:sz w:val="21"/>
          <w:szCs w:val="21"/>
        </w:rPr>
        <w:t>。</w:t>
      </w:r>
    </w:p>
    <w:bookmarkEnd w:id="63"/>
    <w:bookmarkEnd w:id="64"/>
    <w:bookmarkEnd w:id="65"/>
    <w:bookmarkEnd w:id="66"/>
    <w:p>
      <w:pPr>
        <w:pStyle w:val="3"/>
        <w:spacing w:before="120" w:after="120"/>
        <w:ind w:left="0" w:firstLine="2209" w:firstLineChars="500"/>
        <w:jc w:val="both"/>
        <w:rPr>
          <w:rFonts w:asciiTheme="minorEastAsia" w:hAnsiTheme="minorEastAsia" w:eastAsiaTheme="minorEastAsia" w:cstheme="minorEastAsia"/>
        </w:rPr>
      </w:pPr>
      <w:bookmarkStart w:id="75" w:name="_Toc138929558"/>
      <w:bookmarkStart w:id="76" w:name="_Toc418512116"/>
      <w:bookmarkStart w:id="77" w:name="_Toc178828113"/>
      <w:r>
        <w:rPr>
          <w:rFonts w:hint="eastAsia" w:asciiTheme="minorEastAsia" w:hAnsiTheme="minorEastAsia" w:eastAsiaTheme="minorEastAsia" w:cstheme="minorEastAsia"/>
        </w:rPr>
        <w:t>第三篇  项目商务要求</w:t>
      </w:r>
      <w:bookmarkEnd w:id="75"/>
    </w:p>
    <w:bookmarkEnd w:id="76"/>
    <w:bookmarkEnd w:id="77"/>
    <w:p>
      <w:pPr>
        <w:spacing w:line="360" w:lineRule="auto"/>
        <w:ind w:firstLine="442" w:firstLineChars="200"/>
        <w:rPr>
          <w:rFonts w:asciiTheme="minorEastAsia" w:hAnsiTheme="minorEastAsia" w:eastAsiaTheme="minorEastAsia" w:cstheme="minorEastAsia"/>
          <w:b/>
          <w:sz w:val="22"/>
        </w:rPr>
      </w:pPr>
      <w:r>
        <w:rPr>
          <w:rFonts w:hint="eastAsia" w:asciiTheme="minorEastAsia" w:hAnsiTheme="minorEastAsia" w:eastAsiaTheme="minorEastAsia" w:cstheme="minorEastAsia"/>
          <w:b/>
          <w:sz w:val="22"/>
        </w:rPr>
        <w:t>一.通用条款</w:t>
      </w:r>
    </w:p>
    <w:p>
      <w:pPr>
        <w:spacing w:line="360" w:lineRule="auto"/>
        <w:ind w:firstLine="519" w:firstLineChars="235"/>
        <w:rPr>
          <w:rFonts w:asciiTheme="minorEastAsia" w:hAnsiTheme="minorEastAsia" w:eastAsiaTheme="minorEastAsia" w:cstheme="minorEastAsia"/>
          <w:b/>
          <w:bCs/>
          <w:sz w:val="22"/>
        </w:rPr>
      </w:pPr>
      <w:r>
        <w:rPr>
          <w:rFonts w:hint="eastAsia" w:asciiTheme="minorEastAsia" w:hAnsiTheme="minorEastAsia" w:eastAsiaTheme="minorEastAsia" w:cstheme="minorEastAsia"/>
          <w:b/>
          <w:bCs/>
          <w:sz w:val="22"/>
        </w:rPr>
        <w:t>进口设备：详见进口设备合同模版</w:t>
      </w:r>
    </w:p>
    <w:p>
      <w:pPr>
        <w:spacing w:line="360" w:lineRule="auto"/>
        <w:ind w:firstLine="519" w:firstLineChars="235"/>
        <w:rPr>
          <w:rFonts w:asciiTheme="minorEastAsia" w:hAnsiTheme="minorEastAsia" w:eastAsiaTheme="minorEastAsia" w:cstheme="minorEastAsia"/>
          <w:b/>
          <w:bCs/>
          <w:sz w:val="22"/>
        </w:rPr>
      </w:pPr>
      <w:r>
        <w:rPr>
          <w:rFonts w:hint="eastAsia" w:asciiTheme="minorEastAsia" w:hAnsiTheme="minorEastAsia" w:eastAsiaTheme="minorEastAsia" w:cstheme="minorEastAsia"/>
          <w:b/>
          <w:bCs/>
          <w:sz w:val="22"/>
        </w:rPr>
        <w:t>国产设备：详见国产设备合同模版</w:t>
      </w:r>
    </w:p>
    <w:p>
      <w:pPr>
        <w:spacing w:line="360" w:lineRule="auto"/>
        <w:ind w:firstLine="389" w:firstLineChars="176"/>
        <w:rPr>
          <w:rFonts w:asciiTheme="minorEastAsia" w:hAnsiTheme="minorEastAsia" w:eastAsiaTheme="minorEastAsia" w:cstheme="minorEastAsia"/>
          <w:b/>
          <w:bCs/>
          <w:sz w:val="22"/>
        </w:rPr>
      </w:pPr>
      <w:r>
        <w:rPr>
          <w:rFonts w:hint="eastAsia" w:asciiTheme="minorEastAsia" w:hAnsiTheme="minorEastAsia" w:eastAsiaTheme="minorEastAsia" w:cstheme="minorEastAsia"/>
          <w:b/>
          <w:bCs/>
          <w:sz w:val="22"/>
        </w:rPr>
        <w:t>二.专用条款</w:t>
      </w:r>
    </w:p>
    <w:p>
      <w:pPr>
        <w:spacing w:line="360" w:lineRule="auto"/>
        <w:rPr>
          <w:rFonts w:asciiTheme="minorEastAsia" w:hAnsiTheme="minorEastAsia" w:eastAsiaTheme="minorEastAsia" w:cstheme="minorEastAsia"/>
          <w:b/>
          <w:bCs/>
          <w:sz w:val="22"/>
        </w:rPr>
      </w:pPr>
      <w:r>
        <w:rPr>
          <w:rFonts w:hint="eastAsia" w:asciiTheme="minorEastAsia" w:hAnsiTheme="minorEastAsia" w:eastAsiaTheme="minorEastAsia" w:cstheme="minorEastAsia"/>
          <w:b/>
          <w:bCs/>
          <w:sz w:val="22"/>
        </w:rPr>
        <w:t xml:space="preserve">   </w:t>
      </w:r>
      <w:r>
        <w:rPr>
          <w:rFonts w:hint="eastAsia" w:asciiTheme="minorEastAsia" w:hAnsiTheme="minorEastAsia" w:eastAsiaTheme="minorEastAsia" w:cstheme="minorEastAsia"/>
          <w:bCs/>
          <w:kern w:val="24"/>
        </w:rPr>
        <w:t>*</w:t>
      </w:r>
      <w:r>
        <w:rPr>
          <w:rFonts w:hint="eastAsia" w:asciiTheme="minorEastAsia" w:hAnsiTheme="minorEastAsia" w:eastAsiaTheme="minorEastAsia" w:cstheme="minorEastAsia"/>
          <w:b/>
          <w:bCs/>
          <w:sz w:val="22"/>
        </w:rPr>
        <w:t>（一）交货时间：</w:t>
      </w:r>
    </w:p>
    <w:p>
      <w:pPr>
        <w:autoSpaceDE w:val="0"/>
        <w:autoSpaceDN w:val="0"/>
        <w:spacing w:line="420" w:lineRule="exact"/>
        <w:ind w:firstLine="420"/>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1.关境内货物：关境内货物为合同签订后30个工作日内所有设备到货。</w:t>
      </w:r>
    </w:p>
    <w:p>
      <w:pPr>
        <w:autoSpaceDE w:val="0"/>
        <w:autoSpaceDN w:val="0"/>
        <w:spacing w:line="420" w:lineRule="exact"/>
        <w:ind w:firstLine="420"/>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关境外货物：关境外货物为L/C开出后90日内到货。</w:t>
      </w:r>
    </w:p>
    <w:p>
      <w:pPr>
        <w:autoSpaceDE w:val="0"/>
        <w:autoSpaceDN w:val="0"/>
        <w:spacing w:line="420" w:lineRule="exact"/>
        <w:ind w:firstLine="420"/>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供应商应保证在要求时间内完成全部货物的供货、安装、调试和培训工作，符合国家标准、行业规范和合同等相关文件的要求。</w:t>
      </w:r>
    </w:p>
    <w:p>
      <w:pPr>
        <w:spacing w:line="420" w:lineRule="exact"/>
        <w:ind w:firstLine="440" w:firstLineChars="200"/>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2.供方应在交货前至少提前三天以书面或电子文件形式通知需方准备收货。</w:t>
      </w:r>
    </w:p>
    <w:p>
      <w:pPr>
        <w:spacing w:line="420" w:lineRule="exact"/>
        <w:ind w:firstLine="517" w:firstLineChars="235"/>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需方指定收货人：张老师，电话：18780203230</w:t>
      </w:r>
    </w:p>
    <w:p>
      <w:pPr>
        <w:widowControl/>
        <w:tabs>
          <w:tab w:val="left" w:pos="1134"/>
        </w:tabs>
        <w:spacing w:line="400" w:lineRule="exact"/>
        <w:ind w:firstLine="480" w:firstLineChars="200"/>
        <w:rPr>
          <w:rFonts w:asciiTheme="minorEastAsia" w:hAnsiTheme="minorEastAsia" w:eastAsiaTheme="minorEastAsia" w:cstheme="minorEastAsia"/>
          <w:b/>
          <w:sz w:val="22"/>
        </w:rPr>
      </w:pPr>
      <w:bookmarkStart w:id="78" w:name="_Toc453513146"/>
      <w:bookmarkStart w:id="79" w:name="_Toc453512847"/>
      <w:r>
        <w:rPr>
          <w:rFonts w:hint="eastAsia" w:asciiTheme="minorEastAsia" w:hAnsiTheme="minorEastAsia" w:eastAsiaTheme="minorEastAsia" w:cstheme="minorEastAsia"/>
          <w:bCs/>
          <w:kern w:val="24"/>
        </w:rPr>
        <w:t>*</w:t>
      </w:r>
      <w:r>
        <w:rPr>
          <w:rFonts w:hint="eastAsia" w:asciiTheme="minorEastAsia" w:hAnsiTheme="minorEastAsia" w:eastAsiaTheme="minorEastAsia" w:cstheme="minorEastAsia"/>
          <w:b/>
          <w:sz w:val="22"/>
        </w:rPr>
        <w:t>（二）交货地点：</w:t>
      </w:r>
      <w:r>
        <w:rPr>
          <w:rFonts w:hint="eastAsia" w:asciiTheme="minorEastAsia" w:hAnsiTheme="minorEastAsia" w:eastAsiaTheme="minorEastAsia" w:cstheme="minorEastAsia"/>
          <w:sz w:val="22"/>
        </w:rPr>
        <w:t>重庆市九龙坡区金凤镇种质创制大科学中心。</w:t>
      </w:r>
    </w:p>
    <w:p>
      <w:pPr>
        <w:autoSpaceDE w:val="0"/>
        <w:autoSpaceDN w:val="0"/>
        <w:spacing w:line="460" w:lineRule="exact"/>
        <w:ind w:firstLine="422" w:firstLineChars="176"/>
        <w:rPr>
          <w:rFonts w:asciiTheme="minorEastAsia" w:hAnsiTheme="minorEastAsia" w:eastAsiaTheme="minorEastAsia" w:cstheme="minorEastAsia"/>
          <w:sz w:val="22"/>
        </w:rPr>
      </w:pPr>
      <w:r>
        <w:rPr>
          <w:rFonts w:hint="eastAsia" w:asciiTheme="minorEastAsia" w:hAnsiTheme="minorEastAsia" w:eastAsiaTheme="minorEastAsia" w:cstheme="minorEastAsia"/>
          <w:bCs/>
          <w:kern w:val="24"/>
        </w:rPr>
        <w:t>*</w:t>
      </w:r>
      <w:r>
        <w:rPr>
          <w:rFonts w:hint="eastAsia" w:asciiTheme="minorEastAsia" w:hAnsiTheme="minorEastAsia" w:eastAsiaTheme="minorEastAsia" w:cstheme="minorEastAsia"/>
          <w:b/>
          <w:sz w:val="22"/>
        </w:rPr>
        <w:t>（三）包装和运输要求：</w:t>
      </w:r>
      <w:r>
        <w:rPr>
          <w:rFonts w:hint="eastAsia" w:asciiTheme="minorEastAsia" w:hAnsiTheme="minorEastAsia" w:eastAsiaTheme="minorEastAsia" w:cstheme="minorEastAsia"/>
          <w:sz w:val="22"/>
        </w:rPr>
        <w:t>供方应提供原厂包装的货物。关境外货物须按进口通用标准包装全部货物，保证货物的包装符合整个运输过程的要求，由于包装不良所发生的损失，或由于采用不充分或不妥善的防护措施而造成的任何损害，应由供方承担由此产生的所有费用和损失。</w:t>
      </w:r>
    </w:p>
    <w:p>
      <w:pPr>
        <w:autoSpaceDE w:val="0"/>
        <w:autoSpaceDN w:val="0"/>
        <w:spacing w:line="460" w:lineRule="exact"/>
        <w:ind w:firstLine="389" w:firstLineChars="176"/>
        <w:rPr>
          <w:rFonts w:asciiTheme="minorEastAsia" w:hAnsiTheme="minorEastAsia" w:eastAsiaTheme="minorEastAsia" w:cstheme="minorEastAsia"/>
          <w:b/>
          <w:bCs/>
          <w:sz w:val="22"/>
        </w:rPr>
      </w:pPr>
      <w:r>
        <w:rPr>
          <w:rFonts w:hint="eastAsia" w:asciiTheme="minorEastAsia" w:hAnsiTheme="minorEastAsia" w:eastAsiaTheme="minorEastAsia" w:cstheme="minorEastAsia"/>
          <w:b/>
          <w:bCs/>
          <w:sz w:val="22"/>
        </w:rPr>
        <w:t>*（四）货物安装调试、培训与验收</w:t>
      </w:r>
    </w:p>
    <w:p>
      <w:pPr>
        <w:autoSpaceDE w:val="0"/>
        <w:autoSpaceDN w:val="0"/>
        <w:spacing w:line="460" w:lineRule="exact"/>
        <w:ind w:firstLine="387" w:firstLineChars="176"/>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1.</w:t>
      </w:r>
      <w:r>
        <w:rPr>
          <w:spacing w:val="-4"/>
          <w:sz w:val="22"/>
        </w:rPr>
        <w:t>供方应在合同生效后30天内向用户提供详细的安装准备条件及安装计划，</w:t>
      </w:r>
      <w:r>
        <w:rPr>
          <w:sz w:val="22"/>
        </w:rPr>
        <w:t>并于交货时派专业的工程师就安装场地，环境，电气排水条件等进行确认。</w:t>
      </w:r>
    </w:p>
    <w:p>
      <w:pPr>
        <w:autoSpaceDE w:val="0"/>
        <w:autoSpaceDN w:val="0"/>
        <w:spacing w:line="460" w:lineRule="exact"/>
        <w:ind w:firstLine="373" w:firstLineChars="176"/>
        <w:rPr>
          <w:rFonts w:asciiTheme="minorEastAsia" w:hAnsiTheme="minorEastAsia" w:eastAsiaTheme="minorEastAsia" w:cstheme="minorEastAsia"/>
          <w:sz w:val="22"/>
        </w:rPr>
      </w:pPr>
      <w:r>
        <w:rPr>
          <w:rFonts w:hint="eastAsia"/>
          <w:bCs/>
          <w:spacing w:val="-4"/>
          <w:sz w:val="22"/>
        </w:rPr>
        <w:t xml:space="preserve">2.货物到达指定地点之日起 5个工作日内，由供货商与需方用户共同开箱，检查仪器设备及随机附件是否全新、完好无损；技术资料与图纸 （供方在交货时应向需方提供与本合同项下货物相符且最新的完整的技术资料 ）是否与需方的要求相符，并填写开箱记录。 </w:t>
      </w:r>
      <w:r>
        <w:rPr>
          <w:rFonts w:hint="eastAsia"/>
          <w:b/>
          <w:spacing w:val="-4"/>
          <w:sz w:val="22"/>
        </w:rPr>
        <w:t xml:space="preserve">进口货物提供报关单等证明材料 </w:t>
      </w:r>
      <w:r>
        <w:rPr>
          <w:rFonts w:hint="eastAsia" w:asciiTheme="minorEastAsia" w:hAnsiTheme="minorEastAsia" w:eastAsiaTheme="minorEastAsia" w:cstheme="minorEastAsia"/>
          <w:sz w:val="22"/>
        </w:rPr>
        <w:t>。</w:t>
      </w:r>
    </w:p>
    <w:p>
      <w:pPr>
        <w:autoSpaceDE w:val="0"/>
        <w:autoSpaceDN w:val="0"/>
        <w:spacing w:line="460" w:lineRule="exact"/>
        <w:ind w:firstLine="387" w:firstLineChars="176"/>
        <w:rPr>
          <w:rFonts w:asciiTheme="minorEastAsia" w:hAnsiTheme="minorEastAsia" w:eastAsiaTheme="minorEastAsia" w:cstheme="minorEastAsia"/>
          <w:sz w:val="22"/>
        </w:rPr>
      </w:pPr>
      <w:r>
        <w:rPr>
          <w:rFonts w:hint="eastAsia" w:asciiTheme="minorEastAsia" w:hAnsiTheme="minorEastAsia" w:eastAsiaTheme="minorEastAsia" w:cstheme="minorEastAsia"/>
          <w:bCs/>
          <w:kern w:val="24"/>
          <w:sz w:val="22"/>
          <w:szCs w:val="22"/>
        </w:rPr>
        <w:t>3.</w:t>
      </w:r>
      <w:r>
        <w:rPr>
          <w:rFonts w:hint="eastAsia"/>
          <w:bCs/>
          <w:spacing w:val="-4"/>
          <w:sz w:val="22"/>
        </w:rPr>
        <w:t>供方应在开箱后</w:t>
      </w:r>
      <w:r>
        <w:rPr>
          <w:rFonts w:hint="eastAsia"/>
          <w:b/>
          <w:spacing w:val="-4"/>
          <w:sz w:val="22"/>
        </w:rPr>
        <w:t>10个工作日</w:t>
      </w:r>
      <w:r>
        <w:rPr>
          <w:rFonts w:hint="eastAsia"/>
          <w:bCs/>
          <w:spacing w:val="-4"/>
          <w:sz w:val="22"/>
        </w:rPr>
        <w:t>内完成全部货物的安装调试</w:t>
      </w:r>
      <w:r>
        <w:rPr>
          <w:rFonts w:hint="eastAsia" w:asciiTheme="minorEastAsia" w:hAnsiTheme="minorEastAsia" w:eastAsiaTheme="minorEastAsia" w:cstheme="minorEastAsia"/>
          <w:bCs/>
          <w:kern w:val="24"/>
          <w:sz w:val="22"/>
          <w:szCs w:val="22"/>
        </w:rPr>
        <w:t>，</w:t>
      </w:r>
      <w:r>
        <w:rPr>
          <w:rFonts w:hint="eastAsia" w:asciiTheme="minorEastAsia" w:hAnsiTheme="minorEastAsia" w:eastAsiaTheme="minorEastAsia" w:cstheme="minorEastAsia"/>
          <w:sz w:val="22"/>
        </w:rPr>
        <w:t>供方安装人员应对现场安装安全负责。安装调试费用（包括但不限于供方人员的人工费、差旅费、食宿及其它费用）由供方承担。</w:t>
      </w:r>
    </w:p>
    <w:p>
      <w:pPr>
        <w:autoSpaceDE w:val="0"/>
        <w:autoSpaceDN w:val="0"/>
        <w:spacing w:line="460" w:lineRule="exact"/>
        <w:ind w:firstLine="420"/>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4.</w:t>
      </w:r>
      <w:r>
        <w:rPr>
          <w:rFonts w:hint="eastAsia"/>
          <w:sz w:val="22"/>
        </w:rPr>
        <w:t>设备在需方现场的安装调试和培训工作由供方派技术熟练的专家进行，供方自备安装调试工具。</w:t>
      </w:r>
    </w:p>
    <w:p>
      <w:pPr>
        <w:autoSpaceDE w:val="0"/>
        <w:autoSpaceDN w:val="0"/>
        <w:spacing w:line="460" w:lineRule="exact"/>
        <w:ind w:firstLine="420"/>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5.安装调试完成后10日内，供方应负责对需方指定的技术人员和操作人员在需方处进行免费现场操作培训。此外，在客户熟悉仪器后，供方还需要提供高级应用培训，培训费用（包括但不限于培训费、差旅费、食宿及其它费用）由供方承担。</w:t>
      </w:r>
    </w:p>
    <w:p>
      <w:pPr>
        <w:autoSpaceDE w:val="0"/>
        <w:autoSpaceDN w:val="0"/>
        <w:spacing w:line="460" w:lineRule="exact"/>
        <w:ind w:firstLine="387" w:firstLineChars="176"/>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5.1现场操作培训：应包括合同货物的安全事项、工作原理、操作技能（包括按需方提供的实物进行现场操作培训）、日常维护和常规故障检修等内容，确保培训结束后需方受训人员能独立进行操作（包括能获取正确数据）、维护和常规故障的检修，培训人数由需方确定。</w:t>
      </w:r>
    </w:p>
    <w:p>
      <w:pPr>
        <w:autoSpaceDE w:val="0"/>
        <w:autoSpaceDN w:val="0"/>
        <w:spacing w:line="460" w:lineRule="exact"/>
        <w:ind w:firstLine="387" w:firstLineChars="176"/>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5.2高级应用培训：在客户熟悉仪器后，根据使用情况，需提供至少两次且每次至少五个工作日的用户现场高级应用培训。仪器最终验收合格后正常运行的三年内，供方应安排应用工程师每年至少一次针对附件功能进行现场培训。</w:t>
      </w:r>
    </w:p>
    <w:p>
      <w:pPr>
        <w:autoSpaceDE w:val="0"/>
        <w:autoSpaceDN w:val="0"/>
        <w:spacing w:line="460" w:lineRule="exact"/>
        <w:ind w:firstLine="387" w:firstLineChars="176"/>
        <w:rPr>
          <w:rFonts w:asciiTheme="minorEastAsia" w:hAnsiTheme="minorEastAsia" w:eastAsiaTheme="minorEastAsia" w:cstheme="minorEastAsia"/>
          <w:bCs/>
          <w:kern w:val="24"/>
          <w:sz w:val="22"/>
          <w:szCs w:val="22"/>
        </w:rPr>
      </w:pPr>
      <w:r>
        <w:rPr>
          <w:rFonts w:hint="eastAsia" w:asciiTheme="minorEastAsia" w:hAnsiTheme="minorEastAsia" w:eastAsiaTheme="minorEastAsia" w:cstheme="minorEastAsia"/>
          <w:sz w:val="22"/>
        </w:rPr>
        <w:t>6.在合同约定的全部货物到齐，供应商完成安装、调试和现场培训后，设备和项目进入试运行期。</w:t>
      </w:r>
      <w:r>
        <w:rPr>
          <w:rFonts w:hint="eastAsia" w:asciiTheme="minorEastAsia" w:hAnsiTheme="minorEastAsia" w:eastAsiaTheme="minorEastAsia" w:cstheme="minorEastAsia"/>
          <w:bCs/>
          <w:kern w:val="24"/>
          <w:sz w:val="22"/>
          <w:szCs w:val="22"/>
        </w:rPr>
        <w:t>设备和项目正常运行</w:t>
      </w:r>
      <w:r>
        <w:rPr>
          <w:rFonts w:hint="eastAsia" w:asciiTheme="minorEastAsia" w:hAnsiTheme="minorEastAsia" w:eastAsiaTheme="minorEastAsia" w:cstheme="minorEastAsia"/>
          <w:b/>
          <w:kern w:val="24"/>
          <w:sz w:val="22"/>
          <w:szCs w:val="22"/>
        </w:rPr>
        <w:t>30个工作日</w:t>
      </w:r>
      <w:r>
        <w:rPr>
          <w:rFonts w:hint="eastAsia" w:asciiTheme="minorEastAsia" w:hAnsiTheme="minorEastAsia" w:eastAsiaTheme="minorEastAsia" w:cstheme="minorEastAsia"/>
          <w:bCs/>
          <w:kern w:val="24"/>
          <w:sz w:val="22"/>
          <w:szCs w:val="22"/>
        </w:rPr>
        <w:t>后，</w:t>
      </w:r>
      <w:r>
        <w:rPr>
          <w:rFonts w:hint="eastAsia"/>
          <w:bCs/>
          <w:spacing w:val="-4"/>
          <w:sz w:val="22"/>
        </w:rPr>
        <w:t>由供货商提出书面验收申请，需方受理申请且资料完整后 15 日内组织验收小组，验收小组将根据采购文件、投标文件、合同等项目文件约定内容对项目和设备进行质量性能的综合运行验收。在约定验收的日期前供方必须协助需方用户完成各项指标和功能的测试，现场验收时供方提供必要的技术支持，否则验收延误由供方负责。通过技术性能验收后，需方将出具验收合格证明</w:t>
      </w:r>
      <w:r>
        <w:rPr>
          <w:rFonts w:hint="eastAsia" w:asciiTheme="minorEastAsia" w:hAnsiTheme="minorEastAsia" w:eastAsiaTheme="minorEastAsia" w:cstheme="minorEastAsia"/>
          <w:bCs/>
          <w:kern w:val="24"/>
          <w:sz w:val="22"/>
          <w:szCs w:val="22"/>
        </w:rPr>
        <w:t>。</w:t>
      </w:r>
    </w:p>
    <w:p>
      <w:pPr>
        <w:autoSpaceDE w:val="0"/>
        <w:autoSpaceDN w:val="0"/>
        <w:spacing w:line="460" w:lineRule="exact"/>
        <w:ind w:firstLine="420"/>
        <w:rPr>
          <w:rFonts w:asciiTheme="minorEastAsia" w:hAnsiTheme="minorEastAsia" w:eastAsiaTheme="minorEastAsia" w:cstheme="minorEastAsia"/>
          <w:bCs/>
          <w:kern w:val="24"/>
          <w:sz w:val="22"/>
          <w:szCs w:val="22"/>
        </w:rPr>
      </w:pPr>
      <w:r>
        <w:rPr>
          <w:rFonts w:hint="eastAsia" w:asciiTheme="minorEastAsia" w:hAnsiTheme="minorEastAsia" w:eastAsiaTheme="minorEastAsia" w:cstheme="minorEastAsia"/>
          <w:bCs/>
          <w:kern w:val="24"/>
          <w:sz w:val="22"/>
          <w:szCs w:val="22"/>
        </w:rPr>
        <w:t>7.</w:t>
      </w:r>
      <w:r>
        <w:rPr>
          <w:rFonts w:hint="eastAsia"/>
          <w:bCs/>
          <w:spacing w:val="-4"/>
          <w:sz w:val="22"/>
        </w:rPr>
        <w:t>若供方提供的货物、货物包装或相关的技术资料及物品不符合合同约定，或验收不合格的，需方有权要求换货、退货、补货、折价、提供符合合同约定的相关的技术资料及物品或解除合同。此外，还应要求供方按合同约定支付违约及赔偿金</w:t>
      </w:r>
      <w:r>
        <w:rPr>
          <w:rFonts w:hint="eastAsia" w:asciiTheme="minorEastAsia" w:hAnsiTheme="minorEastAsia" w:eastAsiaTheme="minorEastAsia" w:cstheme="minorEastAsia"/>
          <w:bCs/>
          <w:kern w:val="24"/>
          <w:sz w:val="22"/>
          <w:szCs w:val="22"/>
        </w:rPr>
        <w:t>。</w:t>
      </w:r>
    </w:p>
    <w:p>
      <w:pPr>
        <w:autoSpaceDE w:val="0"/>
        <w:autoSpaceDN w:val="0"/>
        <w:spacing w:line="460" w:lineRule="exact"/>
        <w:ind w:firstLine="440" w:firstLineChars="200"/>
        <w:rPr>
          <w:rFonts w:asciiTheme="minorEastAsia" w:hAnsiTheme="minorEastAsia" w:eastAsiaTheme="minorEastAsia" w:cstheme="minorEastAsia"/>
          <w:sz w:val="22"/>
        </w:rPr>
      </w:pPr>
    </w:p>
    <w:p>
      <w:pPr>
        <w:tabs>
          <w:tab w:val="left" w:pos="540"/>
        </w:tabs>
        <w:snapToGrid w:val="0"/>
        <w:spacing w:after="120" w:afterLines="50" w:line="400" w:lineRule="exact"/>
        <w:ind w:firstLine="480" w:firstLineChars="200"/>
        <w:rPr>
          <w:rFonts w:asciiTheme="minorEastAsia" w:hAnsiTheme="minorEastAsia" w:eastAsiaTheme="minorEastAsia" w:cstheme="minorEastAsia"/>
          <w:b/>
          <w:sz w:val="22"/>
        </w:rPr>
      </w:pPr>
      <w:r>
        <w:rPr>
          <w:rFonts w:hint="eastAsia" w:asciiTheme="minorEastAsia" w:hAnsiTheme="minorEastAsia" w:eastAsiaTheme="minorEastAsia" w:cstheme="minorEastAsia"/>
          <w:bCs/>
          <w:kern w:val="24"/>
        </w:rPr>
        <w:t>*</w:t>
      </w:r>
      <w:r>
        <w:rPr>
          <w:rFonts w:hint="eastAsia" w:asciiTheme="minorEastAsia" w:hAnsiTheme="minorEastAsia" w:eastAsiaTheme="minorEastAsia" w:cstheme="minorEastAsia"/>
          <w:b/>
          <w:sz w:val="22"/>
        </w:rPr>
        <w:t>（五）付款方式及履约保证金</w:t>
      </w:r>
    </w:p>
    <w:p>
      <w:pPr>
        <w:tabs>
          <w:tab w:val="left" w:pos="540"/>
        </w:tabs>
        <w:snapToGrid w:val="0"/>
        <w:spacing w:after="120" w:afterLines="50" w:line="400" w:lineRule="exact"/>
        <w:ind w:firstLine="440" w:firstLineChars="200"/>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1.关境外供货：</w:t>
      </w:r>
    </w:p>
    <w:p>
      <w:pPr>
        <w:autoSpaceDE w:val="0"/>
        <w:autoSpaceDN w:val="0"/>
        <w:spacing w:line="460" w:lineRule="exact"/>
        <w:ind w:firstLine="420"/>
        <w:rPr>
          <w:rFonts w:asciiTheme="minorEastAsia" w:hAnsiTheme="minorEastAsia" w:eastAsiaTheme="minorEastAsia" w:cstheme="minorEastAsia"/>
          <w:bCs/>
          <w:kern w:val="24"/>
          <w:sz w:val="22"/>
          <w:szCs w:val="22"/>
        </w:rPr>
      </w:pPr>
      <w:r>
        <w:rPr>
          <w:rFonts w:hint="eastAsia" w:asciiTheme="minorEastAsia" w:hAnsiTheme="minorEastAsia" w:eastAsiaTheme="minorEastAsia" w:cstheme="minorEastAsia"/>
          <w:bCs/>
          <w:kern w:val="24"/>
          <w:sz w:val="22"/>
          <w:szCs w:val="22"/>
        </w:rPr>
        <w:t>需方通过外贸合同买方根据需要及时向外贸合同卖方开立100% L/C不可转让信用证，其中 90% 货款凭装运单据、供方出具的等额正式发票议付；货物最终验收合格后，供方凭需方验收报告（40万元以上的项目由西南大学实验室建设与设备管理处出具验收报告，40万元以下的项目由西南大学最终用户单位出具验收报告单）及等额正式发票向银行申请解付剩余的 10%货款。</w:t>
      </w:r>
    </w:p>
    <w:p>
      <w:pPr>
        <w:autoSpaceDE w:val="0"/>
        <w:autoSpaceDN w:val="0"/>
        <w:spacing w:line="460" w:lineRule="exact"/>
        <w:ind w:firstLine="420"/>
        <w:rPr>
          <w:rFonts w:asciiTheme="minorEastAsia" w:hAnsiTheme="minorEastAsia" w:eastAsiaTheme="minorEastAsia" w:cstheme="minorEastAsia"/>
          <w:bCs/>
          <w:kern w:val="24"/>
          <w:sz w:val="22"/>
          <w:szCs w:val="22"/>
        </w:rPr>
      </w:pPr>
      <w:r>
        <w:rPr>
          <w:rFonts w:hint="eastAsia" w:asciiTheme="minorEastAsia" w:hAnsiTheme="minorEastAsia" w:eastAsiaTheme="minorEastAsia" w:cstheme="minorEastAsia"/>
          <w:bCs/>
          <w:kern w:val="24"/>
          <w:sz w:val="22"/>
          <w:szCs w:val="22"/>
        </w:rPr>
        <w:t>2.关境内供货</w:t>
      </w:r>
    </w:p>
    <w:p>
      <w:pPr>
        <w:autoSpaceDE w:val="0"/>
        <w:autoSpaceDN w:val="0"/>
        <w:spacing w:line="460" w:lineRule="exact"/>
        <w:ind w:firstLine="420"/>
        <w:rPr>
          <w:rFonts w:asciiTheme="minorEastAsia" w:hAnsiTheme="minorEastAsia" w:eastAsiaTheme="minorEastAsia" w:cstheme="minorEastAsia"/>
          <w:bCs/>
          <w:kern w:val="24"/>
          <w:sz w:val="22"/>
          <w:szCs w:val="22"/>
        </w:rPr>
      </w:pPr>
      <w:r>
        <w:rPr>
          <w:rFonts w:hint="eastAsia" w:asciiTheme="minorEastAsia" w:hAnsiTheme="minorEastAsia" w:eastAsiaTheme="minorEastAsia" w:cstheme="minorEastAsia"/>
          <w:bCs/>
          <w:kern w:val="24"/>
          <w:sz w:val="22"/>
          <w:szCs w:val="22"/>
        </w:rPr>
        <w:t>（1）质量性能验收合格后3个工作日内，供方向需方交纳合同总价的5%作履约保证金；需方收到履约保证金后7工作日内，向供方支付100%的合同总价款。</w:t>
      </w:r>
    </w:p>
    <w:p>
      <w:pPr>
        <w:autoSpaceDE w:val="0"/>
        <w:autoSpaceDN w:val="0"/>
        <w:spacing w:line="460" w:lineRule="exact"/>
        <w:ind w:firstLine="420"/>
        <w:rPr>
          <w:rFonts w:asciiTheme="minorEastAsia" w:hAnsiTheme="minorEastAsia" w:eastAsiaTheme="minorEastAsia" w:cstheme="minorEastAsia"/>
          <w:bCs/>
          <w:kern w:val="24"/>
          <w:sz w:val="22"/>
          <w:szCs w:val="22"/>
        </w:rPr>
      </w:pPr>
      <w:r>
        <w:rPr>
          <w:rFonts w:hint="eastAsia" w:asciiTheme="minorEastAsia" w:hAnsiTheme="minorEastAsia" w:eastAsiaTheme="minorEastAsia" w:cstheme="minorEastAsia"/>
          <w:bCs/>
          <w:kern w:val="24"/>
          <w:sz w:val="22"/>
          <w:szCs w:val="22"/>
        </w:rPr>
        <w:t>（2）质量性能验收合格之日起1年内若无遗留问题，需方将履约保证金本金全额无息退还供方；若有尚未解决的遗留问题，暂不予退还。</w:t>
      </w:r>
    </w:p>
    <w:p>
      <w:pPr>
        <w:autoSpaceDE w:val="0"/>
        <w:autoSpaceDN w:val="0"/>
        <w:spacing w:line="460" w:lineRule="exact"/>
        <w:ind w:firstLine="420"/>
        <w:rPr>
          <w:rFonts w:asciiTheme="minorEastAsia" w:hAnsiTheme="minorEastAsia" w:eastAsiaTheme="minorEastAsia" w:cstheme="minorEastAsia"/>
          <w:bCs/>
          <w:kern w:val="24"/>
          <w:sz w:val="22"/>
          <w:szCs w:val="22"/>
        </w:rPr>
      </w:pPr>
      <w:r>
        <w:rPr>
          <w:rFonts w:hint="eastAsia" w:asciiTheme="minorEastAsia" w:hAnsiTheme="minorEastAsia" w:eastAsiaTheme="minorEastAsia" w:cstheme="minorEastAsia"/>
          <w:bCs/>
          <w:kern w:val="24"/>
          <w:sz w:val="22"/>
          <w:szCs w:val="22"/>
        </w:rPr>
        <w:t>（3）需方每次向供方付款前，供方应该先行向需方提供增值税专用发票。货款及履约保证金均以银行转账方式支付。</w:t>
      </w:r>
    </w:p>
    <w:p>
      <w:pPr>
        <w:autoSpaceDE w:val="0"/>
        <w:autoSpaceDN w:val="0"/>
        <w:spacing w:line="460" w:lineRule="exact"/>
        <w:ind w:firstLine="420"/>
        <w:rPr>
          <w:rFonts w:asciiTheme="minorEastAsia" w:hAnsiTheme="minorEastAsia" w:eastAsiaTheme="minorEastAsia" w:cstheme="minorEastAsia"/>
          <w:bCs/>
          <w:kern w:val="24"/>
          <w:sz w:val="22"/>
          <w:szCs w:val="22"/>
        </w:rPr>
      </w:pPr>
      <w:r>
        <w:rPr>
          <w:rFonts w:hint="eastAsia" w:asciiTheme="minorEastAsia" w:hAnsiTheme="minorEastAsia" w:eastAsiaTheme="minorEastAsia" w:cstheme="minorEastAsia"/>
          <w:bCs/>
          <w:kern w:val="24"/>
          <w:sz w:val="22"/>
          <w:szCs w:val="22"/>
        </w:rPr>
        <w:t>3.关境外货物的进口清关及进口免税手续（若能享受免税政策）由采购人指定的外贸公司负责办理。进口代理费标准：合同金额小于人民币200万元的，按0.25%计收；合同金额大于等于200万元人民币小于500万元人民币的，按0.1%计收；合同金额大于等于500万元人民币，按0.05%计收。其他费用的收费标准按各外贸公司与西南大学签订的进口仪器设备外贸代理服务合同执行。</w:t>
      </w:r>
    </w:p>
    <w:p>
      <w:pPr>
        <w:autoSpaceDE w:val="0"/>
        <w:autoSpaceDN w:val="0"/>
        <w:spacing w:line="460" w:lineRule="exact"/>
        <w:ind w:firstLine="420"/>
        <w:rPr>
          <w:rFonts w:cs="宋体" w:asciiTheme="minorEastAsia" w:hAnsiTheme="minorEastAsia" w:eastAsiaTheme="minorEastAsia"/>
          <w:b/>
          <w:bCs/>
          <w:sz w:val="22"/>
          <w:szCs w:val="22"/>
        </w:rPr>
      </w:pPr>
      <w:r>
        <w:rPr>
          <w:rFonts w:cs="宋体" w:asciiTheme="minorEastAsia" w:hAnsiTheme="minorEastAsia" w:eastAsiaTheme="minorEastAsia"/>
          <w:b/>
          <w:bCs/>
          <w:sz w:val="22"/>
          <w:szCs w:val="22"/>
        </w:rPr>
        <w:t>我校所购进口产品，必须通过我校指定的外贸代理公司报关进入，不接受之前已报关进入</w:t>
      </w:r>
      <w:r>
        <w:rPr>
          <w:rFonts w:hint="eastAsia" w:cs="宋体" w:asciiTheme="minorEastAsia" w:hAnsiTheme="minorEastAsia" w:eastAsiaTheme="minorEastAsia"/>
          <w:b/>
          <w:bCs/>
          <w:sz w:val="22"/>
          <w:szCs w:val="22"/>
        </w:rPr>
        <w:t>关境内</w:t>
      </w:r>
      <w:r>
        <w:rPr>
          <w:rFonts w:cs="宋体" w:asciiTheme="minorEastAsia" w:hAnsiTheme="minorEastAsia" w:eastAsiaTheme="minorEastAsia"/>
          <w:b/>
          <w:bCs/>
          <w:sz w:val="22"/>
          <w:szCs w:val="22"/>
        </w:rPr>
        <w:t>的产品</w:t>
      </w:r>
      <w:r>
        <w:rPr>
          <w:rFonts w:hint="eastAsia" w:cs="宋体" w:asciiTheme="minorEastAsia" w:hAnsiTheme="minorEastAsia" w:eastAsiaTheme="minorEastAsia"/>
          <w:b/>
          <w:bCs/>
          <w:sz w:val="22"/>
          <w:szCs w:val="22"/>
        </w:rPr>
        <w:t>。</w:t>
      </w:r>
    </w:p>
    <w:p>
      <w:pPr>
        <w:widowControl/>
        <w:tabs>
          <w:tab w:val="left" w:pos="1134"/>
        </w:tabs>
        <w:spacing w:line="420" w:lineRule="exact"/>
        <w:ind w:firstLine="220" w:firstLineChars="1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需方银行账号信息：</w:t>
      </w:r>
    </w:p>
    <w:tbl>
      <w:tblPr>
        <w:tblStyle w:val="24"/>
        <w:tblW w:w="92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6"/>
        <w:gridCol w:w="2282"/>
        <w:gridCol w:w="2694"/>
        <w:gridCol w:w="28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6" w:type="dxa"/>
            <w:tcBorders>
              <w:top w:val="nil"/>
              <w:left w:val="nil"/>
              <w:bottom w:val="nil"/>
              <w:right w:val="nil"/>
            </w:tcBorders>
          </w:tcPr>
          <w:p>
            <w:pPr>
              <w:spacing w:line="420" w:lineRule="exact"/>
              <w:jc w:val="right"/>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sz w:val="22"/>
                <w:szCs w:val="22"/>
              </w:rPr>
              <w:t>开户名称：</w:t>
            </w:r>
          </w:p>
        </w:tc>
        <w:tc>
          <w:tcPr>
            <w:tcW w:w="2282" w:type="dxa"/>
            <w:tcBorders>
              <w:top w:val="nil"/>
              <w:left w:val="nil"/>
              <w:right w:val="nil"/>
            </w:tcBorders>
          </w:tcPr>
          <w:p>
            <w:pPr>
              <w:spacing w:line="420" w:lineRule="exact"/>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西南大学</w:t>
            </w:r>
          </w:p>
        </w:tc>
        <w:tc>
          <w:tcPr>
            <w:tcW w:w="2694" w:type="dxa"/>
            <w:tcBorders>
              <w:top w:val="nil"/>
              <w:left w:val="nil"/>
              <w:bottom w:val="nil"/>
              <w:right w:val="nil"/>
            </w:tcBorders>
          </w:tcPr>
          <w:p>
            <w:pPr>
              <w:spacing w:line="420" w:lineRule="exact"/>
              <w:jc w:val="right"/>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sz w:val="22"/>
                <w:szCs w:val="22"/>
              </w:rPr>
              <w:t>银行账号：</w:t>
            </w:r>
          </w:p>
        </w:tc>
        <w:tc>
          <w:tcPr>
            <w:tcW w:w="2818" w:type="dxa"/>
            <w:tcBorders>
              <w:top w:val="nil"/>
              <w:left w:val="nil"/>
              <w:right w:val="nil"/>
            </w:tcBorders>
          </w:tcPr>
          <w:p>
            <w:pPr>
              <w:spacing w:line="420" w:lineRule="exact"/>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3100028109024968877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6" w:type="dxa"/>
            <w:tcBorders>
              <w:top w:val="nil"/>
              <w:left w:val="nil"/>
              <w:bottom w:val="nil"/>
              <w:right w:val="nil"/>
            </w:tcBorders>
          </w:tcPr>
          <w:p>
            <w:pPr>
              <w:spacing w:line="420" w:lineRule="exact"/>
              <w:jc w:val="right"/>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sz w:val="22"/>
                <w:szCs w:val="22"/>
              </w:rPr>
              <w:t>开户银行：</w:t>
            </w:r>
          </w:p>
        </w:tc>
        <w:tc>
          <w:tcPr>
            <w:tcW w:w="2282" w:type="dxa"/>
            <w:tcBorders>
              <w:left w:val="nil"/>
              <w:right w:val="nil"/>
            </w:tcBorders>
          </w:tcPr>
          <w:p>
            <w:pPr>
              <w:spacing w:line="420" w:lineRule="exact"/>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工行重庆朝阳支行</w:t>
            </w:r>
          </w:p>
        </w:tc>
        <w:tc>
          <w:tcPr>
            <w:tcW w:w="2694" w:type="dxa"/>
            <w:tcBorders>
              <w:top w:val="nil"/>
              <w:left w:val="nil"/>
              <w:bottom w:val="nil"/>
              <w:right w:val="nil"/>
            </w:tcBorders>
          </w:tcPr>
          <w:p>
            <w:pPr>
              <w:spacing w:line="420" w:lineRule="exact"/>
              <w:jc w:val="right"/>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sz w:val="22"/>
                <w:szCs w:val="22"/>
              </w:rPr>
              <w:t>统一社会信用代码：</w:t>
            </w:r>
          </w:p>
        </w:tc>
        <w:tc>
          <w:tcPr>
            <w:tcW w:w="2818" w:type="dxa"/>
            <w:tcBorders>
              <w:left w:val="nil"/>
              <w:right w:val="nil"/>
            </w:tcBorders>
          </w:tcPr>
          <w:p>
            <w:pPr>
              <w:spacing w:line="420" w:lineRule="exact"/>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12100000450401733W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6" w:type="dxa"/>
            <w:tcBorders>
              <w:top w:val="nil"/>
              <w:left w:val="nil"/>
              <w:bottom w:val="nil"/>
              <w:right w:val="nil"/>
            </w:tcBorders>
          </w:tcPr>
          <w:p>
            <w:pPr>
              <w:spacing w:line="420" w:lineRule="exact"/>
              <w:jc w:val="right"/>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sz w:val="22"/>
                <w:szCs w:val="22"/>
              </w:rPr>
              <w:t>银行行号：</w:t>
            </w:r>
          </w:p>
        </w:tc>
        <w:tc>
          <w:tcPr>
            <w:tcW w:w="2282" w:type="dxa"/>
            <w:tcBorders>
              <w:left w:val="nil"/>
              <w:right w:val="nil"/>
            </w:tcBorders>
          </w:tcPr>
          <w:p>
            <w:pPr>
              <w:spacing w:line="420" w:lineRule="exact"/>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102653000474</w:t>
            </w:r>
          </w:p>
        </w:tc>
        <w:tc>
          <w:tcPr>
            <w:tcW w:w="2694" w:type="dxa"/>
            <w:tcBorders>
              <w:top w:val="nil"/>
              <w:left w:val="nil"/>
              <w:bottom w:val="nil"/>
              <w:right w:val="nil"/>
            </w:tcBorders>
          </w:tcPr>
          <w:p>
            <w:pPr>
              <w:spacing w:line="420" w:lineRule="exact"/>
              <w:jc w:val="right"/>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sz w:val="22"/>
                <w:szCs w:val="22"/>
              </w:rPr>
              <w:t>注册地址：</w:t>
            </w:r>
          </w:p>
        </w:tc>
        <w:tc>
          <w:tcPr>
            <w:tcW w:w="2818" w:type="dxa"/>
            <w:tcBorders>
              <w:left w:val="nil"/>
              <w:right w:val="nil"/>
            </w:tcBorders>
          </w:tcPr>
          <w:p>
            <w:pPr>
              <w:spacing w:line="420" w:lineRule="exact"/>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重庆市北碚区天生路2号</w:t>
            </w:r>
          </w:p>
        </w:tc>
      </w:tr>
    </w:tbl>
    <w:p>
      <w:pPr>
        <w:tabs>
          <w:tab w:val="left" w:pos="540"/>
        </w:tabs>
        <w:snapToGrid w:val="0"/>
        <w:spacing w:after="120" w:afterLines="50" w:line="400" w:lineRule="exact"/>
        <w:ind w:firstLine="442" w:firstLineChars="200"/>
        <w:rPr>
          <w:rFonts w:asciiTheme="minorEastAsia" w:hAnsiTheme="minorEastAsia" w:eastAsiaTheme="minorEastAsia" w:cstheme="minorEastAsia"/>
          <w:b/>
          <w:sz w:val="22"/>
        </w:rPr>
      </w:pPr>
    </w:p>
    <w:p>
      <w:pPr>
        <w:tabs>
          <w:tab w:val="left" w:pos="540"/>
        </w:tabs>
        <w:snapToGrid w:val="0"/>
        <w:spacing w:after="120" w:afterLines="50" w:line="400" w:lineRule="exact"/>
        <w:ind w:firstLine="442" w:firstLineChars="200"/>
        <w:rPr>
          <w:rFonts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w:t>
      </w:r>
      <w:bookmarkEnd w:id="78"/>
      <w:bookmarkEnd w:id="79"/>
      <w:r>
        <w:rPr>
          <w:rFonts w:hint="eastAsia" w:asciiTheme="minorEastAsia" w:hAnsiTheme="minorEastAsia" w:eastAsiaTheme="minorEastAsia" w:cstheme="minorEastAsia"/>
          <w:b/>
          <w:sz w:val="22"/>
          <w:szCs w:val="22"/>
        </w:rPr>
        <w:t>六）售后服务要求和质量保证要求</w:t>
      </w:r>
    </w:p>
    <w:p>
      <w:pPr>
        <w:tabs>
          <w:tab w:val="left" w:pos="540"/>
        </w:tabs>
        <w:snapToGrid w:val="0"/>
        <w:spacing w:after="120" w:afterLines="50" w:line="400" w:lineRule="exact"/>
        <w:ind w:firstLine="440" w:firstLineChars="200"/>
        <w:rPr>
          <w:rFonts w:asciiTheme="minorEastAsia" w:hAnsiTheme="minorEastAsia" w:eastAsiaTheme="minorEastAsia" w:cstheme="minorEastAsia"/>
          <w:sz w:val="22"/>
        </w:rPr>
      </w:pPr>
      <w:r>
        <w:rPr>
          <w:sz w:val="22"/>
        </w:rPr>
        <w:t>制造商对产品提供终身技术支持，无论保修期内或保修期外，制造商均需提供优质高效的售后服务</w:t>
      </w:r>
      <w:r>
        <w:rPr>
          <w:rFonts w:hint="eastAsia" w:asciiTheme="minorEastAsia" w:hAnsiTheme="minorEastAsia" w:eastAsiaTheme="minorEastAsia" w:cstheme="minorEastAsia"/>
          <w:sz w:val="22"/>
        </w:rPr>
        <w:t>。</w:t>
      </w:r>
    </w:p>
    <w:p>
      <w:pPr>
        <w:widowControl/>
        <w:autoSpaceDE w:val="0"/>
        <w:autoSpaceDN w:val="0"/>
        <w:spacing w:line="400" w:lineRule="exact"/>
        <w:ind w:firstLine="440" w:firstLineChars="200"/>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*1.</w:t>
      </w:r>
      <w:r>
        <w:rPr>
          <w:rFonts w:hint="eastAsia"/>
          <w:bCs/>
          <w:spacing w:val="-4"/>
          <w:sz w:val="22"/>
        </w:rPr>
        <w:t>供需双方签订终验收合格报告之日起</w:t>
      </w:r>
      <w:r>
        <w:rPr>
          <w:rFonts w:hint="eastAsia"/>
          <w:b/>
          <w:bCs/>
          <w:spacing w:val="-4"/>
          <w:sz w:val="22"/>
        </w:rPr>
        <w:t>整机免费质保</w:t>
      </w:r>
      <w:r>
        <w:rPr>
          <w:rFonts w:hint="eastAsia"/>
          <w:b/>
          <w:sz w:val="22"/>
        </w:rPr>
        <w:t>1年</w:t>
      </w:r>
      <w:r>
        <w:rPr>
          <w:rFonts w:hint="eastAsia"/>
          <w:b/>
          <w:bCs/>
          <w:spacing w:val="-4"/>
          <w:sz w:val="22"/>
        </w:rPr>
        <w:t>（进口货物须由制造商提供免费质保，并提供相关证明材料）</w:t>
      </w:r>
      <w:r>
        <w:rPr>
          <w:rFonts w:hint="eastAsia" w:asciiTheme="minorEastAsia" w:hAnsiTheme="minorEastAsia" w:eastAsiaTheme="minorEastAsia" w:cstheme="minorEastAsia"/>
          <w:sz w:val="22"/>
        </w:rPr>
        <w:t>，在不增加模块的情况下，软件终身免费授权与升级。</w:t>
      </w:r>
      <w:r>
        <w:rPr>
          <w:rFonts w:hint="eastAsia"/>
          <w:sz w:val="22"/>
        </w:rPr>
        <w:t>免费质量保证期从货物供货、安装、调试正常且经采购人综合运行并签订终验收合格报告之日起开始计算。免费质量保证期以整个项目为单位进行响应。质保期内，若货物出现故障，故障件的质保期从故障排除之日起重新起计；质保期内，故障时间累计超过1个月，整机保修期顺延3个月</w:t>
      </w:r>
      <w:r>
        <w:rPr>
          <w:rFonts w:hint="eastAsia" w:asciiTheme="minorEastAsia" w:hAnsiTheme="minorEastAsia" w:eastAsiaTheme="minorEastAsia" w:cstheme="minorEastAsia"/>
          <w:sz w:val="22"/>
        </w:rPr>
        <w:t>。</w:t>
      </w:r>
    </w:p>
    <w:p>
      <w:pPr>
        <w:autoSpaceDE w:val="0"/>
        <w:autoSpaceDN w:val="0"/>
        <w:spacing w:line="400" w:lineRule="exact"/>
        <w:ind w:firstLine="420"/>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*2.质量保证期内服务</w:t>
      </w:r>
    </w:p>
    <w:p>
      <w:pPr>
        <w:widowControl/>
        <w:autoSpaceDE w:val="0"/>
        <w:autoSpaceDN w:val="0"/>
        <w:spacing w:line="400" w:lineRule="exact"/>
        <w:ind w:firstLine="440" w:firstLineChars="200"/>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2.1</w:t>
      </w:r>
      <w:r>
        <w:rPr>
          <w:rFonts w:hint="eastAsia"/>
          <w:sz w:val="22"/>
        </w:rPr>
        <w:t>正常使用条件下，供方须对设备出现的故障提供全免费维修，零部件损坏须及时免费更换，供方自备安装调试及维修用工具</w:t>
      </w:r>
      <w:r>
        <w:rPr>
          <w:rFonts w:hint="eastAsia" w:asciiTheme="minorEastAsia" w:hAnsiTheme="minorEastAsia" w:eastAsiaTheme="minorEastAsia" w:cstheme="minorEastAsia"/>
          <w:sz w:val="22"/>
        </w:rPr>
        <w:t>。</w:t>
      </w:r>
    </w:p>
    <w:p>
      <w:pPr>
        <w:widowControl/>
        <w:autoSpaceDE w:val="0"/>
        <w:autoSpaceDN w:val="0"/>
        <w:spacing w:line="400" w:lineRule="exact"/>
        <w:ind w:firstLine="440" w:firstLineChars="200"/>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2.2</w:t>
      </w:r>
      <w:r>
        <w:rPr>
          <w:rFonts w:hint="eastAsia"/>
          <w:sz w:val="22"/>
        </w:rPr>
        <w:t>提供 7*24 小时技术响应服务；接到客户的信息反馈或咨询后，应在4小时电话响应，提出解决方案；如需现场服务，应安排就近工程师于8小时内到达现场进行服务。设备保修期满前一个月，应进行一次全面的检查、维护，并写出正式报告，如发现潜在问题，应负责排除</w:t>
      </w:r>
      <w:r>
        <w:rPr>
          <w:rFonts w:hint="eastAsia" w:asciiTheme="minorEastAsia" w:hAnsiTheme="minorEastAsia" w:eastAsiaTheme="minorEastAsia" w:cstheme="minorEastAsia"/>
          <w:sz w:val="22"/>
        </w:rPr>
        <w:t>。</w:t>
      </w:r>
    </w:p>
    <w:p>
      <w:pPr>
        <w:widowControl/>
        <w:autoSpaceDE w:val="0"/>
        <w:autoSpaceDN w:val="0"/>
        <w:spacing w:line="400" w:lineRule="exact"/>
        <w:ind w:firstLine="440" w:firstLineChars="200"/>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2.3</w:t>
      </w:r>
      <w:r>
        <w:rPr>
          <w:rFonts w:hint="eastAsia"/>
          <w:sz w:val="22"/>
        </w:rPr>
        <w:t>供应商应每年上门对设备进行全面免费检修。制造商售后工程师每年至少免费回访、维护两次，解决需方用户使用中遇到问题和了解设备运行状况</w:t>
      </w:r>
      <w:r>
        <w:rPr>
          <w:rFonts w:hint="eastAsia" w:asciiTheme="minorEastAsia" w:hAnsiTheme="minorEastAsia" w:eastAsiaTheme="minorEastAsia" w:cstheme="minorEastAsia"/>
          <w:sz w:val="22"/>
        </w:rPr>
        <w:t>。</w:t>
      </w:r>
    </w:p>
    <w:p>
      <w:pPr>
        <w:widowControl/>
        <w:autoSpaceDE w:val="0"/>
        <w:autoSpaceDN w:val="0"/>
        <w:spacing w:line="400" w:lineRule="exact"/>
        <w:ind w:firstLine="440" w:firstLineChars="200"/>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*3.质量保证期后服务</w:t>
      </w:r>
    </w:p>
    <w:p>
      <w:pPr>
        <w:widowControl/>
        <w:autoSpaceDE w:val="0"/>
        <w:autoSpaceDN w:val="0"/>
        <w:spacing w:line="400" w:lineRule="exact"/>
        <w:ind w:firstLine="440" w:firstLineChars="200"/>
        <w:rPr>
          <w:sz w:val="22"/>
        </w:rPr>
      </w:pPr>
      <w:r>
        <w:rPr>
          <w:rFonts w:hint="eastAsia" w:asciiTheme="minorEastAsia" w:hAnsiTheme="minorEastAsia" w:eastAsiaTheme="minorEastAsia" w:cstheme="minorEastAsia"/>
          <w:sz w:val="22"/>
        </w:rPr>
        <w:t xml:space="preserve">3.1 </w:t>
      </w:r>
      <w:r>
        <w:rPr>
          <w:rFonts w:hint="eastAsia"/>
          <w:sz w:val="22"/>
        </w:rPr>
        <w:t>供方的响应、到达现场及排除故障时限与质保期内相同。</w:t>
      </w:r>
    </w:p>
    <w:p>
      <w:pPr>
        <w:widowControl/>
        <w:autoSpaceDE w:val="0"/>
        <w:autoSpaceDN w:val="0"/>
        <w:spacing w:line="400" w:lineRule="exact"/>
        <w:ind w:firstLine="440" w:firstLineChars="200"/>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3.2 </w:t>
      </w:r>
      <w:r>
        <w:rPr>
          <w:rFonts w:hint="eastAsia" w:hAnsi="宋体" w:cs="宋体"/>
          <w:sz w:val="22"/>
        </w:rPr>
        <w:t>质量保证期后，供方提供有偿服务，适当收取零配件和服务费。供方收取的零配件价款或服务费不得高于同类产品或服务的市场通行价格。在设备硬件允许下，终身免费提供软件升级服务</w:t>
      </w:r>
      <w:r>
        <w:rPr>
          <w:rFonts w:hint="eastAsia" w:asciiTheme="minorEastAsia" w:hAnsiTheme="minorEastAsia" w:eastAsiaTheme="minorEastAsia" w:cstheme="minorEastAsia"/>
          <w:sz w:val="22"/>
        </w:rPr>
        <w:t>。</w:t>
      </w:r>
    </w:p>
    <w:p>
      <w:pPr>
        <w:widowControl/>
        <w:autoSpaceDE w:val="0"/>
        <w:autoSpaceDN w:val="0"/>
        <w:spacing w:line="400" w:lineRule="exact"/>
        <w:ind w:firstLine="440" w:firstLineChars="200"/>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 xml:space="preserve">3.3 </w:t>
      </w:r>
      <w:r>
        <w:rPr>
          <w:rFonts w:hint="eastAsia" w:hAnsi="宋体" w:cs="宋体"/>
          <w:sz w:val="22"/>
        </w:rPr>
        <w:t>制造商应保证零配件的终身供应。供方在售后服务中维修使用的备品备件及易损件应为原厂配件，未经采购人同意不得使用非原厂配件</w:t>
      </w:r>
      <w:r>
        <w:rPr>
          <w:rFonts w:hint="eastAsia" w:asciiTheme="minorEastAsia" w:hAnsiTheme="minorEastAsia" w:eastAsiaTheme="minorEastAsia" w:cstheme="minorEastAsia"/>
          <w:sz w:val="22"/>
        </w:rPr>
        <w:t>。</w:t>
      </w:r>
    </w:p>
    <w:p>
      <w:pPr>
        <w:tabs>
          <w:tab w:val="left" w:pos="540"/>
        </w:tabs>
        <w:snapToGrid w:val="0"/>
        <w:spacing w:after="120" w:afterLines="50" w:line="400" w:lineRule="exact"/>
        <w:ind w:firstLine="442" w:firstLineChars="200"/>
        <w:rPr>
          <w:rFonts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*（七）风险承担</w:t>
      </w:r>
    </w:p>
    <w:p>
      <w:pPr>
        <w:autoSpaceDE w:val="0"/>
        <w:autoSpaceDN w:val="0"/>
        <w:spacing w:line="400" w:lineRule="exact"/>
        <w:ind w:firstLine="42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1.货物毁损、灭失的风险，在货物送达指定地点并经采购人接收以前由供方承担，在货物经采购人接收以后由采购人承担。 </w:t>
      </w:r>
    </w:p>
    <w:p>
      <w:pPr>
        <w:autoSpaceDE w:val="0"/>
        <w:autoSpaceDN w:val="0"/>
        <w:spacing w:line="400" w:lineRule="exact"/>
        <w:ind w:firstLine="42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2.采购人因货物质量不符合约定的质量要求而拒绝接受货物或解除合同的，在采购人规定的期限内未收回其货物的，货物毁损、灭失的风险由供方承担。 </w:t>
      </w:r>
    </w:p>
    <w:p>
      <w:pPr>
        <w:autoSpaceDE w:val="0"/>
        <w:autoSpaceDN w:val="0"/>
        <w:spacing w:line="400" w:lineRule="exact"/>
        <w:ind w:firstLine="42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 由供方承担货物毁损、灭失风险的，如货物毁损或灭失的，供方应于30天内（关境内供货）或</w:t>
      </w:r>
      <w:r>
        <w:rPr>
          <w:rFonts w:hint="eastAsia" w:asciiTheme="minorEastAsia" w:hAnsiTheme="minorEastAsia" w:eastAsiaTheme="minorEastAsia" w:cstheme="minorEastAsia"/>
          <w:sz w:val="21"/>
          <w:szCs w:val="21"/>
          <w:u w:val="single"/>
        </w:rPr>
        <w:t>90</w:t>
      </w:r>
      <w:r>
        <w:rPr>
          <w:rFonts w:hint="eastAsia" w:asciiTheme="minorEastAsia" w:hAnsiTheme="minorEastAsia" w:eastAsiaTheme="minorEastAsia" w:cstheme="minorEastAsia"/>
          <w:sz w:val="21"/>
          <w:szCs w:val="21"/>
        </w:rPr>
        <w:t>天内（关境外供货）重新提供符合合同规定的货物，否则，视为供方逾期交货。</w:t>
      </w:r>
    </w:p>
    <w:p>
      <w:pPr>
        <w:tabs>
          <w:tab w:val="left" w:pos="2370"/>
        </w:tabs>
        <w:spacing w:line="380" w:lineRule="exact"/>
        <w:ind w:firstLine="420"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4. 由采购人承担货物毁损、灭失风险的，则采购人不能免除给付货款的义务。</w:t>
      </w:r>
    </w:p>
    <w:p>
      <w:pPr>
        <w:tabs>
          <w:tab w:val="left" w:pos="540"/>
        </w:tabs>
        <w:snapToGrid w:val="0"/>
        <w:spacing w:after="120" w:afterLines="50" w:line="400" w:lineRule="exact"/>
        <w:ind w:firstLine="480" w:firstLineChars="200"/>
        <w:rPr>
          <w:rFonts w:asciiTheme="minorEastAsia" w:hAnsiTheme="minorEastAsia" w:eastAsiaTheme="minorEastAsia" w:cstheme="minorEastAsia"/>
          <w:b/>
          <w:sz w:val="22"/>
          <w:szCs w:val="22"/>
        </w:rPr>
      </w:pPr>
      <w:r>
        <w:rPr>
          <w:rFonts w:hint="eastAsia" w:asciiTheme="minorEastAsia" w:hAnsiTheme="minorEastAsia" w:eastAsiaTheme="minorEastAsia" w:cstheme="minorEastAsia"/>
          <w:bCs/>
          <w:kern w:val="24"/>
        </w:rPr>
        <w:t>*</w:t>
      </w:r>
      <w:r>
        <w:rPr>
          <w:rFonts w:hint="eastAsia" w:asciiTheme="minorEastAsia" w:hAnsiTheme="minorEastAsia" w:eastAsiaTheme="minorEastAsia" w:cstheme="minorEastAsia"/>
          <w:b/>
          <w:sz w:val="22"/>
          <w:szCs w:val="22"/>
        </w:rPr>
        <w:t>（八）知识产权</w:t>
      </w:r>
    </w:p>
    <w:p>
      <w:pPr>
        <w:tabs>
          <w:tab w:val="left" w:pos="2370"/>
        </w:tabs>
        <w:spacing w:line="380" w:lineRule="exact"/>
        <w:ind w:firstLine="440" w:firstLineChars="200"/>
        <w:rPr>
          <w:rFonts w:asciiTheme="minorEastAsia" w:hAnsiTheme="minorEastAsia" w:eastAsiaTheme="minorEastAsia" w:cstheme="minorEastAsia"/>
          <w:b/>
          <w:sz w:val="22"/>
          <w:szCs w:val="22"/>
        </w:rPr>
      </w:pPr>
      <w:r>
        <w:rPr>
          <w:rFonts w:hint="eastAsia" w:asciiTheme="minorEastAsia" w:hAnsiTheme="minorEastAsia" w:eastAsiaTheme="minorEastAsia" w:cstheme="minorEastAsia"/>
          <w:sz w:val="22"/>
          <w:szCs w:val="22"/>
        </w:rPr>
        <w:t>采购人在中华人民共和国境内使用供应商提供的货物及服务时免受第三方提出的侵犯其专利权或其它知识产权的起诉。如果第三方提出侵权指控，供应商应承担由此而引起的一切法律责任和费用。</w:t>
      </w:r>
    </w:p>
    <w:p>
      <w:pPr>
        <w:tabs>
          <w:tab w:val="left" w:pos="540"/>
        </w:tabs>
        <w:snapToGrid w:val="0"/>
        <w:spacing w:after="120" w:afterLines="50" w:line="400" w:lineRule="exact"/>
        <w:ind w:firstLine="482" w:firstLineChars="200"/>
        <w:rPr>
          <w:rFonts w:asciiTheme="minorEastAsia" w:hAnsiTheme="minorEastAsia" w:eastAsiaTheme="minorEastAsia" w:cstheme="minorEastAsia"/>
          <w:b/>
        </w:rPr>
      </w:pPr>
    </w:p>
    <w:p>
      <w:pPr>
        <w:tabs>
          <w:tab w:val="left" w:pos="540"/>
        </w:tabs>
        <w:snapToGrid w:val="0"/>
        <w:spacing w:after="120" w:afterLines="50" w:line="400" w:lineRule="exact"/>
        <w:ind w:firstLine="442" w:firstLineChars="200"/>
        <w:rPr>
          <w:rFonts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三、其他</w:t>
      </w:r>
    </w:p>
    <w:p>
      <w:pPr>
        <w:tabs>
          <w:tab w:val="left" w:pos="540"/>
        </w:tabs>
        <w:snapToGrid w:val="0"/>
        <w:spacing w:after="120" w:afterLines="50" w:line="400" w:lineRule="exact"/>
        <w:ind w:firstLine="442" w:firstLineChars="200"/>
        <w:rPr>
          <w:rFonts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（一）本篇“*”标注条款为实质性要求，一条不满足的，为无效标</w:t>
      </w:r>
    </w:p>
    <w:p>
      <w:pPr>
        <w:tabs>
          <w:tab w:val="left" w:pos="540"/>
        </w:tabs>
        <w:snapToGrid w:val="0"/>
        <w:spacing w:after="120" w:afterLines="50" w:line="40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二）专用条款优先于通用条款，专用条款和通用条款在相同内容上表述不一致的，以专用条款为准；专用条款所述内容为通用条款未涉及的，应作为通用条款的补充内容；专用条款未述及的内容，按通用条款执行。</w:t>
      </w:r>
    </w:p>
    <w:p>
      <w:pPr>
        <w:tabs>
          <w:tab w:val="left" w:pos="540"/>
        </w:tabs>
        <w:snapToGrid w:val="0"/>
        <w:spacing w:after="120" w:afterLines="50" w:line="40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（三）供应商应在投标文件中明确列出以上条款和服务承诺，对响应及偏离情况在商务偏离表中进行说明。</w:t>
      </w:r>
      <w:r>
        <w:rPr>
          <w:rFonts w:hint="eastAsia" w:asciiTheme="minorEastAsia" w:hAnsiTheme="minorEastAsia" w:eastAsiaTheme="minorEastAsia" w:cstheme="minorEastAsia"/>
          <w:b/>
          <w:sz w:val="22"/>
          <w:szCs w:val="22"/>
        </w:rPr>
        <w:t>未提供商务偏离表的，为无效标</w:t>
      </w:r>
      <w:r>
        <w:rPr>
          <w:rFonts w:hint="eastAsia" w:asciiTheme="minorEastAsia" w:hAnsiTheme="minorEastAsia" w:eastAsiaTheme="minorEastAsia" w:cstheme="minorEastAsia"/>
          <w:sz w:val="22"/>
          <w:szCs w:val="22"/>
        </w:rPr>
        <w:t>。</w:t>
      </w:r>
    </w:p>
    <w:p>
      <w:pPr>
        <w:tabs>
          <w:tab w:val="left" w:pos="2370"/>
        </w:tabs>
        <w:spacing w:line="3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（四）未尽事宜由供需双方在采购合同中详细约定。</w:t>
      </w: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sectPr>
          <w:headerReference r:id="rId13" w:type="first"/>
          <w:footerReference r:id="rId16" w:type="first"/>
          <w:headerReference r:id="rId11" w:type="default"/>
          <w:footerReference r:id="rId14" w:type="default"/>
          <w:headerReference r:id="rId12" w:type="even"/>
          <w:footerReference r:id="rId15" w:type="even"/>
          <w:pgSz w:w="11906" w:h="16838"/>
          <w:pgMar w:top="1134" w:right="1134" w:bottom="1134" w:left="1134" w:header="851" w:footer="851" w:gutter="0"/>
          <w:cols w:space="720" w:num="1"/>
          <w:docGrid w:linePitch="326" w:charSpace="0"/>
        </w:sectPr>
      </w:pPr>
    </w:p>
    <w:p/>
    <w:p>
      <w:pPr>
        <w:pStyle w:val="3"/>
        <w:spacing w:before="120" w:after="120"/>
        <w:ind w:left="0" w:firstLine="2209" w:firstLineChars="500"/>
        <w:jc w:val="both"/>
        <w:rPr>
          <w:rFonts w:asciiTheme="minorEastAsia" w:hAnsiTheme="minorEastAsia" w:eastAsiaTheme="minorEastAsia" w:cstheme="minorEastAsia"/>
        </w:rPr>
      </w:pPr>
      <w:r>
        <w:rPr>
          <w:rFonts w:hint="eastAsia" w:asciiTheme="minorEastAsia" w:hAnsiTheme="minorEastAsia" w:eastAsiaTheme="minorEastAsia" w:cstheme="minorEastAsia"/>
        </w:rPr>
        <w:t>第四篇  资格审查及评标办法</w:t>
      </w:r>
    </w:p>
    <w:p>
      <w:pPr>
        <w:tabs>
          <w:tab w:val="left" w:pos="2370"/>
        </w:tabs>
        <w:snapToGrid w:val="0"/>
        <w:spacing w:line="360" w:lineRule="exact"/>
        <w:ind w:firstLine="422" w:firstLineChars="200"/>
        <w:rPr>
          <w:rFonts w:asciiTheme="minorEastAsia" w:hAnsiTheme="minorEastAsia" w:eastAsiaTheme="minorEastAsia" w:cstheme="minorEastAsia"/>
          <w:b/>
          <w:sz w:val="21"/>
          <w:szCs w:val="21"/>
        </w:rPr>
      </w:pPr>
    </w:p>
    <w:p>
      <w:pPr>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评审分两个阶段，资格审查阶段和评标阶段。</w:t>
      </w:r>
    </w:p>
    <w:p>
      <w:pPr>
        <w:snapToGrid w:val="0"/>
        <w:spacing w:line="360" w:lineRule="exact"/>
        <w:ind w:firstLine="480"/>
        <w:jc w:val="both"/>
        <w:textAlignment w:val="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一、资格审查阶段：</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资格性审查是依据法律法规和招标文件的规定，对投标文件中的资格证明、信用信息记录等进行审查，以确定投标人是否具备投标资格。</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采购人或采购代理机构负责投标人的资格审查工作，即审查投标人资格条件是否满足要求及其提供的证明材料是否齐全和有效，只有满足招标文件投标人资格要求的投标人才是合格投标人。被认定为不合格投标人的，不得进入符合性审查。合格投标人不足3家的，不得进入评标阶段。</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资格性审查资料表如下：</w:t>
      </w:r>
    </w:p>
    <w:p>
      <w:pPr>
        <w:snapToGrid w:val="0"/>
        <w:spacing w:line="360" w:lineRule="exact"/>
        <w:ind w:firstLine="422" w:firstLineChars="200"/>
        <w:jc w:val="center"/>
        <w:textAlignment w:val="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资格性检查资料表</w:t>
      </w:r>
    </w:p>
    <w:tbl>
      <w:tblPr>
        <w:tblStyle w:val="24"/>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709"/>
        <w:gridCol w:w="2126"/>
        <w:gridCol w:w="58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709" w:type="dxa"/>
            <w:vAlign w:val="center"/>
          </w:tcPr>
          <w:p>
            <w:pPr>
              <w:snapToGrid w:val="0"/>
              <w:spacing w:line="360" w:lineRule="exact"/>
              <w:jc w:val="center"/>
              <w:textAlignment w:val="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序号</w:t>
            </w:r>
          </w:p>
        </w:tc>
        <w:tc>
          <w:tcPr>
            <w:tcW w:w="2835" w:type="dxa"/>
            <w:gridSpan w:val="2"/>
            <w:vAlign w:val="center"/>
          </w:tcPr>
          <w:p>
            <w:pPr>
              <w:snapToGrid w:val="0"/>
              <w:spacing w:line="360" w:lineRule="exact"/>
              <w:jc w:val="center"/>
              <w:textAlignment w:val="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检查因素</w:t>
            </w:r>
          </w:p>
        </w:tc>
        <w:tc>
          <w:tcPr>
            <w:tcW w:w="5812" w:type="dxa"/>
            <w:vAlign w:val="center"/>
          </w:tcPr>
          <w:p>
            <w:pPr>
              <w:snapToGrid w:val="0"/>
              <w:spacing w:line="360" w:lineRule="exact"/>
              <w:jc w:val="center"/>
              <w:textAlignment w:val="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7" w:hRule="atLeast"/>
        </w:trPr>
        <w:tc>
          <w:tcPr>
            <w:tcW w:w="709" w:type="dxa"/>
            <w:vMerge w:val="restart"/>
            <w:vAlign w:val="center"/>
          </w:tcPr>
          <w:p>
            <w:pPr>
              <w:snapToGrid w:val="0"/>
              <w:spacing w:line="360" w:lineRule="exact"/>
              <w:jc w:val="center"/>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w:t>
            </w:r>
          </w:p>
        </w:tc>
        <w:tc>
          <w:tcPr>
            <w:tcW w:w="709" w:type="dxa"/>
            <w:vMerge w:val="restart"/>
            <w:vAlign w:val="center"/>
          </w:tcPr>
          <w:p>
            <w:pPr>
              <w:snapToGrid w:val="0"/>
              <w:spacing w:line="360" w:lineRule="exact"/>
              <w:textAlignment w:val="auto"/>
              <w:rPr>
                <w:rFonts w:asciiTheme="minorEastAsia" w:hAnsiTheme="minorEastAsia" w:eastAsiaTheme="minorEastAsia" w:cstheme="minorEastAsia"/>
                <w:kern w:val="2"/>
                <w:sz w:val="21"/>
                <w:szCs w:val="21"/>
                <w:lang w:val="zh-CN"/>
              </w:rPr>
            </w:pPr>
            <w:r>
              <w:rPr>
                <w:rFonts w:hint="eastAsia" w:asciiTheme="minorEastAsia" w:hAnsiTheme="minorEastAsia" w:eastAsiaTheme="minorEastAsia" w:cstheme="minorEastAsia"/>
                <w:kern w:val="2"/>
                <w:sz w:val="21"/>
                <w:szCs w:val="21"/>
                <w:lang w:val="zh-CN"/>
              </w:rPr>
              <w:t>投标人应符合的基本资格条件</w:t>
            </w:r>
          </w:p>
        </w:tc>
        <w:tc>
          <w:tcPr>
            <w:tcW w:w="2126" w:type="dxa"/>
            <w:vAlign w:val="center"/>
          </w:tcPr>
          <w:p>
            <w:pPr>
              <w:snapToGrid w:val="0"/>
              <w:spacing w:line="360" w:lineRule="exact"/>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1）具有独立承担民事责任的能力</w:t>
            </w:r>
          </w:p>
        </w:tc>
        <w:tc>
          <w:tcPr>
            <w:tcW w:w="5812" w:type="dxa"/>
            <w:vAlign w:val="center"/>
          </w:tcPr>
          <w:p>
            <w:pPr>
              <w:snapToGrid w:val="0"/>
              <w:spacing w:line="3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提供投标人法人营业执照或事业单位法人证书或个体工商户营业执照或有效的自然人身份证明或社会团体法人登记证书（提供复印件）；</w:t>
            </w:r>
          </w:p>
          <w:p>
            <w:pPr>
              <w:snapToGrid w:val="0"/>
              <w:spacing w:line="3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投标人法定代表人（单位负责人）身份证明和法定代表人（单位负责人）授权书。</w:t>
            </w:r>
          </w:p>
          <w:p>
            <w:pPr>
              <w:spacing w:line="240" w:lineRule="exact"/>
              <w:rPr>
                <w:rFonts w:asciiTheme="minorEastAsia" w:hAnsiTheme="minorEastAsia" w:eastAsiaTheme="minorEastAsia" w:cstheme="minorEastAsia"/>
                <w:sz w:val="21"/>
                <w:szCs w:val="21"/>
              </w:rPr>
            </w:pPr>
          </w:p>
          <w:p>
            <w:pPr>
              <w:snapToGrid w:val="0"/>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sz w:val="21"/>
                <w:szCs w:val="21"/>
              </w:rPr>
              <w:t>不具有独立承担民事责任的的分公司、办事处等主体未经具有独立承担民事责任的主体授权的，不能参加投标。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4" w:hRule="atLeast"/>
        </w:trPr>
        <w:tc>
          <w:tcPr>
            <w:tcW w:w="709" w:type="dxa"/>
            <w:vMerge w:val="continue"/>
            <w:vAlign w:val="center"/>
          </w:tcPr>
          <w:p>
            <w:pPr>
              <w:snapToGrid w:val="0"/>
              <w:spacing w:line="360" w:lineRule="exact"/>
              <w:jc w:val="center"/>
              <w:textAlignment w:val="auto"/>
              <w:rPr>
                <w:rFonts w:asciiTheme="minorEastAsia" w:hAnsiTheme="minorEastAsia" w:eastAsiaTheme="minorEastAsia" w:cstheme="minorEastAsia"/>
                <w:kern w:val="2"/>
                <w:sz w:val="21"/>
                <w:szCs w:val="21"/>
              </w:rPr>
            </w:pPr>
          </w:p>
        </w:tc>
        <w:tc>
          <w:tcPr>
            <w:tcW w:w="709" w:type="dxa"/>
            <w:vMerge w:val="continue"/>
            <w:vAlign w:val="center"/>
          </w:tcPr>
          <w:p>
            <w:pPr>
              <w:snapToGrid w:val="0"/>
              <w:spacing w:line="360" w:lineRule="exact"/>
              <w:jc w:val="both"/>
              <w:textAlignment w:val="auto"/>
              <w:rPr>
                <w:rFonts w:asciiTheme="minorEastAsia" w:hAnsiTheme="minorEastAsia" w:eastAsiaTheme="minorEastAsia" w:cstheme="minorEastAsia"/>
                <w:kern w:val="2"/>
                <w:sz w:val="21"/>
                <w:szCs w:val="21"/>
                <w:lang w:val="zh-CN"/>
              </w:rPr>
            </w:pPr>
          </w:p>
        </w:tc>
        <w:tc>
          <w:tcPr>
            <w:tcW w:w="2126" w:type="dxa"/>
            <w:vAlign w:val="center"/>
          </w:tcPr>
          <w:p>
            <w:pPr>
              <w:snapToGrid w:val="0"/>
              <w:spacing w:line="360" w:lineRule="exact"/>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2）具有良好的商业信誉和健全的财务会计制度</w:t>
            </w:r>
          </w:p>
        </w:tc>
        <w:tc>
          <w:tcPr>
            <w:tcW w:w="5812" w:type="dxa"/>
            <w:vMerge w:val="restart"/>
            <w:vAlign w:val="center"/>
          </w:tcPr>
          <w:p>
            <w:pPr>
              <w:snapToGrid w:val="0"/>
              <w:spacing w:line="360" w:lineRule="exact"/>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提供“投标人的资格声明”（详见第七部分）。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trPr>
        <w:tc>
          <w:tcPr>
            <w:tcW w:w="709" w:type="dxa"/>
            <w:vMerge w:val="continue"/>
            <w:vAlign w:val="center"/>
          </w:tcPr>
          <w:p>
            <w:pPr>
              <w:snapToGrid w:val="0"/>
              <w:spacing w:line="360" w:lineRule="exact"/>
              <w:jc w:val="center"/>
              <w:textAlignment w:val="auto"/>
              <w:rPr>
                <w:rFonts w:asciiTheme="minorEastAsia" w:hAnsiTheme="minorEastAsia" w:eastAsiaTheme="minorEastAsia" w:cstheme="minorEastAsia"/>
                <w:kern w:val="2"/>
                <w:sz w:val="21"/>
                <w:szCs w:val="21"/>
              </w:rPr>
            </w:pPr>
          </w:p>
        </w:tc>
        <w:tc>
          <w:tcPr>
            <w:tcW w:w="709" w:type="dxa"/>
            <w:vMerge w:val="continue"/>
            <w:vAlign w:val="center"/>
          </w:tcPr>
          <w:p>
            <w:pPr>
              <w:snapToGrid w:val="0"/>
              <w:spacing w:line="360" w:lineRule="exact"/>
              <w:jc w:val="both"/>
              <w:textAlignment w:val="auto"/>
              <w:rPr>
                <w:rFonts w:asciiTheme="minorEastAsia" w:hAnsiTheme="minorEastAsia" w:eastAsiaTheme="minorEastAsia" w:cstheme="minorEastAsia"/>
                <w:kern w:val="2"/>
                <w:sz w:val="21"/>
                <w:szCs w:val="21"/>
                <w:lang w:val="zh-CN"/>
              </w:rPr>
            </w:pPr>
          </w:p>
        </w:tc>
        <w:tc>
          <w:tcPr>
            <w:tcW w:w="2126" w:type="dxa"/>
            <w:vAlign w:val="center"/>
          </w:tcPr>
          <w:p>
            <w:pPr>
              <w:snapToGrid w:val="0"/>
              <w:spacing w:line="360" w:lineRule="exact"/>
              <w:jc w:val="both"/>
              <w:textAlignment w:val="auto"/>
              <w:rPr>
                <w:rFonts w:asciiTheme="minorEastAsia" w:hAnsiTheme="minorEastAsia" w:eastAsiaTheme="minorEastAsia" w:cstheme="minorEastAsia"/>
                <w:kern w:val="2"/>
                <w:sz w:val="21"/>
                <w:szCs w:val="21"/>
                <w:lang w:val="zh-CN"/>
              </w:rPr>
            </w:pPr>
            <w:r>
              <w:rPr>
                <w:rFonts w:hint="eastAsia" w:asciiTheme="minorEastAsia" w:hAnsiTheme="minorEastAsia" w:eastAsiaTheme="minorEastAsia" w:cstheme="minorEastAsia"/>
                <w:kern w:val="2"/>
                <w:sz w:val="21"/>
                <w:szCs w:val="21"/>
                <w:lang w:val="zh-CN"/>
              </w:rPr>
              <w:t>3）具有履行合同所必需的设备和专业技术能力</w:t>
            </w:r>
          </w:p>
        </w:tc>
        <w:tc>
          <w:tcPr>
            <w:tcW w:w="5812" w:type="dxa"/>
            <w:vMerge w:val="continue"/>
            <w:vAlign w:val="center"/>
          </w:tcPr>
          <w:p>
            <w:pPr>
              <w:snapToGrid w:val="0"/>
              <w:spacing w:line="360" w:lineRule="exact"/>
              <w:jc w:val="both"/>
              <w:textAlignment w:val="auto"/>
              <w:rPr>
                <w:rFonts w:asciiTheme="minorEastAsia" w:hAnsiTheme="minorEastAsia" w:eastAsiaTheme="minorEastAsia" w:cstheme="minorEastAsia"/>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7" w:hRule="atLeast"/>
        </w:trPr>
        <w:tc>
          <w:tcPr>
            <w:tcW w:w="709" w:type="dxa"/>
            <w:vMerge w:val="continue"/>
            <w:vAlign w:val="center"/>
          </w:tcPr>
          <w:p>
            <w:pPr>
              <w:snapToGrid w:val="0"/>
              <w:spacing w:line="360" w:lineRule="exact"/>
              <w:jc w:val="center"/>
              <w:textAlignment w:val="auto"/>
              <w:rPr>
                <w:rFonts w:asciiTheme="minorEastAsia" w:hAnsiTheme="minorEastAsia" w:eastAsiaTheme="minorEastAsia" w:cstheme="minorEastAsia"/>
                <w:kern w:val="2"/>
                <w:sz w:val="21"/>
                <w:szCs w:val="21"/>
              </w:rPr>
            </w:pPr>
          </w:p>
        </w:tc>
        <w:tc>
          <w:tcPr>
            <w:tcW w:w="709" w:type="dxa"/>
            <w:vMerge w:val="continue"/>
            <w:vAlign w:val="center"/>
          </w:tcPr>
          <w:p>
            <w:pPr>
              <w:snapToGrid w:val="0"/>
              <w:spacing w:line="360" w:lineRule="exact"/>
              <w:jc w:val="both"/>
              <w:textAlignment w:val="auto"/>
              <w:rPr>
                <w:rFonts w:asciiTheme="minorEastAsia" w:hAnsiTheme="minorEastAsia" w:eastAsiaTheme="minorEastAsia" w:cstheme="minorEastAsia"/>
                <w:kern w:val="2"/>
                <w:sz w:val="21"/>
                <w:szCs w:val="21"/>
                <w:lang w:val="zh-CN"/>
              </w:rPr>
            </w:pPr>
          </w:p>
        </w:tc>
        <w:tc>
          <w:tcPr>
            <w:tcW w:w="2126" w:type="dxa"/>
            <w:vAlign w:val="center"/>
          </w:tcPr>
          <w:p>
            <w:pPr>
              <w:snapToGrid w:val="0"/>
              <w:spacing w:line="360" w:lineRule="exact"/>
              <w:jc w:val="both"/>
              <w:textAlignment w:val="auto"/>
              <w:rPr>
                <w:rFonts w:asciiTheme="minorEastAsia" w:hAnsiTheme="minorEastAsia" w:eastAsiaTheme="minorEastAsia" w:cstheme="minorEastAsia"/>
                <w:kern w:val="2"/>
                <w:sz w:val="21"/>
                <w:szCs w:val="21"/>
                <w:lang w:val="zh-CN"/>
              </w:rPr>
            </w:pPr>
            <w:r>
              <w:rPr>
                <w:rFonts w:hint="eastAsia" w:asciiTheme="minorEastAsia" w:hAnsiTheme="minorEastAsia" w:eastAsiaTheme="minorEastAsia" w:cstheme="minorEastAsia"/>
                <w:kern w:val="2"/>
                <w:sz w:val="21"/>
                <w:szCs w:val="21"/>
                <w:lang w:val="zh-CN"/>
              </w:rPr>
              <w:t>4）有依法缴纳税收和社会保障资金的良好记录</w:t>
            </w:r>
          </w:p>
        </w:tc>
        <w:tc>
          <w:tcPr>
            <w:tcW w:w="5812" w:type="dxa"/>
            <w:vMerge w:val="continue"/>
            <w:vAlign w:val="center"/>
          </w:tcPr>
          <w:p>
            <w:pPr>
              <w:snapToGrid w:val="0"/>
              <w:spacing w:line="360" w:lineRule="exact"/>
              <w:jc w:val="both"/>
              <w:textAlignment w:val="auto"/>
              <w:rPr>
                <w:rFonts w:asciiTheme="minorEastAsia" w:hAnsiTheme="minorEastAsia" w:eastAsiaTheme="minorEastAsia" w:cstheme="minorEastAsia"/>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trPr>
        <w:tc>
          <w:tcPr>
            <w:tcW w:w="709" w:type="dxa"/>
            <w:vMerge w:val="continue"/>
            <w:vAlign w:val="center"/>
          </w:tcPr>
          <w:p>
            <w:pPr>
              <w:snapToGrid w:val="0"/>
              <w:spacing w:line="360" w:lineRule="exact"/>
              <w:jc w:val="center"/>
              <w:textAlignment w:val="auto"/>
              <w:rPr>
                <w:rFonts w:asciiTheme="minorEastAsia" w:hAnsiTheme="minorEastAsia" w:eastAsiaTheme="minorEastAsia" w:cstheme="minorEastAsia"/>
                <w:kern w:val="2"/>
                <w:sz w:val="21"/>
                <w:szCs w:val="21"/>
              </w:rPr>
            </w:pPr>
          </w:p>
        </w:tc>
        <w:tc>
          <w:tcPr>
            <w:tcW w:w="709" w:type="dxa"/>
            <w:vMerge w:val="continue"/>
            <w:vAlign w:val="center"/>
          </w:tcPr>
          <w:p>
            <w:pPr>
              <w:snapToGrid w:val="0"/>
              <w:spacing w:line="360" w:lineRule="exact"/>
              <w:jc w:val="both"/>
              <w:textAlignment w:val="auto"/>
              <w:rPr>
                <w:rFonts w:asciiTheme="minorEastAsia" w:hAnsiTheme="minorEastAsia" w:eastAsiaTheme="minorEastAsia" w:cstheme="minorEastAsia"/>
                <w:kern w:val="2"/>
                <w:sz w:val="21"/>
                <w:szCs w:val="21"/>
                <w:lang w:val="zh-CN"/>
              </w:rPr>
            </w:pPr>
          </w:p>
        </w:tc>
        <w:tc>
          <w:tcPr>
            <w:tcW w:w="2126" w:type="dxa"/>
            <w:vAlign w:val="center"/>
          </w:tcPr>
          <w:p>
            <w:pPr>
              <w:snapToGrid w:val="0"/>
              <w:spacing w:line="360" w:lineRule="exact"/>
              <w:jc w:val="both"/>
              <w:textAlignment w:val="auto"/>
              <w:rPr>
                <w:rFonts w:asciiTheme="minorEastAsia" w:hAnsiTheme="minorEastAsia" w:eastAsiaTheme="minorEastAsia" w:cstheme="minorEastAsia"/>
                <w:kern w:val="2"/>
                <w:sz w:val="21"/>
                <w:szCs w:val="21"/>
                <w:lang w:val="zh-CN"/>
              </w:rPr>
            </w:pPr>
            <w:r>
              <w:rPr>
                <w:rFonts w:hint="eastAsia" w:asciiTheme="minorEastAsia" w:hAnsiTheme="minorEastAsia" w:eastAsiaTheme="minorEastAsia" w:cstheme="minorEastAsia"/>
                <w:kern w:val="2"/>
                <w:sz w:val="21"/>
                <w:szCs w:val="21"/>
              </w:rPr>
              <w:t>5）参加政府采购活动前三年内，在经营活动中没有重大违法记录</w:t>
            </w:r>
          </w:p>
        </w:tc>
        <w:tc>
          <w:tcPr>
            <w:tcW w:w="5812" w:type="dxa"/>
            <w:vAlign w:val="center"/>
          </w:tcPr>
          <w:p>
            <w:pPr>
              <w:spacing w:line="3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1.提供“投标人的资格声明”（详见第七部分）；</w:t>
            </w:r>
          </w:p>
          <w:p>
            <w:pP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2.在评审阶段资格性检查时采购代理机构将通过 “信用中国”网站(</w:t>
            </w:r>
            <w:r>
              <w:fldChar w:fldCharType="begin"/>
            </w:r>
            <w:r>
              <w:instrText xml:space="preserve"> HYPERLINK "http://www.creditchina.gov.cn" </w:instrText>
            </w:r>
            <w:r>
              <w:fldChar w:fldCharType="separate"/>
            </w:r>
            <w:r>
              <w:rPr>
                <w:rStyle w:val="29"/>
                <w:rFonts w:hint="eastAsia" w:asciiTheme="minorEastAsia" w:hAnsiTheme="minorEastAsia" w:eastAsiaTheme="minorEastAsia" w:cstheme="minorEastAsia"/>
                <w:color w:val="auto"/>
              </w:rPr>
              <w:t>www.creditchina.gov.cn</w:t>
            </w:r>
            <w:r>
              <w:rPr>
                <w:rStyle w:val="29"/>
                <w:rFonts w:hint="eastAsia" w:asciiTheme="minorEastAsia" w:hAnsiTheme="minorEastAsia" w:eastAsiaTheme="minorEastAsia" w:cstheme="minorEastAsia"/>
                <w:color w:val="auto"/>
              </w:rPr>
              <w:fldChar w:fldCharType="end"/>
            </w:r>
            <w:r>
              <w:rPr>
                <w:rFonts w:hint="eastAsia" w:asciiTheme="minorEastAsia" w:hAnsiTheme="minorEastAsia" w:eastAsiaTheme="minorEastAsia" w:cstheme="minorEastAsia"/>
                <w:sz w:val="21"/>
                <w:szCs w:val="21"/>
              </w:rPr>
              <w:t>)和 “中国政府采购网”网站(www.ccgp.gov.cn)对</w:t>
            </w:r>
            <w:r>
              <w:rPr>
                <w:rFonts w:hint="eastAsia" w:asciiTheme="minorEastAsia" w:hAnsiTheme="minorEastAsia" w:eastAsiaTheme="minorEastAsia" w:cstheme="minorEastAsia"/>
                <w:kern w:val="2"/>
                <w:sz w:val="21"/>
                <w:szCs w:val="21"/>
              </w:rPr>
              <w:t>投标人</w:t>
            </w:r>
            <w:r>
              <w:rPr>
                <w:rFonts w:hint="eastAsia" w:asciiTheme="minorEastAsia" w:hAnsiTheme="minorEastAsia" w:eastAsiaTheme="minorEastAsia" w:cstheme="minorEastAsia"/>
                <w:sz w:val="21"/>
                <w:szCs w:val="21"/>
              </w:rPr>
              <w:t>的信用记录进行查询：投标人被列入“信用中国”网站“失信被执行人”或“重大税收违法案件当事人名单”，拒绝其参与政府采购活动；投标人处于“中国政府采购网”“政府采购严重违法失信行为记录”中的禁止参加政府采购活动期间的，将拒绝其参与政府采购活动。上述的查询记录截止评审阶段资格性检查结束时止。</w:t>
            </w:r>
          </w:p>
          <w:p>
            <w:pPr>
              <w:snapToGrid w:val="0"/>
              <w:spacing w:line="360" w:lineRule="exact"/>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8"/>
                <w:sz w:val="21"/>
                <w:szCs w:val="21"/>
              </w:rPr>
              <w:t>采购代理机构经办人将查询网页打印、签字并存档备查。</w:t>
            </w:r>
            <w:r>
              <w:rPr>
                <w:rFonts w:hint="eastAsia" w:asciiTheme="minorEastAsia" w:hAnsiTheme="minorEastAsia" w:eastAsiaTheme="minorEastAsia" w:cstheme="minorEastAsia"/>
                <w:kern w:val="2"/>
                <w:sz w:val="21"/>
                <w:szCs w:val="21"/>
              </w:rPr>
              <w:t>投标人</w:t>
            </w:r>
            <w:r>
              <w:rPr>
                <w:rFonts w:hint="eastAsia" w:asciiTheme="minorEastAsia" w:hAnsiTheme="minorEastAsia" w:eastAsiaTheme="minorEastAsia" w:cstheme="minorEastAsia"/>
                <w:kern w:val="28"/>
                <w:sz w:val="21"/>
                <w:szCs w:val="21"/>
              </w:rPr>
              <w:t>信用记录以采购代理机构查询结果为准，在本招标文件规定的查询时间之后，网站信息发生的任何变更均不再作为评审依据，</w:t>
            </w:r>
            <w:r>
              <w:rPr>
                <w:rFonts w:hint="eastAsia" w:asciiTheme="minorEastAsia" w:hAnsiTheme="minorEastAsia" w:eastAsiaTheme="minorEastAsia" w:cstheme="minorEastAsia"/>
                <w:kern w:val="2"/>
                <w:sz w:val="21"/>
                <w:szCs w:val="21"/>
              </w:rPr>
              <w:t>投标人</w:t>
            </w:r>
            <w:r>
              <w:rPr>
                <w:rFonts w:hint="eastAsia" w:asciiTheme="minorEastAsia" w:hAnsiTheme="minorEastAsia" w:eastAsiaTheme="minorEastAsia" w:cstheme="minorEastAsia"/>
                <w:kern w:val="28"/>
                <w:sz w:val="21"/>
                <w:szCs w:val="21"/>
              </w:rPr>
              <w:t>自行提供的与网站信息不一致的其他证明材料亦不作为评审依据。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trPr>
        <w:tc>
          <w:tcPr>
            <w:tcW w:w="709" w:type="dxa"/>
            <w:vMerge w:val="continue"/>
            <w:vAlign w:val="center"/>
          </w:tcPr>
          <w:p>
            <w:pPr>
              <w:snapToGrid w:val="0"/>
              <w:spacing w:line="360" w:lineRule="exact"/>
              <w:jc w:val="center"/>
              <w:textAlignment w:val="auto"/>
              <w:rPr>
                <w:rFonts w:asciiTheme="minorEastAsia" w:hAnsiTheme="minorEastAsia" w:eastAsiaTheme="minorEastAsia" w:cstheme="minorEastAsia"/>
                <w:kern w:val="2"/>
                <w:sz w:val="21"/>
                <w:szCs w:val="21"/>
              </w:rPr>
            </w:pPr>
          </w:p>
        </w:tc>
        <w:tc>
          <w:tcPr>
            <w:tcW w:w="709" w:type="dxa"/>
            <w:vMerge w:val="continue"/>
            <w:vAlign w:val="center"/>
          </w:tcPr>
          <w:p>
            <w:pPr>
              <w:snapToGrid w:val="0"/>
              <w:spacing w:line="360" w:lineRule="exact"/>
              <w:jc w:val="both"/>
              <w:textAlignment w:val="auto"/>
              <w:rPr>
                <w:rFonts w:asciiTheme="minorEastAsia" w:hAnsiTheme="minorEastAsia" w:eastAsiaTheme="minorEastAsia" w:cstheme="minorEastAsia"/>
                <w:kern w:val="2"/>
                <w:sz w:val="21"/>
                <w:szCs w:val="21"/>
                <w:lang w:val="zh-CN"/>
              </w:rPr>
            </w:pPr>
          </w:p>
        </w:tc>
        <w:tc>
          <w:tcPr>
            <w:tcW w:w="2126" w:type="dxa"/>
            <w:vAlign w:val="center"/>
          </w:tcPr>
          <w:p>
            <w:pPr>
              <w:snapToGrid w:val="0"/>
              <w:spacing w:line="3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6）法律、行政法规规定的其他条件</w:t>
            </w:r>
          </w:p>
        </w:tc>
        <w:tc>
          <w:tcPr>
            <w:tcW w:w="5812" w:type="dxa"/>
            <w:vAlign w:val="center"/>
          </w:tcPr>
          <w:p>
            <w:pPr>
              <w:spacing w:line="40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0" w:hRule="atLeast"/>
        </w:trPr>
        <w:tc>
          <w:tcPr>
            <w:tcW w:w="709" w:type="dxa"/>
            <w:vAlign w:val="center"/>
          </w:tcPr>
          <w:p>
            <w:pPr>
              <w:snapToGrid w:val="0"/>
              <w:spacing w:line="360" w:lineRule="exact"/>
              <w:jc w:val="center"/>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2</w:t>
            </w:r>
          </w:p>
        </w:tc>
        <w:tc>
          <w:tcPr>
            <w:tcW w:w="2835" w:type="dxa"/>
            <w:gridSpan w:val="2"/>
            <w:vAlign w:val="center"/>
          </w:tcPr>
          <w:p>
            <w:pPr>
              <w:snapToGrid w:val="0"/>
              <w:spacing w:line="3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kern w:val="2"/>
                <w:sz w:val="21"/>
                <w:szCs w:val="21"/>
              </w:rPr>
              <w:t>特定资格条件</w:t>
            </w:r>
          </w:p>
        </w:tc>
        <w:tc>
          <w:tcPr>
            <w:tcW w:w="5812" w:type="dxa"/>
            <w:vAlign w:val="center"/>
          </w:tcPr>
          <w:p>
            <w:pPr>
              <w:snapToGrid w:val="0"/>
              <w:spacing w:line="360" w:lineRule="exact"/>
              <w:ind w:firstLine="210" w:firstLineChars="1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bidi="ar"/>
              </w:rPr>
              <w:t>进口产品须提供生产制造商的经销授权函或具有授权权限的代理商对投标产品的授权，且需提供该代理商具有有效授权权限的相关证明文件，证明文件需能显示产品制造厂家对投标产品授权链条的完整性（进口产品制造商参与投标的，不需要提供该授权）</w:t>
            </w:r>
            <w:r>
              <w:rPr>
                <w:rFonts w:hint="eastAsia" w:asciiTheme="minorEastAsia" w:hAnsiTheme="minorEastAsia" w:eastAsiaTheme="minorEastAsia" w:cstheme="minor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 w:hRule="atLeast"/>
        </w:trPr>
        <w:tc>
          <w:tcPr>
            <w:tcW w:w="709" w:type="dxa"/>
            <w:vAlign w:val="center"/>
          </w:tcPr>
          <w:p>
            <w:pPr>
              <w:snapToGrid w:val="0"/>
              <w:spacing w:line="360" w:lineRule="exact"/>
              <w:jc w:val="center"/>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3</w:t>
            </w:r>
          </w:p>
        </w:tc>
        <w:tc>
          <w:tcPr>
            <w:tcW w:w="2835" w:type="dxa"/>
            <w:gridSpan w:val="2"/>
            <w:vAlign w:val="center"/>
          </w:tcPr>
          <w:p>
            <w:pPr>
              <w:snapToGrid w:val="0"/>
              <w:spacing w:line="360" w:lineRule="exact"/>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其它</w:t>
            </w:r>
          </w:p>
        </w:tc>
        <w:tc>
          <w:tcPr>
            <w:tcW w:w="5812" w:type="dxa"/>
            <w:vAlign w:val="center"/>
          </w:tcPr>
          <w:p>
            <w:pPr>
              <w:snapToGrid w:val="0"/>
              <w:spacing w:line="360" w:lineRule="exact"/>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sz w:val="21"/>
                <w:szCs w:val="21"/>
                <w:lang w:val="zh-CN"/>
              </w:rPr>
              <w:t>不存在本招标文件规定的资格审查不合格的其他情形。</w:t>
            </w:r>
          </w:p>
        </w:tc>
      </w:tr>
    </w:tbl>
    <w:p>
      <w:pPr>
        <w:snapToGrid w:val="0"/>
        <w:spacing w:line="360" w:lineRule="exact"/>
        <w:ind w:firstLine="420" w:firstLineChars="200"/>
        <w:jc w:val="both"/>
        <w:textAlignment w:val="auto"/>
        <w:rPr>
          <w:rFonts w:asciiTheme="minorEastAsia" w:hAnsiTheme="minorEastAsia" w:eastAsiaTheme="minorEastAsia" w:cstheme="minorEastAsia"/>
          <w:sz w:val="21"/>
          <w:szCs w:val="21"/>
        </w:rPr>
      </w:pPr>
      <w:bookmarkStart w:id="80" w:name="OLE_LINK4"/>
      <w:bookmarkStart w:id="81" w:name="OLE_LINK3"/>
      <w:r>
        <w:rPr>
          <w:rFonts w:hint="eastAsia" w:asciiTheme="minorEastAsia" w:hAnsiTheme="minorEastAsia" w:eastAsiaTheme="minorEastAsia" w:cstheme="minorEastAsia"/>
          <w:sz w:val="21"/>
          <w:szCs w:val="21"/>
        </w:rPr>
        <w:t>注：</w:t>
      </w:r>
      <w:bookmarkEnd w:id="80"/>
      <w:bookmarkEnd w:id="81"/>
      <w:r>
        <w:rPr>
          <w:rFonts w:hint="eastAsia" w:asciiTheme="minorEastAsia" w:hAnsiTheme="minorEastAsia" w:eastAsiaTheme="minorEastAsia" w:cstheme="minorEastAsia"/>
          <w:sz w:val="21"/>
          <w:szCs w:val="21"/>
        </w:rPr>
        <w:t>根据《中华人民共和国政府采购法实施条例》第十九条“参加政府采购活动前三年内，在经营活动中没有重大违法记录”中“重大违法记录”，是指供应商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号）”执行。投标人可于投标截止日期前通过 “信用中国”网站(www.creditchina.gov.cn)、"中国政府采购网"(www.ccgp.gov.cn)等渠道查询信用记录。</w:t>
      </w:r>
    </w:p>
    <w:p>
      <w:pPr>
        <w:snapToGrid w:val="0"/>
        <w:spacing w:line="360" w:lineRule="exact"/>
        <w:ind w:firstLine="422" w:firstLineChars="200"/>
        <w:jc w:val="both"/>
        <w:textAlignment w:val="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特别说明：</w:t>
      </w:r>
    </w:p>
    <w:p>
      <w:pPr>
        <w:snapToGrid w:val="0"/>
        <w:spacing w:line="360" w:lineRule="exact"/>
        <w:ind w:firstLine="422" w:firstLineChars="200"/>
        <w:jc w:val="both"/>
        <w:textAlignment w:val="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对未通过资格审查的投标人不得进行符合性审查；合格投标人不足三家的，不得进入符合性审查程序。</w:t>
      </w:r>
    </w:p>
    <w:p>
      <w:pPr>
        <w:snapToGrid w:val="0"/>
        <w:spacing w:line="360" w:lineRule="exact"/>
        <w:ind w:firstLine="480"/>
        <w:jc w:val="both"/>
        <w:textAlignment w:val="auto"/>
        <w:rPr>
          <w:rFonts w:asciiTheme="minorEastAsia" w:hAnsiTheme="minorEastAsia" w:eastAsiaTheme="minorEastAsia" w:cstheme="minorEastAsia"/>
          <w:b/>
          <w:sz w:val="21"/>
          <w:szCs w:val="21"/>
        </w:rPr>
      </w:pPr>
    </w:p>
    <w:p>
      <w:pPr>
        <w:ind w:firstLine="482" w:firstLineChars="200"/>
        <w:rPr>
          <w:rFonts w:asciiTheme="minorEastAsia" w:hAnsiTheme="minorEastAsia" w:eastAsiaTheme="minorEastAsia" w:cstheme="minorEastAsia"/>
          <w:b/>
        </w:rPr>
      </w:pPr>
      <w:r>
        <w:rPr>
          <w:rFonts w:hint="eastAsia" w:asciiTheme="minorEastAsia" w:hAnsiTheme="minorEastAsia" w:eastAsiaTheme="minorEastAsia" w:cstheme="minorEastAsia"/>
          <w:b/>
        </w:rPr>
        <w:t>二、评标阶段</w:t>
      </w:r>
    </w:p>
    <w:p>
      <w:pPr>
        <w:snapToGrid w:val="0"/>
        <w:spacing w:line="360" w:lineRule="exact"/>
        <w:ind w:firstLine="480"/>
        <w:jc w:val="both"/>
        <w:textAlignment w:val="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（一）评标方法：综合评分法</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项目采用综合评分法进行评标。综合评分法是指投标文件满足招标文件全部实质性要求且按照评审因素的量化指标评审得分最高的投标人为中标候选人的评标方法。投标人总得分为价格、商务、技术等评定因素分别按照相应权重值计算分项得分后相加，</w:t>
      </w:r>
      <w:r>
        <w:rPr>
          <w:rFonts w:hint="eastAsia" w:asciiTheme="minorEastAsia" w:hAnsiTheme="minorEastAsia" w:eastAsiaTheme="minorEastAsia" w:cstheme="minorEastAsia"/>
          <w:b/>
          <w:bCs/>
          <w:sz w:val="21"/>
          <w:szCs w:val="21"/>
        </w:rPr>
        <w:t>满分为100分，另有政策性加分2分</w:t>
      </w:r>
      <w:r>
        <w:rPr>
          <w:rFonts w:hint="eastAsia" w:asciiTheme="minorEastAsia" w:hAnsiTheme="minorEastAsia" w:eastAsiaTheme="minorEastAsia" w:cstheme="minorEastAsia"/>
          <w:sz w:val="21"/>
          <w:szCs w:val="21"/>
        </w:rPr>
        <w:t>。</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计算方法如下：</w:t>
      </w:r>
      <w:r>
        <w:rPr>
          <w:rFonts w:hint="eastAsia" w:asciiTheme="minorEastAsia" w:hAnsiTheme="minorEastAsia" w:eastAsiaTheme="minorEastAsia" w:cstheme="minorEastAsia"/>
          <w:sz w:val="21"/>
          <w:szCs w:val="21"/>
        </w:rPr>
        <w:tab/>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评标总得分＝F1×A1＋F2×A2＋…＋Fn×An+m</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F1，F2，…，Fn分别为除政策性因素外的各项评分因素的汇总得分；m为政策性因素加分</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A1，A2，…，An分别为各项评分因素所占的权重(A1＋A2＋…＋An＝1)。</w:t>
      </w:r>
    </w:p>
    <w:p>
      <w:pPr>
        <w:snapToGrid w:val="0"/>
        <w:spacing w:line="360" w:lineRule="exact"/>
        <w:ind w:firstLine="480"/>
        <w:jc w:val="both"/>
        <w:textAlignment w:val="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（二）评标委员会</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评标工作由依法组建的评标委员会完成。评标委员会由采购人代表和评审专家组成，成员人数为</w:t>
      </w:r>
      <w:r>
        <w:rPr>
          <w:rFonts w:hint="eastAsia" w:asciiTheme="minorEastAsia" w:hAnsiTheme="minorEastAsia" w:eastAsiaTheme="minorEastAsia" w:cstheme="minorEastAsia"/>
          <w:b/>
          <w:bCs/>
          <w:sz w:val="21"/>
          <w:szCs w:val="21"/>
        </w:rPr>
        <w:t>五人</w:t>
      </w:r>
      <w:r>
        <w:rPr>
          <w:rFonts w:hint="eastAsia" w:asciiTheme="minorEastAsia" w:hAnsiTheme="minorEastAsia" w:eastAsiaTheme="minorEastAsia" w:cstheme="minorEastAsia"/>
          <w:sz w:val="21"/>
          <w:szCs w:val="21"/>
        </w:rPr>
        <w:t>（含）以上单数。其中，评审专家不少于成员总数的三分之二。</w:t>
      </w:r>
    </w:p>
    <w:p>
      <w:pPr>
        <w:snapToGrid w:val="0"/>
        <w:spacing w:line="360" w:lineRule="exact"/>
        <w:ind w:firstLine="480"/>
        <w:jc w:val="both"/>
        <w:textAlignment w:val="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（三）评标阶段</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评标工作由采购代理机构负责组织，具体评标事务由依法组建的评标委员会负责。评标委员会成员到位后，推举其中一位评审专家担任评审组长，并由评审组长牵头组织本项目评审工作。评标步骤：</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1、投标文件的初审</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（1）评标委员会将审查投标文件是否完整、总体编排是否有序、文件签署是否合格、有无计算上的错误等。</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在初审期间，评标委员会有权要求投标人对其投标文件中含义不明确、对同类问题表述不一致或者有明显文字和计算错误的内容作必要的澄清。投标人的澄清应在评标委员会规定的时间内进行，并不得超出投标文件范围或者改变投标文件的实质性内容。</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评标委员会要求投标人澄清、说明或者更正的，将以书面形式作出，投标人的澄清、说明或者更正应当由投标文件签署人签字或者加盖单位公章。投标人的澄清、说明文件是投标文件的有效组成部分。</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（3）初审中，算术错误按下述原则进行纠正：</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① 投标文件中开标一览表（报价表）内容与投标文件中相应内容不一致的，以开标一览表（报价表）内容为准。</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② 投标文件的大写金额和小写金额不一致的，以大写金额为准；</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③ 单价金额小数点或者百分比有明显错位的，以开标一览表的总价为准，并修改单价；</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④ 总价金额与按单价汇总金额不一致的，以单价金额计算结果为准；</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⑤ 对不同文字文本投标文件的解释发生异议的，以中文文本为准；</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⑥ 评标委员会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360" w:lineRule="exact"/>
        <w:ind w:firstLine="420" w:firstLineChars="200"/>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评标委员会审查每份投标文件是否实质上响应了招标文件要求（即符合性审查）。实质上响应的投标应该是与招标文件要求的全部主要条款、条件和规格相符，没有重大偏离的投标。评标委员会决定投标文件的响应性只根据投标文件本身的内容，而不寻求外部的证据。但投标有不真实不正确的内容除外。符合性检查资料表如下：</w:t>
      </w:r>
    </w:p>
    <w:p>
      <w:pPr>
        <w:widowControl/>
        <w:spacing w:line="360" w:lineRule="auto"/>
        <w:ind w:firstLine="420" w:firstLineChars="200"/>
        <w:rPr>
          <w:rFonts w:asciiTheme="minorEastAsia" w:hAnsiTheme="minorEastAsia" w:eastAsiaTheme="minorEastAsia" w:cstheme="minorEastAsia"/>
          <w:sz w:val="21"/>
          <w:szCs w:val="21"/>
        </w:rPr>
      </w:pPr>
    </w:p>
    <w:p>
      <w:pPr>
        <w:snapToGrid w:val="0"/>
        <w:spacing w:line="360" w:lineRule="exact"/>
        <w:ind w:firstLine="422" w:firstLineChars="200"/>
        <w:jc w:val="center"/>
        <w:textAlignment w:val="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符合性检查资料表</w:t>
      </w:r>
    </w:p>
    <w:tbl>
      <w:tblPr>
        <w:tblStyle w:val="2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1570"/>
        <w:gridCol w:w="1843"/>
        <w:gridCol w:w="52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698" w:type="dxa"/>
            <w:vAlign w:val="center"/>
          </w:tcPr>
          <w:p>
            <w:pPr>
              <w:snapToGrid w:val="0"/>
              <w:spacing w:line="360" w:lineRule="exact"/>
              <w:jc w:val="center"/>
              <w:textAlignment w:val="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序号</w:t>
            </w:r>
          </w:p>
        </w:tc>
        <w:tc>
          <w:tcPr>
            <w:tcW w:w="3413" w:type="dxa"/>
            <w:gridSpan w:val="2"/>
            <w:vAlign w:val="center"/>
          </w:tcPr>
          <w:p>
            <w:pPr>
              <w:snapToGrid w:val="0"/>
              <w:spacing w:line="360" w:lineRule="exact"/>
              <w:jc w:val="center"/>
              <w:textAlignment w:val="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评审因素</w:t>
            </w:r>
          </w:p>
        </w:tc>
        <w:tc>
          <w:tcPr>
            <w:tcW w:w="5245" w:type="dxa"/>
            <w:vAlign w:val="center"/>
          </w:tcPr>
          <w:p>
            <w:pPr>
              <w:snapToGrid w:val="0"/>
              <w:spacing w:line="360" w:lineRule="exact"/>
              <w:jc w:val="center"/>
              <w:textAlignment w:val="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98" w:type="dxa"/>
            <w:vMerge w:val="restart"/>
            <w:vAlign w:val="center"/>
          </w:tcPr>
          <w:p>
            <w:pPr>
              <w:snapToGrid w:val="0"/>
              <w:spacing w:line="360" w:lineRule="exact"/>
              <w:jc w:val="center"/>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1570" w:type="dxa"/>
            <w:vMerge w:val="restart"/>
            <w:vAlign w:val="center"/>
          </w:tcPr>
          <w:p>
            <w:pPr>
              <w:snapToGrid w:val="0"/>
              <w:spacing w:line="360" w:lineRule="exact"/>
              <w:jc w:val="center"/>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有效性审查</w:t>
            </w:r>
          </w:p>
        </w:tc>
        <w:tc>
          <w:tcPr>
            <w:tcW w:w="1843" w:type="dxa"/>
            <w:vAlign w:val="center"/>
          </w:tcPr>
          <w:p>
            <w:pPr>
              <w:snapToGrid w:val="0"/>
              <w:spacing w:line="360" w:lineRule="exact"/>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kern w:val="2"/>
                <w:sz w:val="21"/>
                <w:szCs w:val="21"/>
              </w:rPr>
              <w:t>投标文件签署或盖章</w:t>
            </w:r>
          </w:p>
        </w:tc>
        <w:tc>
          <w:tcPr>
            <w:tcW w:w="5245" w:type="dxa"/>
            <w:vAlign w:val="center"/>
          </w:tcPr>
          <w:p>
            <w:pPr>
              <w:snapToGrid w:val="0"/>
              <w:spacing w:line="360" w:lineRule="exact"/>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kern w:val="2"/>
                <w:sz w:val="21"/>
                <w:szCs w:val="21"/>
              </w:rPr>
              <w:t>按招标文件“第七篇投标文件格式”要求签署或盖章齐全。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98" w:type="dxa"/>
            <w:vMerge w:val="continue"/>
            <w:vAlign w:val="center"/>
          </w:tcPr>
          <w:p>
            <w:pPr>
              <w:snapToGrid w:val="0"/>
              <w:spacing w:line="360" w:lineRule="exact"/>
              <w:jc w:val="center"/>
              <w:textAlignment w:val="auto"/>
              <w:rPr>
                <w:rFonts w:asciiTheme="minorEastAsia" w:hAnsiTheme="minorEastAsia" w:eastAsiaTheme="minorEastAsia" w:cstheme="minorEastAsia"/>
                <w:sz w:val="21"/>
                <w:szCs w:val="21"/>
              </w:rPr>
            </w:pPr>
          </w:p>
        </w:tc>
        <w:tc>
          <w:tcPr>
            <w:tcW w:w="1570" w:type="dxa"/>
            <w:vMerge w:val="continue"/>
            <w:vAlign w:val="center"/>
          </w:tcPr>
          <w:p>
            <w:pPr>
              <w:snapToGrid w:val="0"/>
              <w:spacing w:line="360" w:lineRule="exact"/>
              <w:jc w:val="center"/>
              <w:textAlignment w:val="auto"/>
              <w:rPr>
                <w:rFonts w:asciiTheme="minorEastAsia" w:hAnsiTheme="minorEastAsia" w:eastAsiaTheme="minorEastAsia" w:cstheme="minorEastAsia"/>
                <w:sz w:val="21"/>
                <w:szCs w:val="21"/>
              </w:rPr>
            </w:pPr>
          </w:p>
        </w:tc>
        <w:tc>
          <w:tcPr>
            <w:tcW w:w="1843" w:type="dxa"/>
            <w:vAlign w:val="center"/>
          </w:tcPr>
          <w:p>
            <w:pPr>
              <w:snapToGrid w:val="0"/>
              <w:spacing w:line="360" w:lineRule="exact"/>
              <w:jc w:val="center"/>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法定代表人（单位负责人）身份证明及授权委托书</w:t>
            </w:r>
          </w:p>
        </w:tc>
        <w:tc>
          <w:tcPr>
            <w:tcW w:w="5245" w:type="dxa"/>
            <w:vAlign w:val="center"/>
          </w:tcPr>
          <w:p>
            <w:pPr>
              <w:snapToGrid w:val="0"/>
              <w:spacing w:line="360" w:lineRule="exact"/>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法定代表人（单位负责人）身份证明及授权委托书有效，符合招标文件规定的格式且签章齐全。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698" w:type="dxa"/>
            <w:vMerge w:val="continue"/>
            <w:vAlign w:val="center"/>
          </w:tcPr>
          <w:p>
            <w:pPr>
              <w:snapToGrid w:val="0"/>
              <w:spacing w:line="360" w:lineRule="exact"/>
              <w:jc w:val="center"/>
              <w:textAlignment w:val="auto"/>
              <w:rPr>
                <w:rFonts w:asciiTheme="minorEastAsia" w:hAnsiTheme="minorEastAsia" w:eastAsiaTheme="minorEastAsia" w:cstheme="minorEastAsia"/>
                <w:sz w:val="21"/>
                <w:szCs w:val="21"/>
              </w:rPr>
            </w:pPr>
          </w:p>
        </w:tc>
        <w:tc>
          <w:tcPr>
            <w:tcW w:w="1570" w:type="dxa"/>
            <w:vMerge w:val="continue"/>
            <w:vAlign w:val="center"/>
          </w:tcPr>
          <w:p>
            <w:pPr>
              <w:snapToGrid w:val="0"/>
              <w:spacing w:line="360" w:lineRule="exact"/>
              <w:jc w:val="center"/>
              <w:textAlignment w:val="auto"/>
              <w:rPr>
                <w:rFonts w:asciiTheme="minorEastAsia" w:hAnsiTheme="minorEastAsia" w:eastAsiaTheme="minorEastAsia" w:cstheme="minorEastAsia"/>
                <w:sz w:val="21"/>
                <w:szCs w:val="21"/>
              </w:rPr>
            </w:pPr>
          </w:p>
        </w:tc>
        <w:tc>
          <w:tcPr>
            <w:tcW w:w="1843" w:type="dxa"/>
            <w:vAlign w:val="center"/>
          </w:tcPr>
          <w:p>
            <w:pPr>
              <w:snapToGrid w:val="0"/>
              <w:spacing w:line="360" w:lineRule="exact"/>
              <w:jc w:val="center"/>
              <w:textAlignment w:val="auto"/>
              <w:rPr>
                <w:rFonts w:asciiTheme="minorEastAsia" w:hAnsiTheme="minorEastAsia" w:eastAsiaTheme="minorEastAsia" w:cstheme="minorEastAsia"/>
                <w:kern w:val="2"/>
                <w:sz w:val="21"/>
                <w:szCs w:val="21"/>
                <w:lang w:val="zh-CN"/>
              </w:rPr>
            </w:pPr>
            <w:r>
              <w:rPr>
                <w:rFonts w:hint="eastAsia" w:asciiTheme="minorEastAsia" w:hAnsiTheme="minorEastAsia" w:eastAsiaTheme="minorEastAsia" w:cstheme="minorEastAsia"/>
                <w:kern w:val="2"/>
                <w:sz w:val="21"/>
                <w:szCs w:val="21"/>
                <w:lang w:val="zh-CN"/>
              </w:rPr>
              <w:t>投标方案</w:t>
            </w:r>
          </w:p>
        </w:tc>
        <w:tc>
          <w:tcPr>
            <w:tcW w:w="5245" w:type="dxa"/>
            <w:vAlign w:val="center"/>
          </w:tcPr>
          <w:p>
            <w:pPr>
              <w:snapToGrid w:val="0"/>
              <w:spacing w:line="360" w:lineRule="exact"/>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kern w:val="2"/>
                <w:sz w:val="21"/>
                <w:szCs w:val="21"/>
                <w:lang w:val="zh-CN"/>
              </w:rPr>
              <w:t>只能有一个方案投标。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trPr>
        <w:tc>
          <w:tcPr>
            <w:tcW w:w="698" w:type="dxa"/>
            <w:vMerge w:val="continue"/>
            <w:vAlign w:val="center"/>
          </w:tcPr>
          <w:p>
            <w:pPr>
              <w:snapToGrid w:val="0"/>
              <w:spacing w:line="360" w:lineRule="exact"/>
              <w:jc w:val="center"/>
              <w:textAlignment w:val="auto"/>
              <w:rPr>
                <w:rFonts w:asciiTheme="minorEastAsia" w:hAnsiTheme="minorEastAsia" w:eastAsiaTheme="minorEastAsia" w:cstheme="minorEastAsia"/>
                <w:sz w:val="21"/>
                <w:szCs w:val="21"/>
              </w:rPr>
            </w:pPr>
          </w:p>
        </w:tc>
        <w:tc>
          <w:tcPr>
            <w:tcW w:w="1570" w:type="dxa"/>
            <w:vMerge w:val="continue"/>
            <w:vAlign w:val="center"/>
          </w:tcPr>
          <w:p>
            <w:pPr>
              <w:snapToGrid w:val="0"/>
              <w:spacing w:line="360" w:lineRule="exact"/>
              <w:jc w:val="center"/>
              <w:textAlignment w:val="auto"/>
              <w:rPr>
                <w:rFonts w:asciiTheme="minorEastAsia" w:hAnsiTheme="minorEastAsia" w:eastAsiaTheme="minorEastAsia" w:cstheme="minorEastAsia"/>
                <w:sz w:val="21"/>
                <w:szCs w:val="21"/>
              </w:rPr>
            </w:pPr>
          </w:p>
        </w:tc>
        <w:tc>
          <w:tcPr>
            <w:tcW w:w="1843" w:type="dxa"/>
            <w:vAlign w:val="center"/>
          </w:tcPr>
          <w:p>
            <w:pPr>
              <w:snapToGrid w:val="0"/>
              <w:spacing w:line="360" w:lineRule="exact"/>
              <w:jc w:val="center"/>
              <w:textAlignment w:val="auto"/>
              <w:rPr>
                <w:rFonts w:asciiTheme="minorEastAsia" w:hAnsiTheme="minorEastAsia" w:eastAsiaTheme="minorEastAsia" w:cstheme="minorEastAsia"/>
                <w:kern w:val="2"/>
                <w:sz w:val="21"/>
                <w:szCs w:val="21"/>
                <w:lang w:val="zh-CN"/>
              </w:rPr>
            </w:pPr>
            <w:r>
              <w:rPr>
                <w:rFonts w:hint="eastAsia" w:asciiTheme="minorEastAsia" w:hAnsiTheme="minorEastAsia" w:eastAsiaTheme="minorEastAsia" w:cstheme="minorEastAsia"/>
                <w:kern w:val="2"/>
                <w:sz w:val="21"/>
                <w:szCs w:val="21"/>
              </w:rPr>
              <w:t>报价唯一</w:t>
            </w:r>
          </w:p>
        </w:tc>
        <w:tc>
          <w:tcPr>
            <w:tcW w:w="5245" w:type="dxa"/>
            <w:vAlign w:val="center"/>
          </w:tcPr>
          <w:p>
            <w:pP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投标报价是固定价且唯一，无缺漏项，未提交选择性报价，且投标价未超过采购预算或最高限价。</w:t>
            </w:r>
          </w:p>
          <w:p>
            <w:pP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评标委员会认为投标人的报价明显低于其他通过符合性审查投标人的报价，有可能影响产品质量或者不能诚信履约的，投标人应能在评标现场合理的时间内作出合理的书面说明或提供相关证明材料；投标人不能证明其报价合理性的，评标委员会应当将其作为无效投标处理）</w:t>
            </w:r>
            <w:r>
              <w:rPr>
                <w:rFonts w:hint="eastAsia" w:asciiTheme="minorEastAsia" w:hAnsiTheme="minorEastAsia" w:eastAsiaTheme="minorEastAsia" w:cstheme="minorEastAsia"/>
                <w:b/>
                <w:bCs/>
                <w:sz w:val="21"/>
                <w:szCs w:val="21"/>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698" w:type="dxa"/>
            <w:vMerge w:val="continue"/>
            <w:vAlign w:val="center"/>
          </w:tcPr>
          <w:p>
            <w:pPr>
              <w:snapToGrid w:val="0"/>
              <w:spacing w:line="360" w:lineRule="exact"/>
              <w:jc w:val="center"/>
              <w:textAlignment w:val="auto"/>
              <w:rPr>
                <w:rFonts w:asciiTheme="minorEastAsia" w:hAnsiTheme="minorEastAsia" w:eastAsiaTheme="minorEastAsia" w:cstheme="minorEastAsia"/>
                <w:sz w:val="21"/>
                <w:szCs w:val="21"/>
              </w:rPr>
            </w:pPr>
          </w:p>
        </w:tc>
        <w:tc>
          <w:tcPr>
            <w:tcW w:w="1570" w:type="dxa"/>
            <w:vMerge w:val="continue"/>
            <w:vAlign w:val="center"/>
          </w:tcPr>
          <w:p>
            <w:pPr>
              <w:snapToGrid w:val="0"/>
              <w:spacing w:line="360" w:lineRule="exact"/>
              <w:jc w:val="center"/>
              <w:textAlignment w:val="auto"/>
              <w:rPr>
                <w:rFonts w:asciiTheme="minorEastAsia" w:hAnsiTheme="minorEastAsia" w:eastAsiaTheme="minorEastAsia" w:cstheme="minorEastAsia"/>
                <w:sz w:val="21"/>
                <w:szCs w:val="21"/>
              </w:rPr>
            </w:pPr>
          </w:p>
        </w:tc>
        <w:tc>
          <w:tcPr>
            <w:tcW w:w="1843" w:type="dxa"/>
            <w:vAlign w:val="center"/>
          </w:tcPr>
          <w:p>
            <w:pPr>
              <w:snapToGrid w:val="0"/>
              <w:spacing w:line="360" w:lineRule="exact"/>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其它</w:t>
            </w:r>
          </w:p>
        </w:tc>
        <w:tc>
          <w:tcPr>
            <w:tcW w:w="5245" w:type="dxa"/>
            <w:vAlign w:val="center"/>
          </w:tcPr>
          <w:p>
            <w:pPr>
              <w:snapToGrid w:val="0"/>
              <w:spacing w:line="360" w:lineRule="exact"/>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sz w:val="21"/>
                <w:szCs w:val="21"/>
              </w:rPr>
              <w:t>投标内容符合国家法律法规及政策文件的相关规定，且没有其它未实质性响应招标文件要求或重大负偏离（无效标情形）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698" w:type="dxa"/>
            <w:vMerge w:val="restart"/>
            <w:vAlign w:val="center"/>
          </w:tcPr>
          <w:p>
            <w:pPr>
              <w:snapToGrid w:val="0"/>
              <w:spacing w:line="360" w:lineRule="exact"/>
              <w:jc w:val="center"/>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p>
        </w:tc>
        <w:tc>
          <w:tcPr>
            <w:tcW w:w="1570" w:type="dxa"/>
            <w:vMerge w:val="restart"/>
            <w:vAlign w:val="center"/>
          </w:tcPr>
          <w:p>
            <w:pPr>
              <w:snapToGrid w:val="0"/>
              <w:spacing w:line="360" w:lineRule="exact"/>
              <w:jc w:val="center"/>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完整性审查</w:t>
            </w:r>
          </w:p>
        </w:tc>
        <w:tc>
          <w:tcPr>
            <w:tcW w:w="1843" w:type="dxa"/>
            <w:vAlign w:val="center"/>
          </w:tcPr>
          <w:p>
            <w:pPr>
              <w:snapToGrid w:val="0"/>
              <w:spacing w:line="360" w:lineRule="exact"/>
              <w:jc w:val="center"/>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kern w:val="2"/>
                <w:sz w:val="21"/>
                <w:szCs w:val="21"/>
                <w:lang w:val="zh-CN"/>
              </w:rPr>
              <w:t>投标文件份数</w:t>
            </w:r>
          </w:p>
        </w:tc>
        <w:tc>
          <w:tcPr>
            <w:tcW w:w="5245" w:type="dxa"/>
            <w:vAlign w:val="center"/>
          </w:tcPr>
          <w:p>
            <w:pPr>
              <w:snapToGrid w:val="0"/>
              <w:spacing w:line="360" w:lineRule="exact"/>
              <w:textAlignment w:val="auto"/>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kern w:val="2"/>
                <w:sz w:val="21"/>
                <w:szCs w:val="21"/>
                <w:lang w:val="zh-CN"/>
              </w:rPr>
              <w:t>投标文件正、副本数量符合招标文件要求</w:t>
            </w:r>
            <w:r>
              <w:rPr>
                <w:rFonts w:hint="eastAsia" w:asciiTheme="minorEastAsia" w:hAnsiTheme="minorEastAsia" w:eastAsiaTheme="minorEastAsia" w:cstheme="minor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698" w:type="dxa"/>
            <w:vMerge w:val="continue"/>
            <w:vAlign w:val="center"/>
          </w:tcPr>
          <w:p>
            <w:pPr>
              <w:snapToGrid w:val="0"/>
              <w:spacing w:line="360" w:lineRule="exact"/>
              <w:jc w:val="center"/>
              <w:textAlignment w:val="auto"/>
              <w:rPr>
                <w:rFonts w:asciiTheme="minorEastAsia" w:hAnsiTheme="minorEastAsia" w:eastAsiaTheme="minorEastAsia" w:cstheme="minorEastAsia"/>
              </w:rPr>
            </w:pPr>
          </w:p>
        </w:tc>
        <w:tc>
          <w:tcPr>
            <w:tcW w:w="1570" w:type="dxa"/>
            <w:vMerge w:val="continue"/>
            <w:vAlign w:val="center"/>
          </w:tcPr>
          <w:p>
            <w:pPr>
              <w:snapToGrid w:val="0"/>
              <w:spacing w:line="360" w:lineRule="exact"/>
              <w:jc w:val="center"/>
              <w:textAlignment w:val="auto"/>
              <w:rPr>
                <w:rFonts w:asciiTheme="minorEastAsia" w:hAnsiTheme="minorEastAsia" w:eastAsiaTheme="minorEastAsia" w:cstheme="minorEastAsia"/>
              </w:rPr>
            </w:pPr>
          </w:p>
        </w:tc>
        <w:tc>
          <w:tcPr>
            <w:tcW w:w="1843" w:type="dxa"/>
            <w:vAlign w:val="center"/>
          </w:tcPr>
          <w:p>
            <w:pPr>
              <w:snapToGrid w:val="0"/>
              <w:spacing w:line="360" w:lineRule="exact"/>
              <w:jc w:val="center"/>
              <w:textAlignment w:val="auto"/>
              <w:rPr>
                <w:rFonts w:asciiTheme="minorEastAsia" w:hAnsiTheme="minorEastAsia" w:eastAsiaTheme="minorEastAsia" w:cstheme="minorEastAsia"/>
                <w:kern w:val="2"/>
                <w:sz w:val="21"/>
                <w:szCs w:val="21"/>
                <w:lang w:val="zh-CN"/>
              </w:rPr>
            </w:pPr>
            <w:r>
              <w:rPr>
                <w:rFonts w:hint="eastAsia" w:asciiTheme="minorEastAsia" w:hAnsiTheme="minorEastAsia" w:eastAsiaTheme="minorEastAsia" w:cstheme="minorEastAsia"/>
                <w:sz w:val="21"/>
                <w:szCs w:val="21"/>
              </w:rPr>
              <w:t>投标文件内容</w:t>
            </w:r>
          </w:p>
        </w:tc>
        <w:tc>
          <w:tcPr>
            <w:tcW w:w="5245" w:type="dxa"/>
            <w:vAlign w:val="center"/>
          </w:tcPr>
          <w:p>
            <w:pPr>
              <w:snapToGrid w:val="0"/>
              <w:spacing w:line="360" w:lineRule="exact"/>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投标文件内容齐全、无遗漏。</w:t>
            </w:r>
          </w:p>
          <w:p>
            <w:pPr>
              <w:snapToGrid w:val="0"/>
              <w:spacing w:line="360" w:lineRule="exact"/>
              <w:textAlignment w:val="auto"/>
              <w:rPr>
                <w:rFonts w:asciiTheme="minorEastAsia" w:hAnsiTheme="minorEastAsia" w:eastAsiaTheme="minorEastAsia" w:cstheme="minorEastAsia"/>
                <w:kern w:val="2"/>
                <w:sz w:val="21"/>
                <w:szCs w:val="21"/>
                <w:lang w:val="zh-CN"/>
              </w:rPr>
            </w:pPr>
            <w:r>
              <w:rPr>
                <w:rFonts w:hint="eastAsia" w:asciiTheme="minorEastAsia" w:hAnsiTheme="minorEastAsia" w:eastAsiaTheme="minorEastAsia" w:cstheme="minorEastAsia"/>
                <w:kern w:val="2"/>
                <w:sz w:val="21"/>
                <w:szCs w:val="21"/>
                <w:lang w:val="zh-CN"/>
              </w:rPr>
              <w:t>投标文件完整，内容无重大错漏，并按要求签署、盖章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698" w:type="dxa"/>
            <w:vMerge w:val="restart"/>
            <w:vAlign w:val="center"/>
          </w:tcPr>
          <w:p>
            <w:pPr>
              <w:snapToGrid w:val="0"/>
              <w:spacing w:line="360" w:lineRule="exact"/>
              <w:jc w:val="center"/>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1570" w:type="dxa"/>
            <w:vAlign w:val="center"/>
          </w:tcPr>
          <w:p>
            <w:pPr>
              <w:spacing w:line="240" w:lineRule="exact"/>
              <w:jc w:val="center"/>
              <w:rPr>
                <w:rFonts w:asciiTheme="minorEastAsia" w:hAnsiTheme="minorEastAsia" w:eastAsiaTheme="minorEastAsia" w:cstheme="minorEastAsia"/>
                <w:kern w:val="2"/>
                <w:sz w:val="21"/>
                <w:szCs w:val="21"/>
                <w:lang w:val="zh-CN"/>
              </w:rPr>
            </w:pPr>
            <w:r>
              <w:rPr>
                <w:rFonts w:hint="eastAsia" w:asciiTheme="minorEastAsia" w:hAnsiTheme="minorEastAsia" w:eastAsiaTheme="minorEastAsia" w:cstheme="minorEastAsia"/>
                <w:sz w:val="21"/>
                <w:szCs w:val="21"/>
              </w:rPr>
              <w:t>技术部分</w:t>
            </w:r>
          </w:p>
        </w:tc>
        <w:tc>
          <w:tcPr>
            <w:tcW w:w="1843" w:type="dxa"/>
            <w:vAlign w:val="center"/>
          </w:tcPr>
          <w:p>
            <w:pPr>
              <w:spacing w:line="2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投标文件内容</w:t>
            </w:r>
          </w:p>
        </w:tc>
        <w:tc>
          <w:tcPr>
            <w:tcW w:w="5245" w:type="dxa"/>
            <w:vAlign w:val="center"/>
          </w:tcPr>
          <w:p>
            <w:pPr>
              <w:pStyle w:val="7"/>
              <w:jc w:val="both"/>
              <w:rPr>
                <w:rFonts w:asciiTheme="minorEastAsia" w:hAnsiTheme="minorEastAsia" w:eastAsiaTheme="minorEastAsia" w:cstheme="minorEastAsia"/>
                <w:sz w:val="21"/>
                <w:szCs w:val="21"/>
              </w:rPr>
            </w:pPr>
            <w:r>
              <w:rPr>
                <w:rFonts w:hint="eastAsia" w:ascii="andale mono" w:hAnsi="andale mono" w:cs="andale mono"/>
                <w:b/>
                <w:sz w:val="21"/>
                <w:szCs w:val="21"/>
              </w:rPr>
              <w:t>对第二篇规定的内容作出响应，</w:t>
            </w:r>
            <w:r>
              <w:rPr>
                <w:rFonts w:hint="eastAsia" w:ascii="宋体" w:hAnsi="宋体" w:cs="宋体"/>
                <w:b/>
                <w:bCs/>
                <w:sz w:val="21"/>
                <w:szCs w:val="21"/>
              </w:rPr>
              <w:t>实质性要求不可负偏离，否则为无效标；</w:t>
            </w:r>
            <w:r>
              <w:rPr>
                <w:rFonts w:hint="eastAsia" w:ascii="andale mono" w:hAnsi="andale mono" w:cs="andale mono"/>
                <w:b/>
                <w:sz w:val="21"/>
                <w:szCs w:val="21"/>
              </w:rPr>
              <w:t>若投标人“技术部分”得分为</w:t>
            </w:r>
            <w:r>
              <w:rPr>
                <w:rFonts w:hint="eastAsia" w:ascii="宋体" w:hAnsi="宋体" w:cs="宋体"/>
                <w:b/>
                <w:bCs/>
                <w:sz w:val="21"/>
                <w:szCs w:val="21"/>
              </w:rPr>
              <w:t>0</w:t>
            </w:r>
            <w:r>
              <w:rPr>
                <w:rFonts w:hint="eastAsia" w:ascii="andale mono" w:hAnsi="andale mono" w:cs="andale mono"/>
                <w:b/>
                <w:sz w:val="21"/>
                <w:szCs w:val="21"/>
              </w:rPr>
              <w:t>分，则其投标无效。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698" w:type="dxa"/>
            <w:vMerge w:val="continue"/>
            <w:vAlign w:val="center"/>
          </w:tcPr>
          <w:p>
            <w:pPr>
              <w:snapToGrid w:val="0"/>
              <w:spacing w:line="360" w:lineRule="exact"/>
              <w:jc w:val="center"/>
              <w:textAlignment w:val="auto"/>
              <w:rPr>
                <w:rFonts w:asciiTheme="minorEastAsia" w:hAnsiTheme="minorEastAsia" w:eastAsiaTheme="minorEastAsia" w:cstheme="minorEastAsia"/>
                <w:sz w:val="21"/>
                <w:szCs w:val="21"/>
              </w:rPr>
            </w:pPr>
          </w:p>
        </w:tc>
        <w:tc>
          <w:tcPr>
            <w:tcW w:w="1570" w:type="dxa"/>
            <w:vAlign w:val="center"/>
          </w:tcPr>
          <w:p>
            <w:pPr>
              <w:spacing w:line="2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商务部分</w:t>
            </w:r>
          </w:p>
        </w:tc>
        <w:tc>
          <w:tcPr>
            <w:tcW w:w="1843" w:type="dxa"/>
            <w:vAlign w:val="center"/>
          </w:tcPr>
          <w:p>
            <w:pPr>
              <w:spacing w:line="2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投标文件内容</w:t>
            </w:r>
          </w:p>
        </w:tc>
        <w:tc>
          <w:tcPr>
            <w:tcW w:w="5245" w:type="dxa"/>
            <w:vAlign w:val="center"/>
          </w:tcPr>
          <w:p>
            <w:pPr>
              <w:snapToGrid w:val="0"/>
              <w:spacing w:line="360" w:lineRule="exact"/>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sz w:val="21"/>
                <w:szCs w:val="21"/>
              </w:rPr>
              <w:t>对第三篇、第六篇规定的内容作出响应，</w:t>
            </w:r>
            <w:r>
              <w:rPr>
                <w:rFonts w:hint="eastAsia" w:asciiTheme="minorEastAsia" w:hAnsiTheme="minorEastAsia" w:eastAsiaTheme="minorEastAsia" w:cstheme="minorEastAsia"/>
                <w:b/>
                <w:bCs/>
                <w:sz w:val="21"/>
                <w:szCs w:val="21"/>
              </w:rPr>
              <w:t>其中“</w:t>
            </w:r>
            <w:r>
              <w:rPr>
                <w:rFonts w:hint="eastAsia" w:asciiTheme="minorEastAsia" w:hAnsiTheme="minorEastAsia" w:eastAsiaTheme="minorEastAsia" w:cstheme="minorEastAsia"/>
                <w:b/>
                <w:bCs/>
                <w:kern w:val="24"/>
              </w:rPr>
              <w:t>*</w:t>
            </w:r>
            <w:r>
              <w:rPr>
                <w:rFonts w:hint="eastAsia" w:asciiTheme="minorEastAsia" w:hAnsiTheme="minorEastAsia" w:eastAsiaTheme="minorEastAsia" w:cstheme="minorEastAsia"/>
                <w:b/>
                <w:bCs/>
                <w:sz w:val="21"/>
                <w:szCs w:val="21"/>
              </w:rPr>
              <w:t>”标注条款为实质性要求，一条不满足的，为无效标。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698" w:type="dxa"/>
            <w:vMerge w:val="continue"/>
            <w:vAlign w:val="center"/>
          </w:tcPr>
          <w:p>
            <w:pPr>
              <w:snapToGrid w:val="0"/>
              <w:spacing w:line="360" w:lineRule="exact"/>
              <w:jc w:val="center"/>
              <w:textAlignment w:val="auto"/>
              <w:rPr>
                <w:rFonts w:asciiTheme="minorEastAsia" w:hAnsiTheme="minorEastAsia" w:eastAsiaTheme="minorEastAsia" w:cstheme="minorEastAsia"/>
                <w:sz w:val="21"/>
                <w:szCs w:val="21"/>
              </w:rPr>
            </w:pPr>
          </w:p>
        </w:tc>
        <w:tc>
          <w:tcPr>
            <w:tcW w:w="1570" w:type="dxa"/>
            <w:vAlign w:val="center"/>
          </w:tcPr>
          <w:p>
            <w:pPr>
              <w:snapToGrid w:val="0"/>
              <w:spacing w:line="360" w:lineRule="exact"/>
              <w:jc w:val="center"/>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投标有效期</w:t>
            </w:r>
          </w:p>
        </w:tc>
        <w:tc>
          <w:tcPr>
            <w:tcW w:w="1843" w:type="dxa"/>
            <w:vAlign w:val="center"/>
          </w:tcPr>
          <w:p>
            <w:pPr>
              <w:snapToGrid w:val="0"/>
              <w:spacing w:line="360" w:lineRule="exact"/>
              <w:jc w:val="center"/>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投标文件内容</w:t>
            </w:r>
          </w:p>
        </w:tc>
        <w:tc>
          <w:tcPr>
            <w:tcW w:w="5245" w:type="dxa"/>
            <w:vAlign w:val="center"/>
          </w:tcPr>
          <w:p>
            <w:pPr>
              <w:snapToGrid w:val="0"/>
              <w:spacing w:line="360" w:lineRule="exact"/>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kern w:val="2"/>
                <w:sz w:val="21"/>
                <w:szCs w:val="21"/>
              </w:rPr>
              <w:t>投标有效期为投标截止日期后90日历天。</w:t>
            </w:r>
          </w:p>
        </w:tc>
      </w:tr>
    </w:tbl>
    <w:p>
      <w:pPr>
        <w:snapToGrid w:val="0"/>
        <w:spacing w:line="360" w:lineRule="exact"/>
        <w:ind w:firstLine="480"/>
        <w:jc w:val="both"/>
        <w:textAlignment w:val="auto"/>
        <w:rPr>
          <w:rFonts w:asciiTheme="minorEastAsia" w:hAnsiTheme="minorEastAsia" w:eastAsiaTheme="minorEastAsia" w:cstheme="minorEastAsia"/>
          <w:sz w:val="21"/>
          <w:szCs w:val="21"/>
        </w:rPr>
      </w:pPr>
      <w:bookmarkStart w:id="82" w:name="OLE_LINK53"/>
      <w:bookmarkStart w:id="83" w:name="OLE_LINK52"/>
      <w:bookmarkStart w:id="84" w:name="OLE_LINK44"/>
      <w:bookmarkStart w:id="85" w:name="OLE_LINK43"/>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根据符合性审查的情况，符合性审查合格的投标文件才参与评标，符合性审查合格投标人不足3家的，不得再进行评标。本项目不符合法定废标情形的前提下，评标委员会进入第二阶段评标工作：对技术、商务及价格的详细评审。</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①评标委员会各成员按招标文件规定的标准和方法独立对每个有效投标人的投标文件进行评价、打分，然后由评审组长组织对各成员打分情况进行核查及复核，个别成员对同一投标人同一评分项的打分偏离较大的，应对投标人的投标文件进行再次核对，确属打分有误的，应及时进行修正。</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②复核后，评审组长汇总计算每个投标人的得分。</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③推荐中标候选人名单。按评审后得分由高到低的排列顺序推荐综合得分排名前三的投标人为本分包（项目）中标候选人，排名第一的为第一中标候选人。若综合得分相同的，按投标报价由低到高顺序排列；若综合得分且投标报价相同的，按技术部分优劣顺序排列；若综合得分、投标报价、技术部分均相同的，按商务部分的优劣顺序排列，如综合得分、投标报价、技术部分及商务条款均相同则并列。</w:t>
      </w:r>
    </w:p>
    <w:p>
      <w:pPr>
        <w:autoSpaceDE w:val="0"/>
        <w:autoSpaceDN w:val="0"/>
        <w:spacing w:line="36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在确定顺序过程中，若多家投标人提供的</w:t>
      </w:r>
      <w:r>
        <w:rPr>
          <w:rFonts w:hint="eastAsia" w:asciiTheme="minorEastAsia" w:hAnsiTheme="minorEastAsia" w:eastAsiaTheme="minorEastAsia" w:cstheme="minorEastAsia"/>
          <w:b/>
          <w:sz w:val="21"/>
          <w:szCs w:val="21"/>
        </w:rPr>
        <w:t>核心产品（超导磁体）</w:t>
      </w:r>
      <w:r>
        <w:rPr>
          <w:rFonts w:hint="eastAsia" w:asciiTheme="minorEastAsia" w:hAnsiTheme="minorEastAsia" w:eastAsiaTheme="minorEastAsia" w:cstheme="minorEastAsia"/>
          <w:sz w:val="21"/>
          <w:szCs w:val="21"/>
        </w:rPr>
        <w:t>品牌相同且均通过资格审查和符合性审查的，按一家投标人计算，评审后得分最高的投标人将获得中标人推荐资格；评审得分相同的，将技术最优者确定为中标人推荐资格获得者；评审得分和技术均相同的，将报价最低者确定为中标人推荐资格获得者；评审得分和技术、报价均相同的，将商务条款最优者确定为中标人推荐资格获得者；评标总得分、技术分、价格和商务均相同的，由评标委员会讨论后按照少数服从多数原则确定中标人推荐资格获得者，其余提供相同品牌产品的投标人不作为中标候选人。</w:t>
      </w:r>
    </w:p>
    <w:p>
      <w:pPr>
        <w:spacing w:line="360" w:lineRule="exact"/>
        <w:ind w:firstLine="531" w:firstLineChars="253"/>
        <w:rPr>
          <w:rFonts w:asciiTheme="minorEastAsia" w:hAnsiTheme="minorEastAsia" w:eastAsiaTheme="minorEastAsia" w:cstheme="minorEastAsia"/>
        </w:rPr>
      </w:pPr>
      <w:r>
        <w:rPr>
          <w:rFonts w:hint="eastAsia" w:asciiTheme="minorEastAsia" w:hAnsiTheme="minorEastAsia" w:eastAsiaTheme="minorEastAsia" w:cstheme="minorEastAsia"/>
          <w:sz w:val="21"/>
          <w:szCs w:val="21"/>
        </w:rPr>
        <w:t>3．评标委员会写出评标报告，将推荐的中标候选人报招标人确认。</w:t>
      </w:r>
      <w:bookmarkEnd w:id="82"/>
      <w:bookmarkEnd w:id="83"/>
      <w:bookmarkEnd w:id="84"/>
      <w:bookmarkEnd w:id="85"/>
    </w:p>
    <w:p>
      <w:pPr>
        <w:tabs>
          <w:tab w:val="left" w:pos="2370"/>
        </w:tabs>
        <w:snapToGrid w:val="0"/>
        <w:spacing w:before="120" w:beforeLines="50" w:line="360" w:lineRule="auto"/>
        <w:ind w:firstLine="422" w:firstLineChars="200"/>
        <w:rPr>
          <w:rFonts w:asciiTheme="minorEastAsia" w:hAnsiTheme="minorEastAsia" w:eastAsiaTheme="minorEastAsia" w:cstheme="minorEastAsia"/>
          <w:b/>
          <w:sz w:val="21"/>
          <w:szCs w:val="21"/>
        </w:rPr>
      </w:pPr>
    </w:p>
    <w:p>
      <w:pPr>
        <w:tabs>
          <w:tab w:val="left" w:pos="2370"/>
        </w:tabs>
        <w:snapToGrid w:val="0"/>
        <w:spacing w:before="120" w:beforeLines="50" w:line="360" w:lineRule="auto"/>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三、评标标准</w:t>
      </w:r>
    </w:p>
    <w:tbl>
      <w:tblPr>
        <w:tblStyle w:val="24"/>
        <w:tblW w:w="10024" w:type="dxa"/>
        <w:jc w:val="center"/>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3"/>
        <w:gridCol w:w="992"/>
        <w:gridCol w:w="851"/>
        <w:gridCol w:w="4830"/>
        <w:gridCol w:w="2888"/>
      </w:tblGrid>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463" w:type="dxa"/>
            <w:tcBorders>
              <w:left w:val="single" w:color="auto" w:sz="4" w:space="0"/>
            </w:tcBorders>
            <w:vAlign w:val="center"/>
          </w:tcPr>
          <w:p>
            <w:pPr>
              <w:spacing w:line="320" w:lineRule="exact"/>
              <w:ind w:firstLine="28"/>
              <w:jc w:val="center"/>
              <w:rPr>
                <w:rFonts w:asciiTheme="minorEastAsia" w:hAnsiTheme="minorEastAsia" w:eastAsiaTheme="minorEastAsia" w:cstheme="minorEastAsia"/>
                <w:sz w:val="18"/>
                <w:szCs w:val="18"/>
              </w:rPr>
            </w:pPr>
            <w:bookmarkStart w:id="86" w:name="_Hlk139574951"/>
            <w:r>
              <w:rPr>
                <w:rFonts w:hint="eastAsia" w:asciiTheme="minorEastAsia" w:hAnsiTheme="minorEastAsia" w:eastAsiaTheme="minorEastAsia" w:cstheme="minorEastAsia"/>
                <w:sz w:val="18"/>
                <w:szCs w:val="18"/>
              </w:rPr>
              <w:t>序号</w:t>
            </w:r>
          </w:p>
        </w:tc>
        <w:tc>
          <w:tcPr>
            <w:tcW w:w="992" w:type="dxa"/>
            <w:vAlign w:val="center"/>
          </w:tcPr>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评分因素</w:t>
            </w:r>
          </w:p>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及权重</w:t>
            </w:r>
          </w:p>
        </w:tc>
        <w:tc>
          <w:tcPr>
            <w:tcW w:w="851" w:type="dxa"/>
            <w:vAlign w:val="center"/>
          </w:tcPr>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分值</w:t>
            </w:r>
          </w:p>
        </w:tc>
        <w:tc>
          <w:tcPr>
            <w:tcW w:w="4830" w:type="dxa"/>
            <w:vAlign w:val="center"/>
          </w:tcPr>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评分标准</w:t>
            </w:r>
          </w:p>
        </w:tc>
        <w:tc>
          <w:tcPr>
            <w:tcW w:w="2888" w:type="dxa"/>
            <w:vAlign w:val="center"/>
          </w:tcPr>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说明</w:t>
            </w:r>
          </w:p>
        </w:tc>
      </w:tr>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463" w:type="dxa"/>
            <w:tcBorders>
              <w:left w:val="single" w:color="auto" w:sz="4" w:space="0"/>
            </w:tcBorders>
            <w:vAlign w:val="center"/>
          </w:tcPr>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21"/>
                <w:szCs w:val="21"/>
              </w:rPr>
              <w:t>1</w:t>
            </w:r>
          </w:p>
        </w:tc>
        <w:tc>
          <w:tcPr>
            <w:tcW w:w="992" w:type="dxa"/>
            <w:vAlign w:val="center"/>
          </w:tcPr>
          <w:p>
            <w:pPr>
              <w:spacing w:line="320" w:lineRule="exact"/>
              <w:ind w:firstLine="28"/>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报价</w:t>
            </w:r>
          </w:p>
          <w:p>
            <w:pPr>
              <w:spacing w:line="320" w:lineRule="exact"/>
              <w:ind w:firstLine="28"/>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（40%）</w:t>
            </w:r>
          </w:p>
        </w:tc>
        <w:tc>
          <w:tcPr>
            <w:tcW w:w="851" w:type="dxa"/>
            <w:vAlign w:val="center"/>
          </w:tcPr>
          <w:p>
            <w:pPr>
              <w:spacing w:line="320" w:lineRule="exact"/>
              <w:ind w:firstLine="28"/>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40</w:t>
            </w:r>
          </w:p>
        </w:tc>
        <w:tc>
          <w:tcPr>
            <w:tcW w:w="4830" w:type="dxa"/>
            <w:vAlign w:val="center"/>
          </w:tcPr>
          <w:p>
            <w:pPr>
              <w:spacing w:line="400" w:lineRule="exact"/>
              <w:ind w:firstLine="240" w:firstLineChars="100"/>
              <w:rPr>
                <w:rFonts w:asciiTheme="minorEastAsia" w:hAnsiTheme="minorEastAsia" w:cstheme="minorEastAsia"/>
                <w:sz w:val="21"/>
                <w:szCs w:val="21"/>
              </w:rPr>
            </w:pPr>
            <w:r>
              <w:rPr>
                <w:rFonts w:hint="eastAsia" w:asciiTheme="minorEastAsia" w:hAnsiTheme="minorEastAsia" w:cstheme="minorEastAsia"/>
                <w:szCs w:val="21"/>
              </w:rPr>
              <w:t xml:space="preserve"> </w:t>
            </w:r>
            <w:r>
              <w:rPr>
                <w:rFonts w:hint="eastAsia" w:asciiTheme="minorEastAsia" w:hAnsiTheme="minorEastAsia" w:cstheme="minorEastAsia"/>
                <w:sz w:val="21"/>
                <w:szCs w:val="21"/>
              </w:rPr>
              <w:t>报价得分＝（评标基准价/投标报价）×价格权值×100</w:t>
            </w:r>
          </w:p>
          <w:p>
            <w:pPr>
              <w:spacing w:line="400" w:lineRule="exact"/>
              <w:ind w:firstLine="210" w:firstLineChars="100"/>
              <w:rPr>
                <w:rFonts w:asciiTheme="minorEastAsia" w:hAnsiTheme="minorEastAsia" w:cstheme="minorEastAsia"/>
                <w:sz w:val="21"/>
                <w:szCs w:val="21"/>
              </w:rPr>
            </w:pPr>
            <w:r>
              <w:rPr>
                <w:rFonts w:hint="eastAsia" w:asciiTheme="minorEastAsia" w:hAnsiTheme="minorEastAsia" w:cstheme="minorEastAsia"/>
                <w:sz w:val="21"/>
                <w:szCs w:val="21"/>
              </w:rPr>
              <w:t>注：1.满足招标文件实质要求且最低的投标报价为评标基准价。</w:t>
            </w:r>
          </w:p>
          <w:p>
            <w:pPr>
              <w:spacing w:line="400" w:lineRule="exact"/>
              <w:ind w:firstLine="445" w:firstLineChars="212"/>
              <w:rPr>
                <w:rFonts w:asciiTheme="minorEastAsia" w:hAnsiTheme="minorEastAsia" w:cstheme="minorEastAsia"/>
                <w:sz w:val="21"/>
                <w:szCs w:val="21"/>
              </w:rPr>
            </w:pPr>
            <w:r>
              <w:rPr>
                <w:rFonts w:hint="eastAsia" w:asciiTheme="minorEastAsia" w:hAnsiTheme="minorEastAsia" w:cstheme="minorEastAsia"/>
                <w:sz w:val="21"/>
                <w:szCs w:val="21"/>
              </w:rPr>
              <w:t>2.关境外货物的评审价格，均按货物到达西南大学的人民币价格进行评审。CIP西南大学项目现场外币价/DAP西南大学项目现场外币价/DDP西南大学项目现场价格外币价，将分别按照开标当日中国银行总行首次发布的外币对人民币现钞卖出价的</w:t>
            </w:r>
            <w:r>
              <w:rPr>
                <w:rFonts w:hint="eastAsia" w:asciiTheme="minorEastAsia" w:hAnsiTheme="minorEastAsia" w:cstheme="minorEastAsia"/>
                <w:b/>
                <w:bCs/>
                <w:sz w:val="21"/>
                <w:szCs w:val="21"/>
              </w:rPr>
              <w:t>101.5%/101.3%</w:t>
            </w:r>
            <w:r>
              <w:rPr>
                <w:rFonts w:hint="eastAsia" w:asciiTheme="minorEastAsia" w:hAnsiTheme="minorEastAsia" w:cstheme="minorEastAsia"/>
                <w:sz w:val="21"/>
                <w:szCs w:val="21"/>
              </w:rPr>
              <w:t>/100%进行测算（若所投币种为人民币，则直接按上述对应系数进行折算）。</w:t>
            </w:r>
          </w:p>
          <w:p>
            <w:pPr>
              <w:spacing w:line="400" w:lineRule="exact"/>
              <w:ind w:firstLine="445" w:firstLineChars="212"/>
              <w:rPr>
                <w:rFonts w:asciiTheme="minorEastAsia" w:hAnsiTheme="minorEastAsia" w:eastAsiaTheme="minorEastAsia" w:cstheme="minorEastAsia"/>
                <w:sz w:val="18"/>
                <w:szCs w:val="18"/>
              </w:rPr>
            </w:pPr>
            <w:r>
              <w:rPr>
                <w:rFonts w:hint="eastAsia" w:asciiTheme="minorEastAsia" w:hAnsiTheme="minorEastAsia" w:cstheme="minorEastAsia"/>
                <w:sz w:val="21"/>
                <w:szCs w:val="21"/>
              </w:rPr>
              <w:t>3. 本项目非专门面向中小企业采购项目。根据财政部、工业和信息化部制定的《政府采购促进中小企业发展暂行办法》，如投标货物均为小型或微型企业制造的产品（须提供《中小企业声明函》），可在上述价格评分中，对投标价格给予</w:t>
            </w:r>
            <w:r>
              <w:rPr>
                <w:rFonts w:hint="eastAsia" w:asciiTheme="minorEastAsia" w:hAnsiTheme="minorEastAsia" w:cstheme="minorEastAsia"/>
                <w:b/>
                <w:bCs/>
                <w:sz w:val="21"/>
                <w:szCs w:val="21"/>
              </w:rPr>
              <w:t>10%</w:t>
            </w:r>
            <w:r>
              <w:rPr>
                <w:rFonts w:hint="eastAsia" w:asciiTheme="minorEastAsia" w:hAnsiTheme="minorEastAsia" w:cstheme="minorEastAsia"/>
                <w:sz w:val="21"/>
                <w:szCs w:val="21"/>
              </w:rPr>
              <w:t>的扣除，并用扣除后的价格计算价格得分</w:t>
            </w:r>
            <w:r>
              <w:rPr>
                <w:rFonts w:hint="eastAsia" w:asciiTheme="minorEastAsia" w:hAnsiTheme="minorEastAsia" w:eastAsiaTheme="minorEastAsia" w:cstheme="minorEastAsia"/>
                <w:sz w:val="21"/>
                <w:szCs w:val="21"/>
              </w:rPr>
              <w:t>。</w:t>
            </w:r>
          </w:p>
        </w:tc>
        <w:tc>
          <w:tcPr>
            <w:tcW w:w="2888" w:type="dxa"/>
            <w:vAlign w:val="center"/>
          </w:tcPr>
          <w:p>
            <w:pPr>
              <w:spacing w:line="400" w:lineRule="exact"/>
              <w:ind w:firstLine="381" w:firstLineChars="212"/>
              <w:rPr>
                <w:rFonts w:asciiTheme="minorEastAsia" w:hAnsiTheme="minorEastAsia" w:eastAsiaTheme="minorEastAsia" w:cstheme="minorEastAsia"/>
                <w:sz w:val="18"/>
                <w:szCs w:val="18"/>
              </w:rPr>
            </w:pPr>
          </w:p>
        </w:tc>
      </w:tr>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2" w:hRule="atLeast"/>
          <w:jc w:val="center"/>
        </w:trPr>
        <w:tc>
          <w:tcPr>
            <w:tcW w:w="463" w:type="dxa"/>
            <w:vMerge w:val="restart"/>
            <w:tcBorders>
              <w:left w:val="single" w:color="auto" w:sz="4" w:space="0"/>
            </w:tcBorders>
            <w:vAlign w:val="center"/>
          </w:tcPr>
          <w:p>
            <w:pPr>
              <w:spacing w:line="320" w:lineRule="exact"/>
              <w:ind w:firstLine="28"/>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p>
        </w:tc>
        <w:tc>
          <w:tcPr>
            <w:tcW w:w="992" w:type="dxa"/>
            <w:vMerge w:val="restart"/>
            <w:vAlign w:val="center"/>
          </w:tcPr>
          <w:p>
            <w:pPr>
              <w:spacing w:line="320" w:lineRule="exact"/>
              <w:ind w:firstLine="28"/>
              <w:jc w:val="center"/>
              <w:rPr>
                <w:rFonts w:asciiTheme="minorEastAsia" w:hAnsiTheme="minorEastAsia" w:eastAsiaTheme="minorEastAsia" w:cstheme="minorEastAsia"/>
                <w:sz w:val="21"/>
                <w:szCs w:val="21"/>
              </w:rPr>
            </w:pPr>
          </w:p>
          <w:p>
            <w:pPr>
              <w:spacing w:line="320" w:lineRule="exact"/>
              <w:ind w:firstLine="28"/>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技术部分</w:t>
            </w:r>
          </w:p>
          <w:p>
            <w:pPr>
              <w:spacing w:line="320" w:lineRule="exact"/>
              <w:ind w:firstLine="28"/>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（55%）</w:t>
            </w:r>
          </w:p>
          <w:p>
            <w:pPr>
              <w:spacing w:line="320" w:lineRule="exact"/>
              <w:ind w:firstLine="28"/>
              <w:jc w:val="center"/>
              <w:rPr>
                <w:rFonts w:asciiTheme="minorEastAsia" w:hAnsiTheme="minorEastAsia" w:eastAsiaTheme="minorEastAsia" w:cstheme="minorEastAsia"/>
                <w:sz w:val="21"/>
                <w:szCs w:val="21"/>
              </w:rPr>
            </w:pPr>
          </w:p>
          <w:p>
            <w:pPr>
              <w:spacing w:line="320" w:lineRule="exact"/>
              <w:ind w:firstLine="28"/>
              <w:jc w:val="center"/>
              <w:rPr>
                <w:rFonts w:asciiTheme="minorEastAsia" w:hAnsiTheme="minorEastAsia" w:eastAsiaTheme="minorEastAsia" w:cstheme="minorEastAsia"/>
                <w:sz w:val="21"/>
                <w:szCs w:val="21"/>
              </w:rPr>
            </w:pPr>
          </w:p>
          <w:p>
            <w:pPr>
              <w:spacing w:line="320" w:lineRule="exact"/>
              <w:ind w:firstLine="28"/>
              <w:jc w:val="center"/>
              <w:rPr>
                <w:rFonts w:asciiTheme="minorEastAsia" w:hAnsiTheme="minorEastAsia" w:eastAsiaTheme="minorEastAsia" w:cstheme="minorEastAsia"/>
                <w:sz w:val="21"/>
                <w:szCs w:val="21"/>
              </w:rPr>
            </w:pPr>
          </w:p>
          <w:p>
            <w:pPr>
              <w:spacing w:line="320" w:lineRule="exact"/>
              <w:ind w:firstLine="28"/>
              <w:jc w:val="center"/>
              <w:rPr>
                <w:rFonts w:asciiTheme="minorEastAsia" w:hAnsiTheme="minorEastAsia" w:eastAsiaTheme="minorEastAsia" w:cstheme="minorEastAsia"/>
                <w:sz w:val="21"/>
                <w:szCs w:val="21"/>
              </w:rPr>
            </w:pPr>
          </w:p>
          <w:p>
            <w:pPr>
              <w:pStyle w:val="2"/>
              <w:rPr>
                <w:sz w:val="21"/>
                <w:szCs w:val="21"/>
              </w:rPr>
            </w:pPr>
          </w:p>
        </w:tc>
        <w:tc>
          <w:tcPr>
            <w:tcW w:w="851" w:type="dxa"/>
            <w:vMerge w:val="restart"/>
            <w:vAlign w:val="center"/>
          </w:tcPr>
          <w:p>
            <w:pPr>
              <w:spacing w:line="320" w:lineRule="exact"/>
              <w:ind w:firstLine="28"/>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55</w:t>
            </w:r>
          </w:p>
        </w:tc>
        <w:tc>
          <w:tcPr>
            <w:tcW w:w="4830" w:type="dxa"/>
            <w:vAlign w:val="center"/>
          </w:tcPr>
          <w:p>
            <w:pPr>
              <w:pStyle w:val="31"/>
              <w:spacing w:line="400" w:lineRule="exact"/>
              <w:ind w:left="28"/>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1.技术指标评审基准分为</w:t>
            </w:r>
            <w:r>
              <w:rPr>
                <w:rFonts w:hint="eastAsia" w:asciiTheme="minorEastAsia" w:hAnsiTheme="minorEastAsia" w:eastAsiaTheme="minorEastAsia" w:cstheme="minorEastAsia"/>
                <w:b/>
                <w:bCs/>
                <w:szCs w:val="21"/>
              </w:rPr>
              <w:t>55分</w:t>
            </w:r>
            <w:r>
              <w:rPr>
                <w:rFonts w:hint="eastAsia" w:asciiTheme="minorEastAsia" w:hAnsiTheme="minorEastAsia" w:eastAsiaTheme="minorEastAsia" w:cstheme="minorEastAsia"/>
                <w:szCs w:val="21"/>
              </w:rPr>
              <w:t>，评委根据技术指标的偏离情况按以下标准进行评审。</w:t>
            </w:r>
          </w:p>
          <w:p>
            <w:pPr>
              <w:pStyle w:val="31"/>
              <w:spacing w:line="400" w:lineRule="exact"/>
              <w:ind w:left="28" w:firstLine="422"/>
              <w:jc w:val="left"/>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2. 扣分条款</w:t>
            </w:r>
          </w:p>
          <w:p>
            <w:pPr>
              <w:ind w:firstLine="420" w:firstLineChars="200"/>
              <w:rPr>
                <w:rFonts w:asciiTheme="minorEastAsia" w:hAnsiTheme="minorEastAsia" w:cstheme="minorEastAsia"/>
                <w:sz w:val="21"/>
                <w:szCs w:val="21"/>
              </w:rPr>
            </w:pPr>
            <w:r>
              <w:rPr>
                <w:rFonts w:hint="eastAsia" w:ascii="宋体" w:hAnsi="宋体" w:cs="宋体"/>
                <w:sz w:val="21"/>
                <w:szCs w:val="21"/>
              </w:rPr>
              <w:t xml:space="preserve"> </w:t>
            </w:r>
            <w:r>
              <w:rPr>
                <w:rFonts w:hint="eastAsia" w:asciiTheme="minorEastAsia" w:hAnsiTheme="minorEastAsia" w:cstheme="minorEastAsia"/>
                <w:sz w:val="21"/>
                <w:szCs w:val="21"/>
              </w:rPr>
              <w:t>2.1关键技术指标【本招标文件“第二篇 采购需求 三.具体技术要求”中“★”标注指标】达不到招标文件要求的，负偏离1条及以上，技术部分得0分；</w:t>
            </w:r>
          </w:p>
          <w:p>
            <w:pPr>
              <w:ind w:firstLine="420" w:firstLineChars="200"/>
              <w:rPr>
                <w:rFonts w:ascii="宋体" w:hAnsi="宋体"/>
                <w:sz w:val="21"/>
                <w:szCs w:val="21"/>
              </w:rPr>
            </w:pPr>
            <w:r>
              <w:rPr>
                <w:rFonts w:hint="eastAsia" w:ascii="宋体" w:hAnsi="宋体"/>
                <w:sz w:val="21"/>
                <w:szCs w:val="21"/>
              </w:rPr>
              <w:t>2.2重要技术参数【本招标文件“</w:t>
            </w:r>
            <w:r>
              <w:rPr>
                <w:rFonts w:hint="eastAsia" w:asciiTheme="minorEastAsia" w:hAnsiTheme="minorEastAsia" w:cstheme="minorEastAsia"/>
                <w:sz w:val="21"/>
                <w:szCs w:val="21"/>
              </w:rPr>
              <w:t>第二篇 采购需求 三.具体技术要求</w:t>
            </w:r>
            <w:r>
              <w:rPr>
                <w:rFonts w:hint="eastAsia" w:ascii="宋体" w:hAnsi="宋体"/>
                <w:sz w:val="21"/>
                <w:szCs w:val="21"/>
              </w:rPr>
              <w:t>”中带*标注的部分】达不到招标文件要求的，每负偏离1条从起评分中扣</w:t>
            </w:r>
            <w:r>
              <w:rPr>
                <w:rFonts w:hint="eastAsia" w:ascii="宋体" w:hAnsi="宋体"/>
                <w:b/>
                <w:bCs/>
                <w:sz w:val="21"/>
                <w:szCs w:val="21"/>
              </w:rPr>
              <w:t>5分</w:t>
            </w:r>
            <w:r>
              <w:rPr>
                <w:rFonts w:hint="eastAsia" w:ascii="宋体" w:hAnsi="宋体"/>
                <w:sz w:val="21"/>
                <w:szCs w:val="21"/>
              </w:rPr>
              <w:t>，有</w:t>
            </w:r>
            <w:r>
              <w:rPr>
                <w:rFonts w:hint="eastAsia" w:ascii="宋体" w:hAnsi="宋体"/>
                <w:b/>
                <w:bCs/>
                <w:sz w:val="21"/>
                <w:szCs w:val="21"/>
              </w:rPr>
              <w:t>2条</w:t>
            </w:r>
            <w:r>
              <w:rPr>
                <w:rFonts w:hint="eastAsia" w:ascii="宋体" w:hAnsi="宋体"/>
                <w:sz w:val="21"/>
                <w:szCs w:val="21"/>
              </w:rPr>
              <w:t>及以上负偏离的，技术部分得0分；</w:t>
            </w:r>
          </w:p>
          <w:p>
            <w:pPr>
              <w:spacing w:line="400" w:lineRule="exact"/>
              <w:ind w:firstLine="443" w:firstLineChars="211"/>
              <w:rPr>
                <w:rFonts w:asciiTheme="minorEastAsia" w:hAnsiTheme="minorEastAsia" w:eastAsiaTheme="minorEastAsia" w:cstheme="minorEastAsia"/>
                <w:kern w:val="2"/>
                <w:sz w:val="21"/>
                <w:szCs w:val="21"/>
              </w:rPr>
            </w:pPr>
            <w:r>
              <w:rPr>
                <w:rFonts w:hint="eastAsia" w:ascii="宋体" w:hAnsi="宋体"/>
                <w:sz w:val="21"/>
                <w:szCs w:val="21"/>
              </w:rPr>
              <w:t>2.3一般性技术参数【本招标文件“</w:t>
            </w:r>
            <w:r>
              <w:rPr>
                <w:rFonts w:hint="eastAsia" w:asciiTheme="minorEastAsia" w:hAnsiTheme="minorEastAsia" w:cstheme="minorEastAsia"/>
                <w:sz w:val="21"/>
                <w:szCs w:val="21"/>
              </w:rPr>
              <w:t>第二篇 采购需求 三.具体技术要求</w:t>
            </w:r>
            <w:r>
              <w:rPr>
                <w:rFonts w:hint="eastAsia" w:ascii="宋体" w:hAnsi="宋体"/>
                <w:sz w:val="21"/>
                <w:szCs w:val="21"/>
              </w:rPr>
              <w:t>”中非“</w:t>
            </w:r>
            <w:r>
              <w:rPr>
                <w:rFonts w:hint="eastAsia" w:asciiTheme="minorEastAsia" w:hAnsiTheme="minorEastAsia" w:cstheme="minorEastAsia"/>
                <w:sz w:val="21"/>
                <w:szCs w:val="21"/>
              </w:rPr>
              <w:t>★</w:t>
            </w:r>
            <w:r>
              <w:rPr>
                <w:rFonts w:hint="eastAsia" w:ascii="宋体" w:hAnsi="宋体"/>
                <w:sz w:val="21"/>
                <w:szCs w:val="21"/>
              </w:rPr>
              <w:t>”和“*”标注的部分】达不到招标文件要求的，每负偏离1条从起评分中扣</w:t>
            </w:r>
            <w:r>
              <w:rPr>
                <w:rFonts w:hint="eastAsia" w:ascii="宋体" w:hAnsi="宋体"/>
                <w:b/>
                <w:bCs/>
                <w:sz w:val="21"/>
                <w:szCs w:val="21"/>
              </w:rPr>
              <w:t>2分</w:t>
            </w:r>
            <w:r>
              <w:rPr>
                <w:rFonts w:hint="eastAsia" w:ascii="宋体" w:hAnsi="宋体"/>
                <w:sz w:val="21"/>
                <w:szCs w:val="21"/>
              </w:rPr>
              <w:t>，</w:t>
            </w:r>
            <w:r>
              <w:rPr>
                <w:rFonts w:hint="eastAsia" w:ascii="宋体" w:hAnsi="宋体"/>
                <w:b/>
                <w:bCs/>
                <w:sz w:val="21"/>
                <w:szCs w:val="21"/>
              </w:rPr>
              <w:t>有5条</w:t>
            </w:r>
            <w:r>
              <w:rPr>
                <w:rFonts w:hint="eastAsia" w:ascii="宋体" w:hAnsi="宋体"/>
                <w:sz w:val="21"/>
                <w:szCs w:val="21"/>
              </w:rPr>
              <w:t>及以上负偏离的，技术部分得0分</w:t>
            </w:r>
            <w:r>
              <w:rPr>
                <w:rFonts w:hint="eastAsia" w:asciiTheme="minorEastAsia" w:hAnsiTheme="minorEastAsia" w:eastAsiaTheme="minorEastAsia" w:cstheme="minorEastAsia"/>
                <w:kern w:val="2"/>
                <w:sz w:val="21"/>
                <w:szCs w:val="21"/>
              </w:rPr>
              <w:t>。</w:t>
            </w:r>
          </w:p>
          <w:p>
            <w:pPr>
              <w:pStyle w:val="2"/>
              <w:spacing w:after="0"/>
              <w:ind w:firstLine="420" w:firstLineChars="200"/>
              <w:rPr>
                <w:rFonts w:ascii="宋体" w:hAnsi="宋体" w:cs="宋体"/>
                <w:sz w:val="21"/>
                <w:szCs w:val="21"/>
              </w:rPr>
            </w:pPr>
            <w:r>
              <w:rPr>
                <w:rFonts w:hint="eastAsia" w:ascii="宋体" w:hAnsi="宋体" w:cs="宋体"/>
                <w:sz w:val="21"/>
                <w:szCs w:val="21"/>
              </w:rPr>
              <w:t>注：（1）若投标人技术部分得</w:t>
            </w:r>
            <w:r>
              <w:rPr>
                <w:rFonts w:hint="eastAsia" w:ascii="宋体" w:hAnsi="宋体"/>
                <w:sz w:val="21"/>
                <w:szCs w:val="21"/>
              </w:rPr>
              <w:t>0</w:t>
            </w:r>
            <w:r>
              <w:rPr>
                <w:rFonts w:hint="eastAsia" w:ascii="宋体" w:hAnsi="宋体" w:cs="宋体"/>
                <w:sz w:val="21"/>
                <w:szCs w:val="21"/>
              </w:rPr>
              <w:t>分，则其投标文件无效。</w:t>
            </w:r>
          </w:p>
          <w:p>
            <w:pPr>
              <w:snapToGrid w:val="0"/>
              <w:spacing w:line="360" w:lineRule="exact"/>
              <w:ind w:firstLine="210" w:firstLineChars="100"/>
              <w:rPr>
                <w:rFonts w:asciiTheme="minorEastAsia" w:hAnsiTheme="minorEastAsia"/>
                <w:sz w:val="21"/>
                <w:szCs w:val="21"/>
              </w:rPr>
            </w:pPr>
            <w:r>
              <w:rPr>
                <w:rFonts w:hint="eastAsia" w:ascii="宋体" w:hAnsi="宋体" w:cs="宋体"/>
                <w:sz w:val="21"/>
                <w:szCs w:val="21"/>
              </w:rPr>
              <w:t>（2）技术指标偏离条数的界定为：凡有最低一级序号的指标项即为一条，无论是否隶属于上一级编号。</w:t>
            </w:r>
          </w:p>
        </w:tc>
        <w:tc>
          <w:tcPr>
            <w:tcW w:w="2888" w:type="dxa"/>
            <w:vAlign w:val="center"/>
          </w:tcPr>
          <w:p>
            <w:pPr>
              <w:pStyle w:val="31"/>
              <w:spacing w:line="400" w:lineRule="exact"/>
              <w:ind w:firstLine="0" w:firstLineChars="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按招标文件</w:t>
            </w:r>
            <w:r>
              <w:rPr>
                <w:rFonts w:hint="eastAsia" w:asciiTheme="minorEastAsia" w:hAnsiTheme="minorEastAsia" w:eastAsiaTheme="minorEastAsia" w:cstheme="minorEastAsia"/>
                <w:b/>
                <w:szCs w:val="21"/>
              </w:rPr>
              <w:t>第二篇 第五条</w:t>
            </w:r>
            <w:r>
              <w:rPr>
                <w:rFonts w:hint="eastAsia" w:asciiTheme="minorEastAsia" w:hAnsiTheme="minorEastAsia" w:eastAsiaTheme="minorEastAsia" w:cstheme="minorEastAsia"/>
                <w:bCs/>
                <w:szCs w:val="21"/>
              </w:rPr>
              <w:t>要求提供技术支持文件，未按要求提供技术支持资料，或提供的技术支持资料未能体现采购要求的技术参数的</w:t>
            </w:r>
            <w:r>
              <w:rPr>
                <w:rFonts w:hint="eastAsia" w:asciiTheme="minorEastAsia" w:hAnsiTheme="minorEastAsia" w:eastAsiaTheme="minorEastAsia" w:cstheme="minorEastAsia"/>
                <w:szCs w:val="21"/>
              </w:rPr>
              <w:t>，应判为负偏离</w:t>
            </w:r>
          </w:p>
        </w:tc>
      </w:tr>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463" w:type="dxa"/>
            <w:vMerge w:val="restart"/>
            <w:tcBorders>
              <w:left w:val="single" w:color="auto" w:sz="4" w:space="0"/>
            </w:tcBorders>
            <w:vAlign w:val="center"/>
          </w:tcPr>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3</w:t>
            </w:r>
          </w:p>
        </w:tc>
        <w:tc>
          <w:tcPr>
            <w:tcW w:w="992" w:type="dxa"/>
            <w:vMerge w:val="restart"/>
            <w:vAlign w:val="center"/>
          </w:tcPr>
          <w:p>
            <w:pPr>
              <w:spacing w:line="320" w:lineRule="exact"/>
              <w:ind w:firstLine="28"/>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商务部分</w:t>
            </w:r>
          </w:p>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（5%）</w:t>
            </w:r>
          </w:p>
        </w:tc>
        <w:tc>
          <w:tcPr>
            <w:tcW w:w="851" w:type="dxa"/>
            <w:vMerge w:val="restart"/>
            <w:vAlign w:val="center"/>
          </w:tcPr>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5</w:t>
            </w:r>
          </w:p>
        </w:tc>
        <w:tc>
          <w:tcPr>
            <w:tcW w:w="7718" w:type="dxa"/>
            <w:gridSpan w:val="2"/>
            <w:vAlign w:val="center"/>
          </w:tcPr>
          <w:p>
            <w:pPr>
              <w:spacing w:line="400" w:lineRule="exact"/>
              <w:ind w:firstLine="180" w:firstLineChars="100"/>
              <w:rPr>
                <w:rFonts w:ascii="宋体" w:hAnsi="宋体" w:cs="宋体"/>
                <w:sz w:val="18"/>
                <w:szCs w:val="18"/>
              </w:rPr>
            </w:pPr>
            <w:r>
              <w:rPr>
                <w:rFonts w:hint="eastAsia" w:ascii="宋体" w:hAnsi="宋体" w:cs="宋体"/>
                <w:sz w:val="18"/>
                <w:szCs w:val="18"/>
              </w:rPr>
              <w:t>1.在满足招标文件要求的1年免费质保期基础上每增加一年免费质保得1分，最多得2分。</w:t>
            </w:r>
          </w:p>
          <w:p>
            <w:pPr>
              <w:spacing w:line="400" w:lineRule="exact"/>
              <w:ind w:firstLine="180" w:firstLineChars="100"/>
              <w:rPr>
                <w:rFonts w:ascii="宋体" w:hAnsi="宋体" w:cs="宋体"/>
                <w:sz w:val="18"/>
                <w:szCs w:val="18"/>
              </w:rPr>
            </w:pPr>
            <w:r>
              <w:rPr>
                <w:rFonts w:hint="eastAsia" w:ascii="宋体" w:hAnsi="宋体" w:cs="宋体"/>
                <w:sz w:val="18"/>
                <w:szCs w:val="18"/>
              </w:rPr>
              <w:t>注：免费质保由制造商提供才计算得分，需提供制造商出具的有效证明文件。</w:t>
            </w:r>
          </w:p>
        </w:tc>
      </w:tr>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4" w:hRule="atLeast"/>
          <w:jc w:val="center"/>
        </w:trPr>
        <w:tc>
          <w:tcPr>
            <w:tcW w:w="463" w:type="dxa"/>
            <w:vMerge w:val="continue"/>
            <w:tcBorders>
              <w:left w:val="single" w:color="auto" w:sz="4" w:space="0"/>
            </w:tcBorders>
            <w:vAlign w:val="center"/>
          </w:tcPr>
          <w:p>
            <w:pPr>
              <w:spacing w:line="320" w:lineRule="exact"/>
              <w:ind w:firstLine="28"/>
              <w:jc w:val="center"/>
              <w:rPr>
                <w:rFonts w:asciiTheme="minorEastAsia" w:hAnsiTheme="minorEastAsia" w:eastAsiaTheme="minorEastAsia" w:cstheme="minorEastAsia"/>
                <w:sz w:val="18"/>
                <w:szCs w:val="18"/>
              </w:rPr>
            </w:pPr>
          </w:p>
        </w:tc>
        <w:tc>
          <w:tcPr>
            <w:tcW w:w="992" w:type="dxa"/>
            <w:vMerge w:val="continue"/>
            <w:vAlign w:val="center"/>
          </w:tcPr>
          <w:p>
            <w:pPr>
              <w:spacing w:line="320" w:lineRule="exact"/>
              <w:ind w:firstLine="28"/>
              <w:jc w:val="center"/>
              <w:rPr>
                <w:rFonts w:asciiTheme="minorEastAsia" w:hAnsiTheme="minorEastAsia" w:eastAsiaTheme="minorEastAsia" w:cstheme="minorEastAsia"/>
                <w:sz w:val="18"/>
                <w:szCs w:val="18"/>
              </w:rPr>
            </w:pPr>
          </w:p>
        </w:tc>
        <w:tc>
          <w:tcPr>
            <w:tcW w:w="851" w:type="dxa"/>
            <w:vMerge w:val="continue"/>
            <w:vAlign w:val="center"/>
          </w:tcPr>
          <w:p>
            <w:pPr>
              <w:spacing w:line="320" w:lineRule="exact"/>
              <w:ind w:firstLine="28"/>
              <w:jc w:val="center"/>
              <w:rPr>
                <w:rFonts w:asciiTheme="minorEastAsia" w:hAnsiTheme="minorEastAsia" w:eastAsiaTheme="minorEastAsia" w:cstheme="minorEastAsia"/>
                <w:sz w:val="18"/>
                <w:szCs w:val="18"/>
              </w:rPr>
            </w:pPr>
          </w:p>
        </w:tc>
        <w:tc>
          <w:tcPr>
            <w:tcW w:w="7718" w:type="dxa"/>
            <w:gridSpan w:val="2"/>
            <w:vAlign w:val="center"/>
          </w:tcPr>
          <w:p>
            <w:pPr>
              <w:spacing w:line="400" w:lineRule="exact"/>
              <w:ind w:firstLine="180" w:firstLineChars="100"/>
              <w:rPr>
                <w:rFonts w:ascii="宋体" w:hAnsi="宋体" w:cs="宋体"/>
                <w:sz w:val="18"/>
                <w:szCs w:val="18"/>
              </w:rPr>
            </w:pPr>
            <w:r>
              <w:rPr>
                <w:rFonts w:hint="eastAsia" w:ascii="宋体" w:hAnsi="宋体" w:cs="宋体"/>
                <w:sz w:val="18"/>
                <w:szCs w:val="18"/>
              </w:rPr>
              <w:t>2.根据投标人或制造商于2019年1月1日以来与投标产品同品牌同型号设备在中国大陆销售业绩评分，每提供一个业绩得1.5分，最多得3分；未提供业绩的，不得分。</w:t>
            </w:r>
          </w:p>
          <w:p>
            <w:pPr>
              <w:spacing w:line="400" w:lineRule="exact"/>
              <w:ind w:firstLine="180" w:firstLineChars="100"/>
              <w:rPr>
                <w:rFonts w:ascii="宋体" w:hAnsi="宋体" w:cs="宋体"/>
                <w:sz w:val="18"/>
                <w:szCs w:val="18"/>
              </w:rPr>
            </w:pPr>
            <w:r>
              <w:rPr>
                <w:rFonts w:hint="eastAsia" w:ascii="宋体" w:hAnsi="宋体" w:cs="宋体"/>
                <w:sz w:val="18"/>
                <w:szCs w:val="18"/>
              </w:rPr>
              <w:t>注：（1）提供合同复印件（原件备查。合同须提供首页、标的物所在页、数量金额页及签字盖章页，若签字盖章页没有用户单位电话的，须提供电话供查询）。</w:t>
            </w:r>
          </w:p>
          <w:p>
            <w:pPr>
              <w:spacing w:line="400" w:lineRule="exact"/>
              <w:ind w:firstLine="180" w:firstLineChars="100"/>
              <w:rPr>
                <w:rFonts w:ascii="宋体" w:hAnsi="宋体" w:cs="宋体"/>
                <w:sz w:val="18"/>
                <w:szCs w:val="18"/>
              </w:rPr>
            </w:pPr>
            <w:r>
              <w:rPr>
                <w:rFonts w:hint="eastAsia" w:ascii="宋体" w:hAnsi="宋体" w:cs="宋体"/>
                <w:sz w:val="18"/>
                <w:szCs w:val="18"/>
              </w:rPr>
              <w:t>（2）供应商提供的证明材料复印件须页面清晰、完整、有效，并加盖投标人公章，否则无效。</w:t>
            </w:r>
          </w:p>
        </w:tc>
      </w:tr>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4" w:hRule="atLeast"/>
          <w:jc w:val="center"/>
        </w:trPr>
        <w:tc>
          <w:tcPr>
            <w:tcW w:w="463" w:type="dxa"/>
            <w:vMerge w:val="restart"/>
            <w:tcBorders>
              <w:left w:val="single" w:color="auto" w:sz="4" w:space="0"/>
            </w:tcBorders>
            <w:vAlign w:val="center"/>
          </w:tcPr>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4</w:t>
            </w:r>
          </w:p>
        </w:tc>
        <w:tc>
          <w:tcPr>
            <w:tcW w:w="992" w:type="dxa"/>
            <w:vMerge w:val="restart"/>
            <w:vAlign w:val="center"/>
          </w:tcPr>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政策加分</w:t>
            </w:r>
          </w:p>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（2分）</w:t>
            </w:r>
          </w:p>
        </w:tc>
        <w:tc>
          <w:tcPr>
            <w:tcW w:w="851" w:type="dxa"/>
            <w:vAlign w:val="center"/>
          </w:tcPr>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w:t>
            </w:r>
          </w:p>
        </w:tc>
        <w:tc>
          <w:tcPr>
            <w:tcW w:w="7718" w:type="dxa"/>
            <w:gridSpan w:val="2"/>
            <w:vAlign w:val="center"/>
          </w:tcPr>
          <w:p>
            <w:pPr>
              <w:widowControl/>
              <w:spacing w:line="400" w:lineRule="exact"/>
              <w:ind w:firstLine="360" w:firstLineChars="200"/>
              <w:rPr>
                <w:rFonts w:ascii="宋体" w:hAnsi="宋体" w:cs="宋体"/>
                <w:sz w:val="18"/>
                <w:szCs w:val="18"/>
              </w:rPr>
            </w:pPr>
            <w:r>
              <w:rPr>
                <w:rFonts w:hint="eastAsia" w:ascii="宋体" w:hAnsi="宋体" w:cs="宋体"/>
                <w:sz w:val="18"/>
                <w:szCs w:val="18"/>
              </w:rPr>
              <w:t>1.</w:t>
            </w:r>
            <w:r>
              <w:rPr>
                <w:rFonts w:hint="eastAsia" w:asciiTheme="minorEastAsia" w:hAnsiTheme="minorEastAsia" w:cstheme="minorEastAsia"/>
                <w:sz w:val="18"/>
                <w:szCs w:val="18"/>
              </w:rPr>
              <w:t>投标产品属于《财政部 发展改革委关于印发节能产品政府采购品目清单的通知》（财库〔2019〕19号）范围内的节能产品且标注为强制采购的产品，必须提供对应的节能产品响应；未标注为强制采购的产品，有一款得0.5分，最多得1分。（相同产品本项目多处使用按一款计算）</w:t>
            </w:r>
            <w:r>
              <w:rPr>
                <w:rFonts w:hint="eastAsia" w:ascii="宋体" w:hAnsi="宋体" w:cs="宋体"/>
                <w:sz w:val="18"/>
                <w:szCs w:val="18"/>
              </w:rPr>
              <w:t>。</w:t>
            </w:r>
          </w:p>
          <w:p>
            <w:pPr>
              <w:widowControl/>
              <w:spacing w:line="400" w:lineRule="exact"/>
              <w:ind w:firstLine="360" w:firstLineChars="200"/>
              <w:jc w:val="both"/>
              <w:rPr>
                <w:rFonts w:ascii="宋体" w:hAnsi="宋体" w:cs="宋体"/>
                <w:sz w:val="18"/>
                <w:szCs w:val="18"/>
              </w:rPr>
            </w:pPr>
            <w:r>
              <w:rPr>
                <w:rFonts w:hint="eastAsia" w:ascii="宋体" w:hAnsi="宋体" w:cs="宋体"/>
                <w:sz w:val="18"/>
                <w:szCs w:val="18"/>
              </w:rPr>
              <w:t>说明：</w:t>
            </w:r>
            <w:r>
              <w:rPr>
                <w:rFonts w:hint="eastAsia" w:asciiTheme="minorEastAsia" w:hAnsiTheme="minorEastAsia" w:cstheme="minorEastAsia"/>
                <w:sz w:val="18"/>
                <w:szCs w:val="18"/>
              </w:rPr>
              <w:t>提供所投产品列入《财政部 发展改革委关于印发节能产品政府采购品目清单的通知》（财库〔2019〕19号）中“节能产品政府采购品目清单”所在页面打印件，及国家确定的认证机构出具的、处于有效期之内的节能产品认证证书复印件</w:t>
            </w:r>
            <w:r>
              <w:rPr>
                <w:rFonts w:hint="eastAsia" w:asciiTheme="minorEastAsia" w:hAnsiTheme="minorEastAsia" w:eastAsiaTheme="minorEastAsia" w:cstheme="minorEastAsia"/>
                <w:sz w:val="18"/>
                <w:szCs w:val="18"/>
              </w:rPr>
              <w:t>。</w:t>
            </w:r>
          </w:p>
        </w:tc>
      </w:tr>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463" w:type="dxa"/>
            <w:vMerge w:val="continue"/>
            <w:tcBorders>
              <w:left w:val="single" w:color="auto" w:sz="4" w:space="0"/>
            </w:tcBorders>
            <w:vAlign w:val="center"/>
          </w:tcPr>
          <w:p>
            <w:pPr>
              <w:spacing w:line="320" w:lineRule="exact"/>
              <w:ind w:firstLine="28"/>
              <w:jc w:val="center"/>
              <w:rPr>
                <w:rFonts w:asciiTheme="minorEastAsia" w:hAnsiTheme="minorEastAsia" w:eastAsiaTheme="minorEastAsia" w:cstheme="minorEastAsia"/>
                <w:sz w:val="18"/>
                <w:szCs w:val="18"/>
              </w:rPr>
            </w:pPr>
          </w:p>
        </w:tc>
        <w:tc>
          <w:tcPr>
            <w:tcW w:w="992" w:type="dxa"/>
            <w:vMerge w:val="continue"/>
            <w:vAlign w:val="center"/>
          </w:tcPr>
          <w:p>
            <w:pPr>
              <w:spacing w:line="320" w:lineRule="exact"/>
              <w:ind w:firstLine="28"/>
              <w:jc w:val="center"/>
              <w:rPr>
                <w:rFonts w:asciiTheme="minorEastAsia" w:hAnsiTheme="minorEastAsia" w:eastAsiaTheme="minorEastAsia" w:cstheme="minorEastAsia"/>
                <w:sz w:val="18"/>
                <w:szCs w:val="18"/>
              </w:rPr>
            </w:pPr>
          </w:p>
        </w:tc>
        <w:tc>
          <w:tcPr>
            <w:tcW w:w="851" w:type="dxa"/>
            <w:vAlign w:val="center"/>
          </w:tcPr>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w:t>
            </w:r>
          </w:p>
        </w:tc>
        <w:tc>
          <w:tcPr>
            <w:tcW w:w="7718" w:type="dxa"/>
            <w:gridSpan w:val="2"/>
            <w:vAlign w:val="center"/>
          </w:tcPr>
          <w:p>
            <w:pPr>
              <w:widowControl/>
              <w:spacing w:line="400" w:lineRule="exact"/>
              <w:ind w:firstLine="360" w:firstLineChars="200"/>
              <w:rPr>
                <w:rFonts w:ascii="宋体" w:hAnsi="宋体" w:cs="宋体"/>
                <w:sz w:val="18"/>
                <w:szCs w:val="18"/>
              </w:rPr>
            </w:pPr>
            <w:r>
              <w:rPr>
                <w:rFonts w:hint="eastAsia" w:ascii="宋体" w:hAnsi="宋体" w:cs="宋体"/>
                <w:sz w:val="18"/>
                <w:szCs w:val="18"/>
              </w:rPr>
              <w:t>2.</w:t>
            </w:r>
            <w:r>
              <w:rPr>
                <w:rFonts w:hint="eastAsia" w:asciiTheme="minorEastAsia" w:hAnsiTheme="minorEastAsia" w:cstheme="minorEastAsia"/>
                <w:sz w:val="18"/>
                <w:szCs w:val="18"/>
              </w:rPr>
              <w:t>投标产品属于《财政部 生态环境部关于印发环境标志产品政府采购品目清单的通知》（财库〔2019〕18号）范围内的环境标志产品的，有一款得0.5分，最多得1分。（相同产品本项目多处使用按一款计算）</w:t>
            </w:r>
            <w:r>
              <w:rPr>
                <w:rFonts w:hint="eastAsia" w:ascii="宋体" w:hAnsi="宋体" w:cs="宋体"/>
                <w:sz w:val="18"/>
                <w:szCs w:val="18"/>
              </w:rPr>
              <w:t>。</w:t>
            </w:r>
          </w:p>
          <w:p>
            <w:pPr>
              <w:spacing w:line="400" w:lineRule="exact"/>
              <w:ind w:firstLine="360" w:firstLineChars="200"/>
              <w:jc w:val="both"/>
              <w:rPr>
                <w:rFonts w:asciiTheme="minorEastAsia" w:hAnsiTheme="minorEastAsia" w:eastAsiaTheme="minorEastAsia" w:cstheme="minorEastAsia"/>
                <w:sz w:val="18"/>
                <w:szCs w:val="18"/>
              </w:rPr>
            </w:pPr>
            <w:r>
              <w:rPr>
                <w:rFonts w:hint="eastAsia" w:ascii="宋体" w:hAnsi="宋体" w:cs="宋体"/>
                <w:sz w:val="18"/>
                <w:szCs w:val="18"/>
              </w:rPr>
              <w:t>说明：</w:t>
            </w:r>
            <w:r>
              <w:rPr>
                <w:rFonts w:hint="eastAsia" w:asciiTheme="minorEastAsia" w:hAnsiTheme="minorEastAsia" w:cstheme="minorEastAsia"/>
                <w:sz w:val="18"/>
                <w:szCs w:val="18"/>
              </w:rPr>
              <w:t>提供所投产品列入《财政部 生态环境部关于印发环境标志产品政府采购品目清单的通知》（财库〔2019〕18号）中“环境标志产品政府采购品目清单”所在页面打印件，及国家确定的认证机构出具的、处于有效期之内的环境标志产品认证证书复印件</w:t>
            </w:r>
            <w:r>
              <w:rPr>
                <w:rFonts w:hint="eastAsia" w:asciiTheme="minorEastAsia" w:hAnsiTheme="minorEastAsia" w:eastAsiaTheme="minorEastAsia" w:cstheme="minorEastAsia"/>
                <w:sz w:val="18"/>
                <w:szCs w:val="18"/>
              </w:rPr>
              <w:t>。</w:t>
            </w:r>
          </w:p>
        </w:tc>
      </w:tr>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2306" w:type="dxa"/>
            <w:gridSpan w:val="3"/>
            <w:tcBorders>
              <w:left w:val="single" w:color="auto" w:sz="4" w:space="0"/>
            </w:tcBorders>
            <w:vAlign w:val="center"/>
          </w:tcPr>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合计</w:t>
            </w:r>
          </w:p>
        </w:tc>
        <w:tc>
          <w:tcPr>
            <w:tcW w:w="7718" w:type="dxa"/>
            <w:gridSpan w:val="2"/>
            <w:vAlign w:val="center"/>
          </w:tcPr>
          <w:p>
            <w:pPr>
              <w:spacing w:line="400" w:lineRule="exact"/>
              <w:ind w:firstLine="360" w:firstLineChars="200"/>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t>102</w:t>
            </w:r>
            <w:r>
              <w:rPr>
                <w:rFonts w:hint="eastAsia" w:asciiTheme="minorEastAsia" w:hAnsiTheme="minorEastAsia" w:eastAsiaTheme="minorEastAsia" w:cstheme="minorEastAsia"/>
                <w:sz w:val="18"/>
                <w:szCs w:val="18"/>
              </w:rPr>
              <w:t>分</w:t>
            </w:r>
          </w:p>
        </w:tc>
      </w:tr>
      <w:bookmarkEnd w:id="86"/>
    </w:tbl>
    <w:p>
      <w:pPr>
        <w:rPr>
          <w:rFonts w:asciiTheme="minorEastAsia" w:hAnsiTheme="minorEastAsia" w:eastAsiaTheme="minorEastAsia" w:cstheme="minorEastAsia"/>
          <w:kern w:val="2"/>
          <w:sz w:val="21"/>
          <w:szCs w:val="21"/>
        </w:rPr>
      </w:pPr>
    </w:p>
    <w:p>
      <w:pP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注：关于小微企业报价扣除比例说明</w:t>
      </w:r>
    </w:p>
    <w:p>
      <w:pPr>
        <w:snapToGrid w:val="0"/>
        <w:spacing w:line="360" w:lineRule="exact"/>
        <w:ind w:firstLine="465"/>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1.关于小微企业：</w:t>
      </w:r>
    </w:p>
    <w:p>
      <w:pPr>
        <w:snapToGrid w:val="0"/>
        <w:spacing w:line="360" w:lineRule="exact"/>
        <w:ind w:firstLine="465"/>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按《财政部 工业和信息化部关于印发&lt;政府采购促进中小企业发展管理办法&gt;的通知》（财库〔2020〕46号）之规定，在政府采购活动中，供应商提供的货物、工程或者服务符合下列情形的，享受本办法规定的中小企业扶持政策： </w:t>
      </w:r>
    </w:p>
    <w:p>
      <w:pPr>
        <w:snapToGrid w:val="0"/>
        <w:spacing w:line="360" w:lineRule="exact"/>
        <w:ind w:firstLine="465"/>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1.1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 </w:t>
      </w:r>
    </w:p>
    <w:p>
      <w:pPr>
        <w:snapToGrid w:val="0"/>
        <w:spacing w:line="36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kern w:val="2"/>
          <w:sz w:val="21"/>
          <w:szCs w:val="21"/>
        </w:rPr>
        <w:t>1.2在货物采购项目中，供应商提供的货物既有中小企业制造货物，也有大型企业制造货物的，不享受（财库〔2020〕46号）规定的中小企业扶持政策。</w:t>
      </w:r>
    </w:p>
    <w:p>
      <w:pPr>
        <w:snapToGrid w:val="0"/>
        <w:spacing w:line="36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kern w:val="2"/>
          <w:sz w:val="21"/>
          <w:szCs w:val="21"/>
        </w:rPr>
        <w:t>1.3 以联合体形式参加政府采购活动，联合体各方均为中小企业的，联合体视同中小企业。其中，联合体各方均为小微企业的，联合体视同小微企业</w:t>
      </w:r>
      <w:r>
        <w:rPr>
          <w:rFonts w:hint="eastAsia" w:asciiTheme="minorEastAsia" w:hAnsiTheme="minorEastAsia" w:eastAsiaTheme="minorEastAsia" w:cstheme="minorEastAsia"/>
          <w:sz w:val="21"/>
          <w:szCs w:val="21"/>
        </w:rPr>
        <w:t>。大中型企业与小微企业组成联合体共同参加投标，小微型企业的协议合同金额占到联合体协议合同金额30%以上的，可给予联合体</w:t>
      </w:r>
      <w:r>
        <w:rPr>
          <w:rFonts w:hint="eastAsia" w:asciiTheme="minorEastAsia" w:hAnsiTheme="minorEastAsia" w:eastAsiaTheme="minorEastAsia" w:cstheme="minorEastAsia"/>
          <w:sz w:val="21"/>
          <w:szCs w:val="21"/>
          <w:u w:val="single"/>
        </w:rPr>
        <w:t>4%</w:t>
      </w:r>
      <w:r>
        <w:rPr>
          <w:rFonts w:hint="eastAsia" w:asciiTheme="minorEastAsia" w:hAnsiTheme="minorEastAsia" w:eastAsiaTheme="minorEastAsia" w:cstheme="minorEastAsia"/>
          <w:sz w:val="21"/>
          <w:szCs w:val="21"/>
        </w:rPr>
        <w:t>的价格扣除</w:t>
      </w:r>
      <w:r>
        <w:rPr>
          <w:rFonts w:hint="eastAsia" w:asciiTheme="minorEastAsia" w:hAnsiTheme="minorEastAsia" w:eastAsiaTheme="minorEastAsia" w:cstheme="minorEastAsia"/>
          <w:b/>
          <w:sz w:val="21"/>
          <w:szCs w:val="21"/>
        </w:rPr>
        <w:t>（本项目不接受联合体参与投标）</w:t>
      </w:r>
      <w:r>
        <w:rPr>
          <w:rFonts w:hint="eastAsia" w:asciiTheme="minorEastAsia" w:hAnsiTheme="minorEastAsia" w:eastAsiaTheme="minorEastAsia" w:cstheme="minorEastAsia"/>
          <w:sz w:val="21"/>
          <w:szCs w:val="21"/>
        </w:rPr>
        <w:t>。</w:t>
      </w:r>
    </w:p>
    <w:p>
      <w:pPr>
        <w:snapToGrid w:val="0"/>
        <w:spacing w:line="360" w:lineRule="exact"/>
        <w:ind w:firstLine="465"/>
        <w:rPr>
          <w:rFonts w:asciiTheme="minorEastAsia" w:hAnsiTheme="minorEastAsia" w:eastAsiaTheme="minorEastAsia" w:cstheme="minorEastAsia"/>
          <w:sz w:val="21"/>
          <w:szCs w:val="21"/>
        </w:rPr>
      </w:pPr>
      <w:r>
        <w:rPr>
          <w:rFonts w:hint="eastAsia" w:asciiTheme="minorEastAsia" w:hAnsiTheme="minorEastAsia" w:eastAsiaTheme="minorEastAsia" w:cstheme="minorEastAsia"/>
          <w:kern w:val="2"/>
          <w:sz w:val="21"/>
          <w:szCs w:val="21"/>
        </w:rPr>
        <w:t>1.4本规定所称中小企业划分标准按照《工业和信息化部、国家统计局、国家发展和改革委员会、财政部关于印发中小企业划型标准规定的通知》（工信部联企业〔2011〕300号）执行。</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2.依照&lt;财政部、司法部关于政府采购支持监狱企业发展有关问题的通知&gt;（财库〔2014〕68号）之规定，监狱企业应当符合以下条件：</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2.1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2.2 监狱企业参加政府采购活动时，视同小型、微型企业，应当提供由省级以上监狱管理局、戒毒管理局（含新疆生产建设兵团）出具的属于监狱企业的证明文件。</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3.依照《关于促进残疾人就业政府采购政策的通知》（财库〔2017〕141号）之规定，享受政府采购支持政策的残疾人福利性单位在参加政府采购活动时，视同小型、微型企业，但应当提供通知规定的《残疾人福利性单位声明函》（见附件2），并对声明的真实性负责。</w:t>
      </w:r>
    </w:p>
    <w:p>
      <w:pPr>
        <w:snapToGrid w:val="0"/>
        <w:spacing w:line="360" w:lineRule="exact"/>
        <w:ind w:firstLine="424" w:firstLineChars="202"/>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4、具体报价扣除比例说明：</w:t>
      </w:r>
    </w:p>
    <w:p>
      <w:pPr>
        <w:snapToGrid w:val="0"/>
        <w:spacing w:line="360" w:lineRule="exact"/>
        <w:ind w:firstLine="424" w:firstLineChars="202"/>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在投标报价的基础上，小型、微型企业或监狱企业</w:t>
      </w:r>
      <w:r>
        <w:rPr>
          <w:rFonts w:hint="eastAsia" w:asciiTheme="minorEastAsia" w:hAnsiTheme="minorEastAsia" w:eastAsiaTheme="minorEastAsia" w:cstheme="minorEastAsia"/>
          <w:kern w:val="2"/>
          <w:sz w:val="21"/>
          <w:szCs w:val="21"/>
        </w:rPr>
        <w:t>或残疾人企业</w:t>
      </w:r>
      <w:r>
        <w:rPr>
          <w:rFonts w:hint="eastAsia" w:asciiTheme="minorEastAsia" w:hAnsiTheme="minorEastAsia" w:eastAsiaTheme="minorEastAsia" w:cstheme="minorEastAsia"/>
          <w:sz w:val="21"/>
          <w:szCs w:val="21"/>
        </w:rPr>
        <w:t>，按“投标报价×10%”进行扣除，以扣除后的报价参与评审；</w:t>
      </w:r>
    </w:p>
    <w:p>
      <w:pPr>
        <w:pStyle w:val="47"/>
        <w:numPr>
          <w:ilvl w:val="0"/>
          <w:numId w:val="0"/>
        </w:numPr>
        <w:spacing w:line="360" w:lineRule="exact"/>
        <w:ind w:firstLine="420" w:firstLineChars="200"/>
        <w:jc w:val="left"/>
        <w:rPr>
          <w:rFonts w:asciiTheme="minorEastAsia" w:hAnsiTheme="minorEastAsia" w:eastAsiaTheme="minorEastAsia" w:cstheme="minorEastAsia"/>
          <w:b w:val="0"/>
          <w:kern w:val="2"/>
          <w:sz w:val="21"/>
          <w:szCs w:val="21"/>
          <w:lang w:val="en-US"/>
        </w:rPr>
      </w:pPr>
      <w:r>
        <w:rPr>
          <w:rFonts w:hint="eastAsia" w:asciiTheme="minorEastAsia" w:hAnsiTheme="minorEastAsia" w:eastAsiaTheme="minorEastAsia" w:cstheme="minorEastAsia"/>
          <w:b w:val="0"/>
          <w:kern w:val="2"/>
          <w:sz w:val="21"/>
          <w:szCs w:val="21"/>
          <w:lang w:val="en-US"/>
        </w:rPr>
        <w:t>5、依据本办法规定享受扶持政策获得政府采购合同的，小微企业不得将合同分包给大中型企业，中型企业不得将合同分包给大型企业。</w:t>
      </w:r>
    </w:p>
    <w:p>
      <w:pPr>
        <w:rPr>
          <w:rFonts w:asciiTheme="minorEastAsia" w:hAnsiTheme="minorEastAsia" w:eastAsiaTheme="minorEastAsia" w:cstheme="minorEastAsia"/>
        </w:rPr>
      </w:pPr>
    </w:p>
    <w:p>
      <w:pPr>
        <w:snapToGrid w:val="0"/>
        <w:spacing w:line="360" w:lineRule="exact"/>
        <w:ind w:firstLine="426" w:firstLineChars="20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特别说明1：</w:t>
      </w:r>
    </w:p>
    <w:p>
      <w:pPr>
        <w:snapToGrid w:val="0"/>
        <w:spacing w:line="360" w:lineRule="exact"/>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①按照本次采购标的所属行业的划型标准（</w:t>
      </w:r>
      <w:r>
        <w:rPr>
          <w:rFonts w:hint="eastAsia" w:asciiTheme="minorEastAsia" w:hAnsiTheme="minorEastAsia" w:eastAsiaTheme="minorEastAsia" w:cstheme="minorEastAsia"/>
          <w:b/>
          <w:bCs/>
          <w:sz w:val="21"/>
          <w:szCs w:val="21"/>
        </w:rPr>
        <w:t>采购标的对应的中小企业划分标准所属行业：工业</w:t>
      </w:r>
      <w:r>
        <w:rPr>
          <w:rFonts w:hint="eastAsia" w:asciiTheme="minorEastAsia" w:hAnsiTheme="minorEastAsia" w:eastAsiaTheme="minorEastAsia" w:cstheme="minorEastAsia"/>
          <w:b/>
          <w:sz w:val="21"/>
          <w:szCs w:val="21"/>
        </w:rPr>
        <w:t>），符合相应条件的企业应根据招标文件格式要求提供《中小企业声明函》；未按要求提供声明函的不被认定为小微型企业。</w:t>
      </w:r>
    </w:p>
    <w:p>
      <w:pPr>
        <w:snapToGrid w:val="0"/>
        <w:spacing w:line="360" w:lineRule="exact"/>
        <w:ind w:firstLine="422"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b/>
          <w:sz w:val="21"/>
          <w:szCs w:val="21"/>
        </w:rPr>
        <w:t>②</w:t>
      </w:r>
      <w:r>
        <w:rPr>
          <w:rFonts w:hint="eastAsia" w:asciiTheme="minorEastAsia" w:hAnsiTheme="minorEastAsia" w:eastAsiaTheme="minorEastAsia" w:cstheme="minorEastAsia"/>
          <w:kern w:val="2"/>
          <w:sz w:val="21"/>
          <w:szCs w:val="21"/>
        </w:rPr>
        <w:t>符合相应条件的监狱企业，应当提供由省级以上监狱管理局、戒毒管理局（含新疆生产建设兵团）出具的属于监狱企业的证明文件。</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③ 符合相应条件的残疾人企业应根据招标文件的格式要求提供</w:t>
      </w:r>
      <w:r>
        <w:rPr>
          <w:rFonts w:hint="eastAsia" w:asciiTheme="minorEastAsia" w:hAnsiTheme="minorEastAsia" w:eastAsiaTheme="minorEastAsia" w:cstheme="minorEastAsia"/>
          <w:b/>
          <w:kern w:val="2"/>
          <w:sz w:val="21"/>
          <w:szCs w:val="21"/>
        </w:rPr>
        <w:t>《残疾人福利性单位声明函》</w:t>
      </w:r>
      <w:r>
        <w:rPr>
          <w:rFonts w:hint="eastAsia" w:asciiTheme="minorEastAsia" w:hAnsiTheme="minorEastAsia" w:eastAsiaTheme="minorEastAsia" w:cstheme="minorEastAsia"/>
          <w:kern w:val="2"/>
          <w:sz w:val="21"/>
          <w:szCs w:val="21"/>
        </w:rPr>
        <w:t>，未按要求提供声明函的不被认定为小微型企业。</w:t>
      </w:r>
    </w:p>
    <w:p>
      <w:pPr>
        <w:snapToGrid w:val="0"/>
        <w:spacing w:line="360" w:lineRule="exact"/>
        <w:ind w:firstLine="424" w:firstLineChars="202"/>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④对于既属于小微企业又属于监狱企业或残疾人企业的，不重复进行投标报价扣除。</w:t>
      </w:r>
    </w:p>
    <w:p>
      <w:pPr>
        <w:ind w:firstLine="210" w:firstLineChars="10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21"/>
          <w:szCs w:val="21"/>
        </w:rPr>
        <w:t xml:space="preserve">  </w:t>
      </w:r>
    </w:p>
    <w:p>
      <w:pPr>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b/>
          <w:bCs/>
          <w:sz w:val="21"/>
          <w:szCs w:val="21"/>
        </w:rPr>
        <w:t xml:space="preserve">特别说明2： </w:t>
      </w:r>
    </w:p>
    <w:p>
      <w:pPr>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若供应商提供的资料不全或前后不一致，评审时未发现的，按有利于采购人的原则执行，供应商须无条件接受。</w:t>
      </w:r>
    </w:p>
    <w:p>
      <w:pPr>
        <w:tabs>
          <w:tab w:val="left" w:pos="2370"/>
        </w:tabs>
        <w:snapToGrid w:val="0"/>
        <w:spacing w:line="360" w:lineRule="exact"/>
        <w:ind w:firstLine="422" w:firstLineChars="200"/>
        <w:rPr>
          <w:rFonts w:asciiTheme="minorEastAsia" w:hAnsiTheme="minorEastAsia" w:eastAsiaTheme="minorEastAsia" w:cstheme="minorEastAsia"/>
          <w:b/>
          <w:sz w:val="21"/>
          <w:szCs w:val="21"/>
        </w:rPr>
      </w:pPr>
    </w:p>
    <w:p>
      <w:pPr>
        <w:tabs>
          <w:tab w:val="left" w:pos="2370"/>
        </w:tabs>
        <w:snapToGrid w:val="0"/>
        <w:spacing w:line="360" w:lineRule="exact"/>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四、评标过程及保密原则</w:t>
      </w:r>
    </w:p>
    <w:p>
      <w:pPr>
        <w:tabs>
          <w:tab w:val="left" w:pos="2370"/>
        </w:tabs>
        <w:snapToGrid w:val="0"/>
        <w:spacing w:line="360" w:lineRule="exact"/>
        <w:ind w:firstLine="420" w:firstLineChars="20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1、开标之后，直到授予中标人合同止，凡与本次招标有关人员对属于审查、澄清、评价和比较投标的有关资料以及授标意向等，均不得向投标人或其他无关的人员透露。</w:t>
      </w:r>
    </w:p>
    <w:p>
      <w:pPr>
        <w:tabs>
          <w:tab w:val="left" w:pos="2370"/>
        </w:tabs>
        <w:snapToGrid w:val="0"/>
        <w:spacing w:line="360" w:lineRule="exact"/>
        <w:ind w:firstLine="420" w:firstLineChars="20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2、在评标期间，投标人试图影响招标采购单位和评标委员会的任何活动，将导致其投标被拒绝，并承担相应的法律责任。</w:t>
      </w:r>
    </w:p>
    <w:p>
      <w:pPr>
        <w:tabs>
          <w:tab w:val="left" w:pos="2370"/>
        </w:tabs>
        <w:snapToGrid w:val="0"/>
        <w:spacing w:line="360" w:lineRule="exact"/>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五、无效投标条款</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bookmarkStart w:id="87" w:name="_Toc418512125"/>
      <w:r>
        <w:rPr>
          <w:rFonts w:hint="eastAsia" w:asciiTheme="minorEastAsia" w:hAnsiTheme="minorEastAsia" w:eastAsiaTheme="minorEastAsia" w:cstheme="minorEastAsia"/>
          <w:kern w:val="2"/>
          <w:sz w:val="21"/>
          <w:szCs w:val="21"/>
        </w:rPr>
        <w:t>（一）评标委员会评审时，投标人或其投标文件出现下列情况之一者，应为无效投标：</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1、投标文件未通过符合性检查的；</w:t>
      </w:r>
    </w:p>
    <w:p>
      <w:pPr>
        <w:pStyle w:val="16"/>
        <w:spacing w:line="360" w:lineRule="exact"/>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rPr>
        <w:t>2、投标产品不符合必须强制执行的国家标准的；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3、投标文件未按照招标文件第七篇投标文件格式中所规定签字、盖章的；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4、投标文件出现多个投标方案或投标报价的；</w:t>
      </w:r>
    </w:p>
    <w:p>
      <w:pPr>
        <w:snapToGrid w:val="0"/>
        <w:spacing w:line="360" w:lineRule="exact"/>
        <w:ind w:firstLine="420" w:firstLineChars="200"/>
        <w:jc w:val="both"/>
        <w:textAlignment w:val="auto"/>
        <w:rPr>
          <w:rFonts w:asciiTheme="minorEastAsia" w:hAnsiTheme="minorEastAsia" w:eastAsiaTheme="minorEastAsia" w:cstheme="minorEastAsia"/>
          <w:b/>
          <w:bCs/>
          <w:kern w:val="2"/>
          <w:sz w:val="21"/>
          <w:szCs w:val="21"/>
        </w:rPr>
      </w:pPr>
      <w:r>
        <w:rPr>
          <w:rFonts w:hint="eastAsia" w:asciiTheme="minorEastAsia" w:hAnsiTheme="minorEastAsia" w:eastAsiaTheme="minorEastAsia" w:cstheme="minorEastAsia"/>
          <w:kern w:val="2"/>
          <w:sz w:val="21"/>
          <w:szCs w:val="21"/>
        </w:rPr>
        <w:t>5、投标报价超出招标文件规定的采购预算（最高限价）或单价限价的（招标项目预算是完成整个项目的预算额，</w:t>
      </w:r>
      <w:r>
        <w:rPr>
          <w:rFonts w:hint="eastAsia" w:asciiTheme="minorEastAsia" w:hAnsiTheme="minorEastAsia" w:eastAsiaTheme="minorEastAsia" w:cstheme="minorEastAsia"/>
          <w:b/>
          <w:bCs/>
          <w:kern w:val="2"/>
          <w:sz w:val="21"/>
          <w:szCs w:val="21"/>
        </w:rPr>
        <w:t>因关境外货物可报CIP西南大学项目现场价/DAP西南大学项目现场价/DDP西南大学项目现场价格，判定其是否超预算需要加上校方承担的费用部份，评标时将分别按照开标当日中国银行总行首次发布的外币对人民币现汇卖出价的101.5%/101.3%/100%对CIP西南大学项目现场外币价/DAP西南大学项目现场外币价/DDP西南大学项目现场外币价格进行折算（若所投币种为人民币，则直接按上述对应系数进行折算）；</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6、投标文件响应招标文件的实质性内容不全或数据模糊、辨认不清或者拒不按照要求对投标文件进行澄清、说明或补正；</w:t>
      </w:r>
    </w:p>
    <w:p>
      <w:pPr>
        <w:widowControl/>
        <w:spacing w:line="360" w:lineRule="exact"/>
        <w:ind w:firstLine="420" w:firstLineChars="20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7、投标报价中有缺漏项的；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8、投标人的投标文件未提供的。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9、交货期或投标有效期不满足招标文件要求的；</w:t>
      </w:r>
    </w:p>
    <w:p>
      <w:pPr>
        <w:widowControl/>
        <w:spacing w:line="360" w:lineRule="exact"/>
        <w:ind w:firstLine="420" w:firstLineChars="20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10、评审小组认为投标人的报价明显低于其他通过符合性检查投标人的报价，有可能影响履约，且投标人未按照规定证明其报价合理性的；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11、对</w:t>
      </w:r>
      <w:r>
        <w:rPr>
          <w:rFonts w:hint="eastAsia" w:asciiTheme="minorEastAsia" w:hAnsiTheme="minorEastAsia" w:eastAsiaTheme="minorEastAsia" w:cstheme="minorEastAsia"/>
          <w:b/>
          <w:bCs/>
          <w:kern w:val="2"/>
          <w:sz w:val="21"/>
          <w:szCs w:val="21"/>
        </w:rPr>
        <w:t>招标文件</w:t>
      </w:r>
      <w:r>
        <w:rPr>
          <w:rFonts w:hint="eastAsia" w:asciiTheme="minorEastAsia" w:hAnsiTheme="minorEastAsia" w:eastAsiaTheme="minorEastAsia" w:cstheme="minorEastAsia"/>
          <w:kern w:val="2"/>
          <w:sz w:val="21"/>
          <w:szCs w:val="21"/>
        </w:rPr>
        <w:t>规定的不可偏离条款有偏离的；</w:t>
      </w:r>
    </w:p>
    <w:p>
      <w:pPr>
        <w:widowControl/>
        <w:spacing w:line="360" w:lineRule="exact"/>
        <w:ind w:firstLine="424" w:firstLineChars="202"/>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12、投标文件技术规格中的响应与事实不符或虚假投标的；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13、对合同其他条款重大偏离的；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14、不符合法律法规和招标文件其他实质性要求的；</w:t>
      </w:r>
    </w:p>
    <w:p>
      <w:pPr>
        <w:snapToGrid w:val="0"/>
        <w:spacing w:line="40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15、投标文件含有违反国家法律、法规的内容，或附有采购人/西南大学不能接受的条件的。</w:t>
      </w:r>
    </w:p>
    <w:p>
      <w:pPr>
        <w:widowControl/>
        <w:spacing w:line="400" w:lineRule="exact"/>
        <w:ind w:firstLine="422" w:firstLineChars="200"/>
        <w:rPr>
          <w:rFonts w:asciiTheme="minorEastAsia" w:hAnsiTheme="minorEastAsia" w:eastAsiaTheme="minorEastAsia" w:cstheme="minorEastAsia"/>
          <w:b/>
          <w:bCs/>
          <w:kern w:val="2"/>
          <w:sz w:val="21"/>
          <w:szCs w:val="21"/>
        </w:rPr>
      </w:pPr>
      <w:r>
        <w:rPr>
          <w:rFonts w:hint="eastAsia" w:asciiTheme="minorEastAsia" w:hAnsiTheme="minorEastAsia" w:eastAsiaTheme="minorEastAsia" w:cstheme="minorEastAsia"/>
          <w:b/>
          <w:bCs/>
          <w:kern w:val="2"/>
          <w:sz w:val="21"/>
          <w:szCs w:val="21"/>
        </w:rPr>
        <w:t xml:space="preserve">（二）有下列情形之一的，其投标无效，采购人/西南大学将向相关部门举报： </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1、不同投标人的投标文件由同一单位或者个人编制； </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2、不同投标人委托同一单位或者个人办理投标事宜； </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3、不同投标人的投标文件载明的项目管理成员或者联系人员为同一人； </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4、不同投标人的投标文件异常一致或者投标报价呈规律性差异； </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5、不同投标人的投标文件相互混装； </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6、不同投标人使用同一个人或者企业资金交纳投标保证金或者投标保函的。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7、不同投标人的投标文件中载明的法定代表人或授权代表中出现同一人的；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8、不同投标人聘请同一人为其投标提供技术或者经济咨询服务的，但招标项目本身要求采用专有技术的除外；</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9、投标人有《中华人民共和国反不正当竞争法》所列的不正当竞争行为；</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10、采取不正当手段诋毁、排挤其他投标人的；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11、与西南大学采购与招投标管理中心、项目使用单位及个人或其他投标人恶意串通的；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12、向西南大学采购与招投标管理中心、项目使用单位及个人或评标专家行贿或者提供其他不正当利益的；</w:t>
      </w:r>
    </w:p>
    <w:p>
      <w:pPr>
        <w:tabs>
          <w:tab w:val="left" w:pos="2370"/>
        </w:tabs>
        <w:snapToGrid w:val="0"/>
        <w:spacing w:line="360" w:lineRule="exact"/>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六、废标条款</w:t>
      </w:r>
      <w:bookmarkEnd w:id="87"/>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评标委员会评审时出现以下情况之一的，应予废标：</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（一）符合专业条件的投标人或者对招标文件作实质响应的投标人不足三家的；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（二）投标人的报价均超过了采购预算或最高限价，采购人不能支付的；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（三）出现影响采购公正的违法、违规行为的；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（四）因重大变故，采购任务取消的。</w:t>
      </w:r>
    </w:p>
    <w:p>
      <w:pPr>
        <w:snapToGrid w:val="0"/>
        <w:spacing w:line="360" w:lineRule="exact"/>
        <w:ind w:firstLine="42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kern w:val="2"/>
          <w:sz w:val="21"/>
          <w:szCs w:val="21"/>
        </w:rPr>
        <w:t>废标后，除采购任务取消情形外，应当重新组织采购。</w:t>
      </w:r>
    </w:p>
    <w:p>
      <w:pPr>
        <w:pStyle w:val="3"/>
        <w:spacing w:before="120" w:after="120"/>
        <w:ind w:left="0" w:firstLine="2209" w:firstLineChars="500"/>
        <w:jc w:val="center"/>
        <w:rPr>
          <w:rFonts w:asciiTheme="minorEastAsia" w:hAnsiTheme="minorEastAsia" w:eastAsiaTheme="minorEastAsia" w:cstheme="minorEastAsia"/>
          <w:b w:val="0"/>
          <w:sz w:val="36"/>
          <w:szCs w:val="36"/>
        </w:rPr>
      </w:pPr>
      <w:r>
        <w:rPr>
          <w:rFonts w:hint="eastAsia" w:asciiTheme="minorEastAsia" w:hAnsiTheme="minorEastAsia" w:eastAsiaTheme="minorEastAsia" w:cstheme="minorEastAsia"/>
          <w:kern w:val="2"/>
        </w:rPr>
        <w:br w:type="page"/>
      </w:r>
      <w:r>
        <w:rPr>
          <w:rFonts w:hint="eastAsia" w:asciiTheme="minorEastAsia" w:hAnsiTheme="minorEastAsia" w:eastAsiaTheme="minorEastAsia" w:cstheme="minorEastAsia"/>
        </w:rPr>
        <w:t>第五篇 投标人须知</w:t>
      </w:r>
    </w:p>
    <w:p>
      <w:pPr>
        <w:pStyle w:val="4"/>
        <w:spacing w:line="360" w:lineRule="auto"/>
        <w:ind w:left="0"/>
        <w:rPr>
          <w:rFonts w:asciiTheme="minorEastAsia" w:hAnsiTheme="minorEastAsia" w:eastAsiaTheme="minorEastAsia" w:cstheme="minorEastAsia"/>
          <w:sz w:val="32"/>
        </w:rPr>
      </w:pPr>
      <w:bookmarkStart w:id="88" w:name="_Toc465269230"/>
      <w:r>
        <w:rPr>
          <w:rFonts w:hint="eastAsia" w:asciiTheme="minorEastAsia" w:hAnsiTheme="minorEastAsia" w:eastAsiaTheme="minorEastAsia" w:cstheme="minorEastAsia"/>
          <w:sz w:val="32"/>
        </w:rPr>
        <w:t>一、说明</w:t>
      </w:r>
      <w:bookmarkEnd w:id="88"/>
    </w:p>
    <w:p>
      <w:pPr>
        <w:pStyle w:val="31"/>
        <w:snapToGrid w:val="0"/>
        <w:spacing w:line="360" w:lineRule="auto"/>
        <w:ind w:firstLine="482"/>
        <w:jc w:val="left"/>
        <w:rPr>
          <w:rFonts w:asciiTheme="minorEastAsia" w:hAnsiTheme="minorEastAsia" w:eastAsiaTheme="minorEastAsia" w:cstheme="minorEastAsia"/>
          <w:b/>
          <w:sz w:val="24"/>
          <w:szCs w:val="24"/>
        </w:rPr>
      </w:pPr>
      <w:bookmarkStart w:id="89" w:name="_Toc465269231"/>
      <w:r>
        <w:rPr>
          <w:rFonts w:hint="eastAsia" w:asciiTheme="minorEastAsia" w:hAnsiTheme="minorEastAsia" w:eastAsiaTheme="minorEastAsia" w:cstheme="minorEastAsia"/>
          <w:b/>
          <w:sz w:val="24"/>
          <w:szCs w:val="24"/>
        </w:rPr>
        <w:t>（一）项目说明</w:t>
      </w:r>
      <w:bookmarkEnd w:id="89"/>
    </w:p>
    <w:p>
      <w:pPr>
        <w:snapToGrid w:val="0"/>
        <w:spacing w:line="360" w:lineRule="auto"/>
        <w:ind w:firstLine="417" w:firstLineChars="174"/>
        <w:rPr>
          <w:rFonts w:asciiTheme="minorEastAsia" w:hAnsiTheme="minorEastAsia" w:eastAsiaTheme="minorEastAsia" w:cstheme="minorEastAsia"/>
        </w:rPr>
      </w:pPr>
      <w:r>
        <w:rPr>
          <w:rFonts w:hint="eastAsia" w:asciiTheme="minorEastAsia" w:hAnsiTheme="minorEastAsia" w:eastAsiaTheme="minorEastAsia" w:cstheme="minorEastAsia"/>
        </w:rPr>
        <w:t xml:space="preserve"> 1.采购形式</w:t>
      </w:r>
    </w:p>
    <w:p>
      <w:pPr>
        <w:pStyle w:val="31"/>
        <w:snapToGrid w:val="0"/>
        <w:spacing w:line="360" w:lineRule="auto"/>
        <w:ind w:firstLine="0" w:firstLineChars="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西南大学通过公开招标采购方式采购本招标文件第二篇“采购需求”中所列项目。西南大学委托采购代理机构负责组织本项目的招标采购活动。</w:t>
      </w:r>
    </w:p>
    <w:p>
      <w:pPr>
        <w:snapToGrid w:val="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2.招标范围</w:t>
      </w:r>
    </w:p>
    <w:p>
      <w:pPr>
        <w:pStyle w:val="31"/>
        <w:snapToGrid w:val="0"/>
        <w:spacing w:line="360" w:lineRule="auto"/>
        <w:ind w:firstLine="676" w:firstLineChars="282"/>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本招标文件第二篇“采购需求”中所列项目下的货物及相关服务。本范围不允许有缺漏项，否则</w:t>
      </w:r>
      <w:r>
        <w:rPr>
          <w:rFonts w:hint="eastAsia" w:asciiTheme="minorEastAsia" w:hAnsiTheme="minorEastAsia" w:eastAsiaTheme="minorEastAsia" w:cstheme="minorEastAsia"/>
          <w:b/>
          <w:sz w:val="24"/>
          <w:szCs w:val="24"/>
        </w:rPr>
        <w:t>投标无效</w:t>
      </w:r>
      <w:r>
        <w:rPr>
          <w:rFonts w:hint="eastAsia" w:asciiTheme="minorEastAsia" w:hAnsiTheme="minorEastAsia" w:eastAsiaTheme="minorEastAsia" w:cstheme="minorEastAsia"/>
          <w:sz w:val="24"/>
          <w:szCs w:val="24"/>
        </w:rPr>
        <w:t>。</w:t>
      </w:r>
    </w:p>
    <w:p>
      <w:pPr>
        <w:snapToGrid w:val="0"/>
        <w:spacing w:line="360" w:lineRule="auto"/>
        <w:ind w:firstLine="417" w:firstLineChars="174"/>
        <w:rPr>
          <w:rFonts w:asciiTheme="minorEastAsia" w:hAnsiTheme="minorEastAsia" w:eastAsiaTheme="minorEastAsia" w:cstheme="minorEastAsia"/>
        </w:rPr>
      </w:pPr>
      <w:r>
        <w:rPr>
          <w:rFonts w:hint="eastAsia" w:asciiTheme="minorEastAsia" w:hAnsiTheme="minorEastAsia" w:eastAsiaTheme="minorEastAsia" w:cstheme="minorEastAsia"/>
        </w:rPr>
        <w:t>3.招标要求</w:t>
      </w:r>
    </w:p>
    <w:p>
      <w:pPr>
        <w:pStyle w:val="31"/>
        <w:snapToGrid w:val="0"/>
        <w:spacing w:line="360" w:lineRule="auto"/>
        <w:ind w:firstLine="676" w:firstLineChars="282"/>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3.1本项目的交货期：投标人应根据“商务要求”的要求制定设备的供货时间（包括到货和安装调试时间）。</w:t>
      </w:r>
    </w:p>
    <w:p>
      <w:pPr>
        <w:pStyle w:val="31"/>
        <w:snapToGrid w:val="0"/>
        <w:spacing w:line="360" w:lineRule="auto"/>
        <w:ind w:firstLine="0" w:firstLineChars="0"/>
        <w:jc w:val="left"/>
        <w:rPr>
          <w:rFonts w:asciiTheme="minorEastAsia" w:hAnsiTheme="minorEastAsia" w:eastAsiaTheme="minorEastAsia" w:cstheme="minorEastAsia"/>
          <w:sz w:val="24"/>
          <w:szCs w:val="24"/>
        </w:rPr>
      </w:pPr>
      <w:bookmarkStart w:id="90" w:name="_Toc449106626"/>
      <w:bookmarkStart w:id="91" w:name="_Toc449109335"/>
      <w:bookmarkStart w:id="92" w:name="_Toc449109117"/>
      <w:bookmarkStart w:id="93" w:name="_Toc449109173"/>
      <w:r>
        <w:rPr>
          <w:rFonts w:hint="eastAsia" w:asciiTheme="minorEastAsia" w:hAnsiTheme="minorEastAsia" w:eastAsiaTheme="minorEastAsia" w:cstheme="minorEastAsia"/>
          <w:sz w:val="24"/>
          <w:szCs w:val="24"/>
        </w:rPr>
        <w:t xml:space="preserve">    3.2 投标人的投标报价须按照“开标一览表”和“投标分项报价表”的格式要求进行相应报价。</w:t>
      </w:r>
      <w:bookmarkEnd w:id="90"/>
      <w:bookmarkEnd w:id="91"/>
      <w:bookmarkEnd w:id="92"/>
      <w:bookmarkEnd w:id="93"/>
    </w:p>
    <w:p>
      <w:pPr>
        <w:snapToGrid w:val="0"/>
        <w:spacing w:line="360" w:lineRule="auto"/>
        <w:ind w:firstLine="417" w:firstLineChars="174"/>
        <w:rPr>
          <w:rFonts w:asciiTheme="minorEastAsia" w:hAnsiTheme="minorEastAsia" w:eastAsiaTheme="minorEastAsia" w:cstheme="minorEastAsia"/>
        </w:rPr>
      </w:pPr>
      <w:r>
        <w:rPr>
          <w:rFonts w:hint="eastAsia" w:asciiTheme="minorEastAsia" w:hAnsiTheme="minorEastAsia" w:eastAsiaTheme="minorEastAsia" w:cstheme="minorEastAsia"/>
        </w:rPr>
        <w:t xml:space="preserve"> 3.3 投标人所投的设备必须技术先进、功能完整、运行安全、可靠。</w:t>
      </w:r>
    </w:p>
    <w:p>
      <w:pPr>
        <w:pStyle w:val="31"/>
        <w:snapToGrid w:val="0"/>
        <w:spacing w:line="360" w:lineRule="auto"/>
        <w:ind w:firstLine="480" w:firstLineChars="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3.4 投标人须提供投标货物的品牌、型号（配置），非标准化产品的配置应标识清楚，定制货物无品牌、型号的必须在《投标分项报价表》的“规格型号”栏内标明为“定制”，未提供品牌或型号、配置的，采购人可视其为</w:t>
      </w:r>
      <w:r>
        <w:rPr>
          <w:rFonts w:hint="eastAsia" w:asciiTheme="minorEastAsia" w:hAnsiTheme="minorEastAsia" w:eastAsiaTheme="minorEastAsia" w:cstheme="minorEastAsia"/>
          <w:b/>
          <w:sz w:val="24"/>
          <w:szCs w:val="24"/>
        </w:rPr>
        <w:t>无效投标</w:t>
      </w:r>
      <w:r>
        <w:rPr>
          <w:rFonts w:hint="eastAsia" w:asciiTheme="minorEastAsia" w:hAnsiTheme="minorEastAsia" w:eastAsiaTheme="minorEastAsia" w:cstheme="minorEastAsia"/>
          <w:sz w:val="24"/>
          <w:szCs w:val="24"/>
        </w:rPr>
        <w:t>。</w:t>
      </w:r>
    </w:p>
    <w:p>
      <w:pPr>
        <w:pStyle w:val="31"/>
        <w:snapToGrid w:val="0"/>
        <w:spacing w:line="360" w:lineRule="auto"/>
        <w:ind w:firstLine="480" w:firstLineChars="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3.5 投标人必须提交对招标文件实质性响应的投标文件。</w:t>
      </w:r>
    </w:p>
    <w:p>
      <w:pPr>
        <w:pStyle w:val="31"/>
        <w:snapToGrid w:val="0"/>
        <w:spacing w:line="360" w:lineRule="auto"/>
        <w:ind w:firstLine="480" w:firstLineChars="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3.6节能产品的优先采购和强制采购以国家财政部和国家发展改革委公布的最新“节能产品政府采购品目清单”中所列产品及相关规定为准。本项目采购中凡涉及到政府强制采购节能产品的，供应商必须在报价响应时提供所投产品在《节能产品政府采购品目清单》中相应页面的打印或复印材料，及国家确定的认证机构出具的，处于有效期之内的节能产品认证证书复印件。</w:t>
      </w:r>
    </w:p>
    <w:p>
      <w:pPr>
        <w:pStyle w:val="31"/>
        <w:snapToGrid w:val="0"/>
        <w:spacing w:line="360" w:lineRule="auto"/>
        <w:ind w:firstLine="480" w:firstLineChars="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3.7环境标志产品的优先采购以国家财政部和国家环境保护部公布的最新“环境标志产品政府采购清单”所列产品及相关规定为准。</w:t>
      </w:r>
    </w:p>
    <w:p>
      <w:pPr>
        <w:pStyle w:val="31"/>
        <w:snapToGrid w:val="0"/>
        <w:spacing w:line="360" w:lineRule="auto"/>
        <w:ind w:firstLine="480" w:firstLineChars="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3.8本项目涉及软件产品的，必须采购和使用正版软件，项目中涉及计算机办公产品的必须预装正版操作系统软件。</w:t>
      </w:r>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3.9本项目所涉及的信息安全产品需经过国家相关认证。</w:t>
      </w:r>
    </w:p>
    <w:p>
      <w:pPr>
        <w:pStyle w:val="31"/>
        <w:snapToGrid w:val="0"/>
        <w:spacing w:line="360" w:lineRule="auto"/>
        <w:ind w:firstLine="482"/>
        <w:jc w:val="left"/>
        <w:rPr>
          <w:rFonts w:asciiTheme="minorEastAsia" w:hAnsiTheme="minorEastAsia" w:eastAsiaTheme="minorEastAsia" w:cstheme="minorEastAsia"/>
          <w:b/>
          <w:sz w:val="24"/>
          <w:szCs w:val="24"/>
        </w:rPr>
      </w:pPr>
      <w:bookmarkStart w:id="94" w:name="_Toc465269232"/>
      <w:r>
        <w:rPr>
          <w:rFonts w:hint="eastAsia" w:asciiTheme="minorEastAsia" w:hAnsiTheme="minorEastAsia" w:eastAsiaTheme="minorEastAsia" w:cstheme="minorEastAsia"/>
          <w:b/>
          <w:sz w:val="24"/>
          <w:szCs w:val="24"/>
        </w:rPr>
        <w:t>（二）投标费用</w:t>
      </w:r>
      <w:bookmarkEnd w:id="94"/>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应自行承担其参与本项目投标的一切费用，包括但不限于编制投标文件及递交投标文件等所涉及的费用；西南大学在任何情况下无义务也无责任承担这些费用，不论投标结果如何，采购人在任何情况下均无义务和责任承担这些费用。</w:t>
      </w:r>
      <w:bookmarkStart w:id="95" w:name="_Toc465269233"/>
    </w:p>
    <w:p>
      <w:pPr>
        <w:pStyle w:val="31"/>
        <w:snapToGrid w:val="0"/>
        <w:spacing w:line="360" w:lineRule="auto"/>
        <w:ind w:firstLine="482"/>
        <w:jc w:val="lef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（三）合格的投标人</w:t>
      </w:r>
      <w:bookmarkEnd w:id="95"/>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1.投标人须符合本项目招标文件所规定的资格条件。</w:t>
      </w:r>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2.投标人应遵守中国的有关法律、法规和规章的规定。</w:t>
      </w:r>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截止到评审阶段资格性检查结束时止，投标人被“信用中国”网站（www.creditchina.gov.cn）列入“失信被执行人”或“重大税收违法案件当事人名单”或“政府采购严重违法失信名单”，或处于中国政府采购网（www.ccgp.gov.cn）政府采购严重违法失信行为记录名单中被财政部门禁止参加政府采购活动期间的，其投标响应将被拒绝。</w:t>
      </w:r>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4.一个投标人只能提交一个投标文件。但如果投标人之间存在下列互为关联关系的情形之一的，不得同时参加本项目投标。</w:t>
      </w:r>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 单位负责人为同一人的两个及两个以上单位；</w:t>
      </w:r>
      <w:bookmarkStart w:id="96" w:name="_Toc465269234"/>
      <w:bookmarkStart w:id="97" w:name="_Toc449109118"/>
      <w:bookmarkStart w:id="98" w:name="_Toc449109336"/>
      <w:bookmarkStart w:id="99" w:name="_Toc449301677"/>
      <w:bookmarkStart w:id="100" w:name="_Toc449109174"/>
      <w:bookmarkStart w:id="101" w:name="_Toc449302150"/>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 母公司、直接或间接持股 50％及以上的被投资公司；</w:t>
      </w:r>
      <w:bookmarkEnd w:id="96"/>
      <w:bookmarkEnd w:id="97"/>
      <w:bookmarkEnd w:id="98"/>
      <w:bookmarkEnd w:id="99"/>
      <w:bookmarkEnd w:id="100"/>
      <w:bookmarkEnd w:id="101"/>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4.3 均为同一家母公司直接或间接持股 50％及以上的被投资公司。</w:t>
      </w:r>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5.与采购人存在利害关系可能影响招标公正性的法人或其他组织不得参加投标。</w:t>
      </w:r>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6.接受委托参与招标文件编制的法人或其他组织不得参加受托项目的投标，也不得为该项目的投标人编制投标文件或提供咨询。</w:t>
      </w:r>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7.投标人不得与本次招标项下设计、编制技术规格和其它文件的公司或提供咨询服务的公司包括其附属机构有任何关联。</w:t>
      </w:r>
    </w:p>
    <w:p>
      <w:pPr>
        <w:snapToGrid w:val="0"/>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8．投标代理人在同一个项目中只能接受一个投标人的委托参加投标。</w:t>
      </w:r>
    </w:p>
    <w:p>
      <w:pPr>
        <w:snapToGrid w:val="0"/>
        <w:spacing w:line="360" w:lineRule="auto"/>
        <w:ind w:firstLine="482" w:firstLineChars="200"/>
        <w:rPr>
          <w:rFonts w:asciiTheme="minorEastAsia" w:hAnsiTheme="minorEastAsia" w:eastAsiaTheme="minorEastAsia" w:cstheme="minorEastAsia"/>
        </w:rPr>
      </w:pPr>
      <w:r>
        <w:rPr>
          <w:rFonts w:hint="eastAsia" w:asciiTheme="minorEastAsia" w:hAnsiTheme="minorEastAsia" w:eastAsiaTheme="minorEastAsia" w:cstheme="minorEastAsia"/>
          <w:b/>
        </w:rPr>
        <w:t>9.本项目不允许联合体投标。</w:t>
      </w:r>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10.投标人在投标过程中不得向采购人提供赠品、回扣或者与采购无关的其他商品、服务，一经发现，其投标人资格将被取消。</w:t>
      </w:r>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11.采购人在任何时候发现投标人以他人名义投标、相互串通投标，在投标文件中提交虚假资料或失实资料的，或者以其他方式弄虚作假的，其投标将被拒绝并将视情况依法追究其责任。</w:t>
      </w:r>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提供相同品牌核心产品且通过资格审查、符合性审查的不同投标人参加同一合同包投标的，按一家投标人计算，评审后得分最高的同品牌投标人获得中标人推荐资格；评审得分相同的，由评标委员会按照招标文件规定的方式确定一个投标人获得中标人推荐资格，其他同品牌投标人不作为中标候选人。</w:t>
      </w:r>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非单一产品采购项目，根据招标文件中载明的核心产品审查确定。多家投标人提供的产品品牌相同的，按前款规定处理。</w:t>
      </w:r>
    </w:p>
    <w:p>
      <w:pPr>
        <w:pStyle w:val="4"/>
        <w:spacing w:line="360" w:lineRule="auto"/>
        <w:ind w:left="0"/>
        <w:rPr>
          <w:rFonts w:asciiTheme="minorEastAsia" w:hAnsiTheme="minorEastAsia" w:eastAsiaTheme="minorEastAsia" w:cstheme="minorEastAsia"/>
          <w:sz w:val="32"/>
        </w:rPr>
      </w:pPr>
      <w:bookmarkStart w:id="102" w:name="_Toc465269235"/>
      <w:r>
        <w:rPr>
          <w:rFonts w:hint="eastAsia" w:asciiTheme="minorEastAsia" w:hAnsiTheme="minorEastAsia" w:eastAsiaTheme="minorEastAsia" w:cstheme="minorEastAsia"/>
          <w:sz w:val="32"/>
        </w:rPr>
        <w:t>二、招标文件</w:t>
      </w:r>
      <w:bookmarkEnd w:id="102"/>
    </w:p>
    <w:p>
      <w:pPr>
        <w:pStyle w:val="31"/>
        <w:snapToGrid w:val="0"/>
        <w:spacing w:line="360" w:lineRule="auto"/>
        <w:ind w:firstLine="482"/>
        <w:jc w:val="left"/>
        <w:rPr>
          <w:rFonts w:asciiTheme="minorEastAsia" w:hAnsiTheme="minorEastAsia" w:eastAsiaTheme="minorEastAsia" w:cstheme="minorEastAsia"/>
          <w:b/>
          <w:sz w:val="24"/>
          <w:szCs w:val="24"/>
        </w:rPr>
      </w:pPr>
      <w:bookmarkStart w:id="103" w:name="_Toc465269236"/>
      <w:r>
        <w:rPr>
          <w:rFonts w:hint="eastAsia" w:asciiTheme="minorEastAsia" w:hAnsiTheme="minorEastAsia" w:eastAsiaTheme="minorEastAsia" w:cstheme="minorEastAsia"/>
          <w:b/>
          <w:sz w:val="24"/>
          <w:szCs w:val="24"/>
        </w:rPr>
        <w:t>（一）招标文件构成</w:t>
      </w:r>
      <w:bookmarkEnd w:id="103"/>
    </w:p>
    <w:p>
      <w:pPr>
        <w:pStyle w:val="31"/>
        <w:snapToGrid w:val="0"/>
        <w:spacing w:line="360" w:lineRule="auto"/>
        <w:ind w:firstLine="482"/>
        <w:jc w:val="lef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1.招标文件以电子版或书面纸质文件的形式提供给各潜在投标人，电子版与纸质文件具有同等的法律效力，电子版与纸质版内容不一致时，以纸质版为准。招标文件包括以下内容：</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第一篇 投标邀请书</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第二篇 采购需求</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第三篇 项目商务要求</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第四篇 资格审查及评标办法</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第五篇 投标人须知</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第六篇 合同文本</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第七篇 投标文件格式</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招标公告及修改文件（若有）也是招标文件的组成部分。</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投标人应认真阅读招标文件中所有的事项、格式、条款和技术规格等。投标人没有按照招标文件要求提交全部资料，或者投标文件没有对招标文件在各方面都作出实质性响应是投标人自己的风险，将导致或可能导致其投标被拒绝。</w:t>
      </w:r>
    </w:p>
    <w:p>
      <w:pPr>
        <w:pStyle w:val="31"/>
        <w:snapToGrid w:val="0"/>
        <w:spacing w:line="360" w:lineRule="auto"/>
        <w:ind w:firstLine="482"/>
        <w:jc w:val="left"/>
        <w:rPr>
          <w:rFonts w:asciiTheme="minorEastAsia" w:hAnsiTheme="minorEastAsia" w:eastAsiaTheme="minorEastAsia" w:cstheme="minorEastAsia"/>
          <w:b/>
          <w:sz w:val="24"/>
          <w:szCs w:val="24"/>
        </w:rPr>
      </w:pPr>
      <w:bookmarkStart w:id="104" w:name="_Toc465269237"/>
      <w:r>
        <w:rPr>
          <w:rFonts w:hint="eastAsia" w:asciiTheme="minorEastAsia" w:hAnsiTheme="minorEastAsia" w:eastAsiaTheme="minorEastAsia" w:cstheme="minorEastAsia"/>
          <w:b/>
          <w:sz w:val="24"/>
          <w:szCs w:val="24"/>
        </w:rPr>
        <w:t>（二）招标文件的澄清</w:t>
      </w:r>
      <w:bookmarkEnd w:id="104"/>
    </w:p>
    <w:p>
      <w:pPr>
        <w:widowControl/>
        <w:spacing w:line="360" w:lineRule="auto"/>
        <w:ind w:left="324" w:leftChars="135"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招标文件公告期限为招标公告发出之日起五个工作日，供应商对招标文件如有询问或质疑的，应在收到招标文件之日（获取招标文件期限内）或者招标文件公告期限届满之日起七个工作日内以书面形式向采购人或采购代理机构提出询问或质疑，并附相关证明材料。逾期恕不受理。</w:t>
      </w:r>
    </w:p>
    <w:p>
      <w:pPr>
        <w:snapToGrid w:val="0"/>
        <w:spacing w:line="420" w:lineRule="exact"/>
        <w:ind w:left="274" w:leftChars="114" w:firstLine="436" w:firstLineChars="182"/>
        <w:rPr>
          <w:rFonts w:asciiTheme="minorEastAsia" w:hAnsiTheme="minorEastAsia" w:eastAsiaTheme="minorEastAsia" w:cstheme="minorEastAsia"/>
        </w:rPr>
      </w:pPr>
      <w:r>
        <w:rPr>
          <w:rFonts w:hint="eastAsia" w:asciiTheme="minorEastAsia" w:hAnsiTheme="minorEastAsia" w:eastAsiaTheme="minorEastAsia" w:cstheme="minorEastAsia"/>
        </w:rPr>
        <w:t>2.采购组织机构或采购代理机构对收到的上述澄清要求，在投标截止日期15天前将以书面形式予以答复。如有需要，采购组织机构或采购代理机构可专门组织招标文件答疑会议。</w:t>
      </w:r>
    </w:p>
    <w:p>
      <w:pPr>
        <w:snapToGrid w:val="0"/>
        <w:spacing w:line="420" w:lineRule="exact"/>
        <w:ind w:firstLine="439" w:firstLineChars="183"/>
        <w:rPr>
          <w:rFonts w:asciiTheme="minorEastAsia" w:hAnsiTheme="minorEastAsia" w:eastAsiaTheme="minorEastAsia" w:cstheme="minorEastAsia"/>
        </w:rPr>
      </w:pPr>
    </w:p>
    <w:p>
      <w:pPr>
        <w:pStyle w:val="31"/>
        <w:snapToGrid w:val="0"/>
        <w:spacing w:line="420" w:lineRule="exact"/>
        <w:ind w:firstLine="482"/>
        <w:jc w:val="left"/>
        <w:rPr>
          <w:rFonts w:asciiTheme="minorEastAsia" w:hAnsiTheme="minorEastAsia" w:eastAsiaTheme="minorEastAsia" w:cstheme="minorEastAsia"/>
          <w:b/>
          <w:sz w:val="24"/>
          <w:szCs w:val="24"/>
        </w:rPr>
      </w:pPr>
      <w:bookmarkStart w:id="105" w:name="_Toc465269238"/>
      <w:r>
        <w:rPr>
          <w:rFonts w:hint="eastAsia" w:asciiTheme="minorEastAsia" w:hAnsiTheme="minorEastAsia" w:eastAsiaTheme="minorEastAsia" w:cstheme="minorEastAsia"/>
          <w:b/>
          <w:sz w:val="24"/>
          <w:szCs w:val="24"/>
        </w:rPr>
        <w:t>（三）招标文件的修改</w:t>
      </w:r>
      <w:bookmarkEnd w:id="105"/>
    </w:p>
    <w:p>
      <w:pPr>
        <w:pStyle w:val="31"/>
        <w:snapToGrid w:val="0"/>
        <w:spacing w:line="420" w:lineRule="exact"/>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 在投标截止期前，</w:t>
      </w:r>
      <w:r>
        <w:rPr>
          <w:rFonts w:hint="eastAsia" w:asciiTheme="minorEastAsia" w:hAnsiTheme="minorEastAsia" w:eastAsiaTheme="minorEastAsia" w:cstheme="minorEastAsia"/>
          <w:kern w:val="0"/>
          <w:sz w:val="24"/>
          <w:szCs w:val="24"/>
        </w:rPr>
        <w:t>采购组织机构或采购代理机构</w:t>
      </w:r>
      <w:r>
        <w:rPr>
          <w:rFonts w:hint="eastAsia" w:asciiTheme="minorEastAsia" w:hAnsiTheme="minorEastAsia" w:eastAsiaTheme="minorEastAsia" w:cstheme="minorEastAsia"/>
          <w:sz w:val="24"/>
          <w:szCs w:val="24"/>
        </w:rPr>
        <w:t>可主动或在解答投标人提出的询问或质疑时对招标文件进行修改。</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2.对招标文件的修改将在中国政府采购网（</w:t>
      </w:r>
      <w:r>
        <w:fldChar w:fldCharType="begin"/>
      </w:r>
      <w:r>
        <w:instrText xml:space="preserve"> HYPERLINK "http://www.ccgp.gov.cn" </w:instrText>
      </w:r>
      <w:r>
        <w:fldChar w:fldCharType="separate"/>
      </w:r>
      <w:r>
        <w:rPr>
          <w:rFonts w:hint="eastAsia" w:asciiTheme="minorEastAsia" w:hAnsiTheme="minorEastAsia" w:eastAsiaTheme="minorEastAsia" w:cstheme="minorEastAsia"/>
        </w:rPr>
        <w:t>http://www.ccgp.gov.cn</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rPr>
        <w:t>）和西南大学采购与招投标管理中心网页（http://caigou.swu.edu.cn/sfw_cms/e?page=cms.index）上发布。无论投标人下载与否，均视为已知晓所有招标内容。对于可能影响投标文件编制的修改，将在投标截止日期15天前发布，不足15天的，将顺延提交投标文件的截止时间和开标时间。此修改书是招标文件的组成部分，对招、投标双方均具有约束力。</w:t>
      </w:r>
    </w:p>
    <w:p>
      <w:pPr>
        <w:widowControl/>
        <w:spacing w:line="360" w:lineRule="auto"/>
        <w:ind w:firstLine="482" w:firstLineChars="200"/>
        <w:rPr>
          <w:rFonts w:asciiTheme="minorEastAsia" w:hAnsiTheme="minorEastAsia" w:eastAsiaTheme="minorEastAsia" w:cstheme="minorEastAsia"/>
          <w:b/>
        </w:rPr>
      </w:pPr>
      <w:bookmarkStart w:id="106" w:name="_Toc465269239"/>
      <w:r>
        <w:rPr>
          <w:rFonts w:hint="eastAsia" w:asciiTheme="minorEastAsia" w:hAnsiTheme="minorEastAsia" w:eastAsiaTheme="minorEastAsia" w:cstheme="minorEastAsia"/>
          <w:b/>
        </w:rPr>
        <w:t>（四）招标语言及计量单位</w:t>
      </w:r>
      <w:bookmarkEnd w:id="106"/>
    </w:p>
    <w:p>
      <w:pPr>
        <w:widowControl/>
        <w:spacing w:line="360" w:lineRule="auto"/>
        <w:ind w:firstLine="720" w:firstLineChars="300"/>
        <w:rPr>
          <w:rFonts w:asciiTheme="minorEastAsia" w:hAnsiTheme="minorEastAsia" w:eastAsiaTheme="minorEastAsia" w:cstheme="minorEastAsia"/>
        </w:rPr>
      </w:pPr>
      <w:r>
        <w:rPr>
          <w:rFonts w:hint="eastAsia" w:asciiTheme="minorEastAsia" w:hAnsiTheme="minorEastAsia" w:eastAsiaTheme="minorEastAsia" w:cstheme="minorEastAsia"/>
        </w:rPr>
        <w:t>1.采购人发出的招标文件采用中文。</w:t>
      </w:r>
    </w:p>
    <w:p>
      <w:pPr>
        <w:widowControl/>
        <w:spacing w:line="360" w:lineRule="auto"/>
        <w:ind w:firstLine="720" w:firstLineChars="300"/>
        <w:rPr>
          <w:rFonts w:asciiTheme="minorEastAsia" w:hAnsiTheme="minorEastAsia" w:eastAsiaTheme="minorEastAsia" w:cstheme="minorEastAsia"/>
        </w:rPr>
      </w:pPr>
      <w:r>
        <w:rPr>
          <w:rFonts w:hint="eastAsia" w:asciiTheme="minorEastAsia" w:hAnsiTheme="minorEastAsia" w:eastAsiaTheme="minorEastAsia" w:cstheme="minorEastAsia"/>
        </w:rPr>
        <w:t>2.招标文件中使用的计量单位采用中华人民共和国法定计量单位 (特别说明的除外)。</w:t>
      </w:r>
    </w:p>
    <w:p>
      <w:pPr>
        <w:widowControl/>
        <w:spacing w:line="360" w:lineRule="auto"/>
        <w:ind w:firstLine="720" w:firstLineChars="300"/>
        <w:rPr>
          <w:rFonts w:asciiTheme="minorEastAsia" w:hAnsiTheme="minorEastAsia" w:eastAsiaTheme="minorEastAsia" w:cstheme="minorEastAsia"/>
        </w:rPr>
      </w:pPr>
      <w:r>
        <w:rPr>
          <w:rFonts w:hint="eastAsia" w:asciiTheme="minorEastAsia" w:hAnsiTheme="minorEastAsia" w:eastAsiaTheme="minorEastAsia" w:cstheme="minorEastAsia"/>
        </w:rPr>
        <w:t>3.招标文件中使用的日期、时间均为北京时区的日期、时间。</w:t>
      </w:r>
    </w:p>
    <w:p>
      <w:pPr>
        <w:pStyle w:val="4"/>
        <w:spacing w:line="360" w:lineRule="auto"/>
        <w:ind w:left="0"/>
        <w:rPr>
          <w:rFonts w:asciiTheme="minorEastAsia" w:hAnsiTheme="minorEastAsia" w:eastAsiaTheme="minorEastAsia" w:cstheme="minorEastAsia"/>
          <w:sz w:val="32"/>
        </w:rPr>
      </w:pPr>
      <w:bookmarkStart w:id="107" w:name="_Toc465269240"/>
      <w:r>
        <w:rPr>
          <w:rFonts w:hint="eastAsia" w:asciiTheme="minorEastAsia" w:hAnsiTheme="minorEastAsia" w:eastAsiaTheme="minorEastAsia" w:cstheme="minorEastAsia"/>
          <w:sz w:val="32"/>
        </w:rPr>
        <w:t>三、投标文件的编制</w:t>
      </w:r>
      <w:bookmarkEnd w:id="107"/>
    </w:p>
    <w:p>
      <w:pPr>
        <w:pStyle w:val="31"/>
        <w:snapToGrid w:val="0"/>
        <w:spacing w:line="360" w:lineRule="auto"/>
        <w:ind w:firstLine="482"/>
        <w:jc w:val="left"/>
        <w:rPr>
          <w:rFonts w:asciiTheme="minorEastAsia" w:hAnsiTheme="minorEastAsia" w:eastAsiaTheme="minorEastAsia" w:cstheme="minorEastAsia"/>
          <w:b/>
          <w:sz w:val="24"/>
          <w:szCs w:val="24"/>
        </w:rPr>
      </w:pPr>
      <w:bookmarkStart w:id="108" w:name="_Toc465269241"/>
      <w:r>
        <w:rPr>
          <w:rFonts w:hint="eastAsia" w:asciiTheme="minorEastAsia" w:hAnsiTheme="minorEastAsia" w:eastAsiaTheme="minorEastAsia" w:cstheme="minorEastAsia"/>
          <w:b/>
          <w:sz w:val="24"/>
          <w:szCs w:val="24"/>
        </w:rPr>
        <w:t>（一）投标语言及计量</w:t>
      </w:r>
      <w:bookmarkEnd w:id="108"/>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投标人提交的投标文件以及投标人与西南大学采购与招投标管理中心就有关投标的所有往来函电均应使用中文。投标人提供的支持文件、技术资料和已印刷的文献可以用另一种语言，但相应内容应附有中文翻译本，在解释投标文件时以中文翻译本为准。</w:t>
      </w:r>
    </w:p>
    <w:p>
      <w:pPr>
        <w:widowControl/>
        <w:spacing w:line="360" w:lineRule="auto"/>
        <w:ind w:firstLine="567"/>
        <w:rPr>
          <w:rFonts w:asciiTheme="minorEastAsia" w:hAnsiTheme="minorEastAsia" w:eastAsiaTheme="minorEastAsia" w:cstheme="minorEastAsia"/>
        </w:rPr>
      </w:pPr>
      <w:r>
        <w:rPr>
          <w:rFonts w:hint="eastAsia" w:asciiTheme="minorEastAsia" w:hAnsiTheme="minorEastAsia" w:eastAsiaTheme="minorEastAsia" w:cstheme="minorEastAsia"/>
        </w:rPr>
        <w:t>2. 投标文件及所有投标人与西南大学采购与招投标管理中心往来文件中的计量单位应采用中华人民共和国法定计量单位(招标文件中有特别说明的除外)。</w:t>
      </w:r>
    </w:p>
    <w:p>
      <w:pPr>
        <w:widowControl/>
        <w:spacing w:line="360" w:lineRule="auto"/>
        <w:ind w:firstLine="600" w:firstLineChars="250"/>
        <w:rPr>
          <w:rFonts w:asciiTheme="minorEastAsia" w:hAnsiTheme="minorEastAsia" w:eastAsiaTheme="minorEastAsia" w:cstheme="minorEastAsia"/>
        </w:rPr>
      </w:pPr>
      <w:r>
        <w:rPr>
          <w:rFonts w:hint="eastAsia" w:asciiTheme="minorEastAsia" w:hAnsiTheme="minorEastAsia" w:eastAsiaTheme="minorEastAsia" w:cstheme="minorEastAsia"/>
        </w:rPr>
        <w:t>3.投标文件及所有投标人与西南大学采购与招投标管理中心往来文件中使用的日期、时间采用北京时区的日期、时间。</w:t>
      </w:r>
    </w:p>
    <w:p>
      <w:pPr>
        <w:pStyle w:val="31"/>
        <w:snapToGrid w:val="0"/>
        <w:spacing w:line="360" w:lineRule="auto"/>
        <w:ind w:firstLine="482"/>
        <w:jc w:val="left"/>
        <w:rPr>
          <w:rFonts w:asciiTheme="minorEastAsia" w:hAnsiTheme="minorEastAsia" w:eastAsiaTheme="minorEastAsia" w:cstheme="minorEastAsia"/>
          <w:b/>
          <w:sz w:val="24"/>
          <w:szCs w:val="24"/>
        </w:rPr>
      </w:pPr>
      <w:bookmarkStart w:id="109" w:name="_Toc465269242"/>
      <w:r>
        <w:rPr>
          <w:rFonts w:hint="eastAsia" w:asciiTheme="minorEastAsia" w:hAnsiTheme="minorEastAsia" w:eastAsiaTheme="minorEastAsia" w:cstheme="minorEastAsia"/>
          <w:b/>
          <w:sz w:val="24"/>
          <w:szCs w:val="24"/>
        </w:rPr>
        <w:t>（二）投标文件的构成</w:t>
      </w:r>
      <w:bookmarkEnd w:id="109"/>
    </w:p>
    <w:p>
      <w:pPr>
        <w:widowControl/>
        <w:spacing w:line="360" w:lineRule="auto"/>
        <w:ind w:firstLine="720" w:firstLineChars="300"/>
        <w:rPr>
          <w:rFonts w:asciiTheme="minorEastAsia" w:hAnsiTheme="minorEastAsia" w:eastAsiaTheme="minorEastAsia" w:cstheme="minorEastAsia"/>
        </w:rPr>
      </w:pPr>
      <w:r>
        <w:rPr>
          <w:rFonts w:hint="eastAsia" w:asciiTheme="minorEastAsia" w:hAnsiTheme="minorEastAsia" w:eastAsiaTheme="minorEastAsia" w:cstheme="minorEastAsia"/>
        </w:rPr>
        <w:t>1. 投标人应完整地按招标文件提供的投标文件格式编写投标文件，投标文件由资格文件和技术、经济、商务文件组成，第四篇资格审查表所涉及到的文件均为资格文件，技术、经济、商务文件由技术部分、商务部分和经济部分组成。如投标人代表不是法定代表人，须提供《法定代表人授权书》。</w:t>
      </w:r>
    </w:p>
    <w:p>
      <w:pPr>
        <w:widowControl/>
        <w:spacing w:line="360" w:lineRule="auto"/>
        <w:ind w:firstLine="720" w:firstLineChars="300"/>
        <w:rPr>
          <w:rFonts w:asciiTheme="minorEastAsia" w:hAnsiTheme="minorEastAsia" w:eastAsiaTheme="minorEastAsia" w:cstheme="minorEastAsia"/>
        </w:rPr>
      </w:pPr>
      <w:r>
        <w:rPr>
          <w:rFonts w:hint="eastAsia" w:asciiTheme="minorEastAsia" w:hAnsiTheme="minorEastAsia" w:eastAsiaTheme="minorEastAsia" w:cstheme="minorEastAsia"/>
        </w:rPr>
        <w:t>2. 商务部分</w:t>
      </w:r>
    </w:p>
    <w:p>
      <w:pPr>
        <w:widowControl/>
        <w:spacing w:line="360" w:lineRule="auto"/>
        <w:ind w:firstLine="720" w:firstLineChars="300"/>
        <w:rPr>
          <w:rFonts w:asciiTheme="minorEastAsia" w:hAnsiTheme="minorEastAsia" w:eastAsiaTheme="minorEastAsia" w:cstheme="minorEastAsia"/>
        </w:rPr>
      </w:pPr>
      <w:r>
        <w:rPr>
          <w:rFonts w:hint="eastAsia" w:asciiTheme="minorEastAsia" w:hAnsiTheme="minorEastAsia" w:eastAsiaTheme="minorEastAsia" w:cstheme="minorEastAsia"/>
        </w:rPr>
        <w:t>2.1以招标文件第七部分投标文件格式所列出的对应书面应答文件作为内容。</w:t>
      </w:r>
    </w:p>
    <w:p>
      <w:pPr>
        <w:widowControl/>
        <w:spacing w:line="360" w:lineRule="auto"/>
        <w:ind w:firstLine="720" w:firstLineChars="300"/>
        <w:rPr>
          <w:rFonts w:asciiTheme="minorEastAsia" w:hAnsiTheme="minorEastAsia" w:eastAsiaTheme="minorEastAsia" w:cstheme="minorEastAsia"/>
        </w:rPr>
      </w:pPr>
      <w:r>
        <w:rPr>
          <w:rFonts w:hint="eastAsia" w:asciiTheme="minorEastAsia" w:hAnsiTheme="minorEastAsia" w:eastAsiaTheme="minorEastAsia" w:cstheme="minorEastAsia"/>
        </w:rPr>
        <w:t>2.2 针对招标文件第三部分项目商务要求的专用条款作出正面承诺和响应。</w:t>
      </w:r>
    </w:p>
    <w:p>
      <w:pPr>
        <w:widowControl/>
        <w:spacing w:line="360" w:lineRule="auto"/>
        <w:ind w:firstLine="720" w:firstLineChars="300"/>
        <w:rPr>
          <w:rFonts w:asciiTheme="minorEastAsia" w:hAnsiTheme="minorEastAsia" w:eastAsiaTheme="minorEastAsia" w:cstheme="minorEastAsia"/>
        </w:rPr>
      </w:pPr>
      <w:r>
        <w:rPr>
          <w:rFonts w:hint="eastAsia" w:asciiTheme="minorEastAsia" w:hAnsiTheme="minorEastAsia" w:eastAsiaTheme="minorEastAsia" w:cstheme="minorEastAsia"/>
        </w:rPr>
        <w:t>2.3针对招标文件第六部分的合同或协议条款作出响应。</w:t>
      </w:r>
    </w:p>
    <w:p>
      <w:pPr>
        <w:widowControl/>
        <w:spacing w:line="360" w:lineRule="auto"/>
        <w:ind w:firstLine="720" w:firstLineChars="300"/>
        <w:rPr>
          <w:rFonts w:asciiTheme="minorEastAsia" w:hAnsiTheme="minorEastAsia" w:eastAsiaTheme="minorEastAsia" w:cstheme="minorEastAsia"/>
        </w:rPr>
      </w:pPr>
      <w:r>
        <w:rPr>
          <w:rFonts w:hint="eastAsia" w:asciiTheme="minorEastAsia" w:hAnsiTheme="minorEastAsia" w:eastAsiaTheme="minorEastAsia" w:cstheme="minorEastAsia"/>
        </w:rPr>
        <w:t>3. 技术部分</w:t>
      </w:r>
    </w:p>
    <w:p>
      <w:pPr>
        <w:widowControl/>
        <w:spacing w:line="360" w:lineRule="auto"/>
        <w:ind w:firstLine="720" w:firstLineChars="300"/>
        <w:rPr>
          <w:rFonts w:asciiTheme="minorEastAsia" w:hAnsiTheme="minorEastAsia" w:eastAsiaTheme="minorEastAsia" w:cstheme="minorEastAsia"/>
        </w:rPr>
      </w:pPr>
      <w:r>
        <w:rPr>
          <w:rFonts w:hint="eastAsia" w:asciiTheme="minorEastAsia" w:hAnsiTheme="minorEastAsia" w:eastAsiaTheme="minorEastAsia" w:cstheme="minorEastAsia"/>
        </w:rPr>
        <w:t>3.1 对招标文件第二部分采购需求的书面应答，包括但不限于技术描述、技术规范、技术参数、技术文件、图纸、安装介绍、工期安排和售后服务等；</w:t>
      </w:r>
    </w:p>
    <w:p>
      <w:pPr>
        <w:widowControl/>
        <w:spacing w:line="360" w:lineRule="auto"/>
        <w:ind w:firstLine="600" w:firstLineChars="250"/>
        <w:rPr>
          <w:rFonts w:asciiTheme="minorEastAsia" w:hAnsiTheme="minorEastAsia" w:eastAsiaTheme="minorEastAsia" w:cstheme="minorEastAsia"/>
        </w:rPr>
      </w:pPr>
      <w:r>
        <w:rPr>
          <w:rFonts w:hint="eastAsia" w:asciiTheme="minorEastAsia" w:hAnsiTheme="minorEastAsia" w:eastAsiaTheme="minorEastAsia" w:cstheme="minorEastAsia"/>
        </w:rPr>
        <w:t>3.2 证明货物和服务与招标文件的要求相一致的文件，它可以是文字资料、图纸和数据，包括：</w:t>
      </w:r>
    </w:p>
    <w:p>
      <w:pPr>
        <w:widowControl/>
        <w:spacing w:line="360" w:lineRule="auto"/>
        <w:ind w:firstLine="600" w:firstLineChars="250"/>
        <w:rPr>
          <w:rFonts w:asciiTheme="minorEastAsia" w:hAnsiTheme="minorEastAsia" w:eastAsiaTheme="minorEastAsia" w:cstheme="minorEastAsia"/>
        </w:rPr>
      </w:pPr>
      <w:r>
        <w:rPr>
          <w:rFonts w:hint="eastAsia" w:asciiTheme="minorEastAsia" w:hAnsiTheme="minorEastAsia" w:eastAsiaTheme="minorEastAsia" w:cstheme="minorEastAsia"/>
        </w:rPr>
        <w:t>3.2.1 货物主要技术指标和性能的详细说明；</w:t>
      </w:r>
    </w:p>
    <w:p>
      <w:pPr>
        <w:widowControl/>
        <w:spacing w:line="360" w:lineRule="auto"/>
        <w:ind w:firstLine="600" w:firstLineChars="250"/>
        <w:rPr>
          <w:rFonts w:asciiTheme="minorEastAsia" w:hAnsiTheme="minorEastAsia" w:eastAsiaTheme="minorEastAsia" w:cstheme="minorEastAsia"/>
        </w:rPr>
      </w:pPr>
      <w:r>
        <w:rPr>
          <w:rFonts w:hint="eastAsia" w:asciiTheme="minorEastAsia" w:hAnsiTheme="minorEastAsia" w:eastAsiaTheme="minorEastAsia" w:cstheme="minorEastAsia"/>
        </w:rPr>
        <w:t>3.2.2招标文件第二部分采购需求中规定的备品备件和专用工具清单，包括货源、现行价格及详细说明。</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3.2.3对招标文件第二部分采购需求，逐条说明所提供货物和服务是否已做出了实质性的响应，或说明与技术规格条文的偏差和例外。</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3.3招标文件要求或投标人认为必要的其它内容（如：相关优势等）。</w:t>
      </w:r>
    </w:p>
    <w:p>
      <w:pPr>
        <w:widowControl/>
        <w:spacing w:line="360" w:lineRule="auto"/>
        <w:ind w:firstLine="482" w:firstLineChars="200"/>
        <w:rPr>
          <w:rFonts w:asciiTheme="minorEastAsia" w:hAnsiTheme="minorEastAsia" w:eastAsiaTheme="minorEastAsia" w:cstheme="minorEastAsia"/>
          <w:b/>
        </w:rPr>
      </w:pPr>
      <w:r>
        <w:rPr>
          <w:rFonts w:hint="eastAsia" w:asciiTheme="minorEastAsia" w:hAnsiTheme="minorEastAsia" w:eastAsiaTheme="minorEastAsia" w:cstheme="minorEastAsia"/>
          <w:b/>
        </w:rPr>
        <w:t>4.投标文件应对上述内容标示具体位置的确切目录及索引。</w:t>
      </w:r>
    </w:p>
    <w:p>
      <w:pPr>
        <w:pStyle w:val="31"/>
        <w:snapToGrid w:val="0"/>
        <w:spacing w:line="360" w:lineRule="auto"/>
        <w:ind w:firstLine="482"/>
        <w:jc w:val="left"/>
        <w:rPr>
          <w:rFonts w:asciiTheme="minorEastAsia" w:hAnsiTheme="minorEastAsia" w:eastAsiaTheme="minorEastAsia" w:cstheme="minorEastAsia"/>
          <w:b/>
          <w:sz w:val="24"/>
          <w:szCs w:val="24"/>
        </w:rPr>
      </w:pPr>
      <w:bookmarkStart w:id="110" w:name="_Toc465269243"/>
      <w:r>
        <w:rPr>
          <w:rFonts w:hint="eastAsia" w:asciiTheme="minorEastAsia" w:hAnsiTheme="minorEastAsia" w:eastAsiaTheme="minorEastAsia" w:cstheme="minorEastAsia"/>
          <w:b/>
          <w:sz w:val="24"/>
          <w:szCs w:val="24"/>
        </w:rPr>
        <w:t>（三）投标报价</w:t>
      </w:r>
      <w:bookmarkEnd w:id="110"/>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1.投标人应在投标分项报价表上标明本合同拟提供的货物的单价（如适用）、每个单项的小计、整个投标的总价以及合同项下的货物以及服务的来源地。本项目合同类型为买卖合同,固定总价合同。</w:t>
      </w:r>
    </w:p>
    <w:p>
      <w:pPr>
        <w:widowControl/>
        <w:spacing w:line="360" w:lineRule="auto"/>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2.国产的货物及其有关服务的报价为DDP西南大学项目现场价（含装卸搬运费）。即货物送达西南大学并安装调试至指定位置所涉及的所有费用、税金以及售后服务费。 </w:t>
      </w:r>
    </w:p>
    <w:p>
      <w:pPr>
        <w:spacing w:line="520" w:lineRule="exact"/>
        <w:ind w:left="550" w:leftChars="229"/>
        <w:rPr>
          <w:rFonts w:asciiTheme="minorEastAsia" w:hAnsiTheme="minorEastAsia" w:eastAsiaTheme="minorEastAsia" w:cstheme="minorEastAsia"/>
        </w:rPr>
      </w:pPr>
      <w:r>
        <w:rPr>
          <w:rFonts w:hint="eastAsia" w:asciiTheme="minorEastAsia" w:hAnsiTheme="minorEastAsia" w:eastAsiaTheme="minorEastAsia" w:cstheme="minorEastAsia"/>
        </w:rPr>
        <w:t>3.从中华人民共和国关境外提供货物及服务的报价为CIP 西南大学或DAP西南大学</w:t>
      </w:r>
    </w:p>
    <w:p>
      <w:pPr>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价，包括货物从进口口岸运至最终目的地的内陆运输费、保险费等；</w:t>
      </w:r>
      <w:r>
        <w:rPr>
          <w:rFonts w:hint="eastAsia" w:asciiTheme="minorEastAsia" w:hAnsiTheme="minorEastAsia" w:eastAsiaTheme="minorEastAsia" w:cstheme="minorEastAsia"/>
          <w:b/>
          <w:bCs/>
        </w:rPr>
        <w:t>不包括海关杂费、外贸代理费等进口清关费用</w:t>
      </w:r>
      <w:r>
        <w:rPr>
          <w:rFonts w:hint="eastAsia" w:asciiTheme="minorEastAsia" w:hAnsiTheme="minorEastAsia" w:eastAsiaTheme="minorEastAsia" w:cstheme="minorEastAsia"/>
        </w:rPr>
        <w:t>，如果可享受免征进口环节关税和增值税政策的，报价应不包含可减免的税金，否则需要包含应向中华人民共和国政府缴纳的进口环节关税和增值税。亦可报DDP西南大学（含装卸搬运费）价，包括货物送达西南大学并安装调试至指定位置所涉及的所有费用、税金（如果可享受免征进口环节关税和增值税政策的，报价应不包含可减免的税金）以及售后服务费。</w:t>
      </w:r>
    </w:p>
    <w:p>
      <w:pPr>
        <w:spacing w:line="5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4.在中华人民共和国境内的海关特殊监管区域内生产或加工销往境内其他地区的产品，不视为政府采购项下的进口产品，但报价须按第3条要求执行。从境外进入海关特殊监管区域，再经办理报关手续后从海关特殊监管区进入境内其他地区的产品，为境外供货，报价按第3条要求执行。</w:t>
      </w:r>
    </w:p>
    <w:p>
      <w:pPr>
        <w:spacing w:line="4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b/>
        </w:rPr>
        <w:t xml:space="preserve"> 特别说明</w:t>
      </w:r>
      <w:r>
        <w:rPr>
          <w:rFonts w:hint="eastAsia" w:asciiTheme="minorEastAsia" w:hAnsiTheme="minorEastAsia" w:eastAsiaTheme="minorEastAsia" w:cstheme="minorEastAsia"/>
        </w:rPr>
        <w:t>：根据《关于“十四五”期间支持科技创新进口税收政策的通知》（财关税〔2021〕23号）、《关于“十四五”期间支持科技创新进口税收政策管理办法的通知》（财关税[2021]24号）、《关于“十四五”期间进口科学研究、科技开发和教学用品免税清单（第一批）的通知》（财关税[2021]44号）的规定，符合减免税政策的科研设备和教学用品，投标报价中不包含向中华人民共和国政府交纳的进口关税和进口环节增值税、消费税。不符合上述政策产生的税费由中标人承担。</w:t>
      </w:r>
    </w:p>
    <w:p>
      <w:pPr>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因投标人自身原因误填、错填是否免税项而选择了是否含税的报价而产生的风险由投标人承担。</w:t>
      </w:r>
      <w:r>
        <w:rPr>
          <w:rFonts w:hint="eastAsia" w:asciiTheme="minorEastAsia" w:hAnsiTheme="minorEastAsia" w:eastAsiaTheme="minorEastAsia" w:cstheme="minorEastAsia"/>
          <w:b/>
        </w:rPr>
        <w:t>非免税产品填写“免税”的，所产生的税费也应由中标人承担。可以免税的产品填写“不免税”的，将从货款里扣除进口环节税金后再将余额支付给供方。</w:t>
      </w:r>
    </w:p>
    <w:p>
      <w:pPr>
        <w:spacing w:line="5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5.</w:t>
      </w:r>
      <w:r>
        <w:rPr>
          <w:rFonts w:hint="eastAsia" w:asciiTheme="minorEastAsia" w:hAnsiTheme="minorEastAsia" w:eastAsiaTheme="minorEastAsia" w:cstheme="minorEastAsia"/>
          <w:b/>
        </w:rPr>
        <w:t>特别条款</w:t>
      </w:r>
      <w:r>
        <w:rPr>
          <w:rFonts w:hint="eastAsia" w:asciiTheme="minorEastAsia" w:hAnsiTheme="minorEastAsia" w:eastAsiaTheme="minorEastAsia" w:cstheme="minorEastAsia"/>
        </w:rPr>
        <w:t>：投标人所提供的货物如果原产于美国，投标报价中还必须包括加征的关税。加征关税的商品清单及税率以国务院税则委员会发布的最新有效公告为准。投标报价应当包含加征关税而未包含，是投标人的风险，视为已考虑在投标报价中。</w:t>
      </w:r>
    </w:p>
    <w:p>
      <w:pPr>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     6.在中国境内为需方提供的安调、培训服务，根据中国相关税法的规定，如有需要供方承担的税费，包括但不限于增值税，企业及个人所得税，均应由供方承担，需方依法代扣代缴。</w:t>
      </w:r>
    </w:p>
    <w:p>
      <w:pPr>
        <w:widowControl/>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7.售后服务费、培训费用及检测验收费、必不可少的部件、附件、标准备件、专用工具、踏勘费、及伴随货物交运的有关费用等均须包含在投标报价中，不单独列项报价。</w:t>
      </w:r>
    </w:p>
    <w:p>
      <w:pPr>
        <w:widowControl/>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8.标价应包含所有应向所有权人支付的专利权、商标权或其它知识产权等的费用及税金。</w:t>
      </w:r>
    </w:p>
    <w:p>
      <w:pPr>
        <w:widowControl/>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9.标报价为一口价，投标人对每种货物只允许有一个报价，采购人不接受有任何选择的报价，同时不接受有条件的优惠报价。</w:t>
      </w:r>
      <w:r>
        <w:rPr>
          <w:rFonts w:hint="eastAsia" w:asciiTheme="minorEastAsia" w:hAnsiTheme="minorEastAsia" w:eastAsiaTheme="minorEastAsia" w:cstheme="minorEastAsia"/>
          <w:b/>
        </w:rPr>
        <w:t>投标人在某一合同包内有任何选择报价的，将视为无效投标</w:t>
      </w:r>
      <w:r>
        <w:rPr>
          <w:rFonts w:hint="eastAsia" w:asciiTheme="minorEastAsia" w:hAnsiTheme="minorEastAsia" w:eastAsiaTheme="minorEastAsia" w:cstheme="minorEastAsia"/>
        </w:rPr>
        <w:t>(招标文件有特别说明的除外)。</w:t>
      </w:r>
    </w:p>
    <w:p>
      <w:pPr>
        <w:widowControl/>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10.必须按招标文件中“采购需求”里的采购方案报价，不得有缺漏项，否则视为非实质响应投标而被拒绝。</w:t>
      </w:r>
    </w:p>
    <w:p>
      <w:pPr>
        <w:widowControl/>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11.货物中如包含国内提供的货物，供应商应对境外供货部分和国内供货部分分别报价，并分别签订进口货物购销协议和国内采购合同。</w:t>
      </w:r>
    </w:p>
    <w:p>
      <w:pPr>
        <w:widowControl/>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12.报价中包含招标文件要求以外的内容，在评标时不予核减。</w:t>
      </w:r>
    </w:p>
    <w:p>
      <w:pPr>
        <w:widowControl/>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13.标人所报的投标价在合同执行期间是固定不变的，不得以任何理由予以变更。以可调整的价格提交的投标文件将作为非响应性投标而予以拒绝。</w:t>
      </w:r>
    </w:p>
    <w:p>
      <w:pPr>
        <w:pStyle w:val="31"/>
        <w:snapToGrid w:val="0"/>
        <w:spacing w:line="460" w:lineRule="exact"/>
        <w:ind w:firstLine="482"/>
        <w:jc w:val="left"/>
        <w:rPr>
          <w:rFonts w:asciiTheme="minorEastAsia" w:hAnsiTheme="minorEastAsia" w:eastAsiaTheme="minorEastAsia" w:cstheme="minorEastAsia"/>
          <w:b/>
          <w:sz w:val="24"/>
          <w:szCs w:val="24"/>
        </w:rPr>
      </w:pPr>
      <w:bookmarkStart w:id="111" w:name="_Toc465269244"/>
      <w:r>
        <w:rPr>
          <w:rFonts w:hint="eastAsia" w:asciiTheme="minorEastAsia" w:hAnsiTheme="minorEastAsia" w:eastAsiaTheme="minorEastAsia" w:cstheme="minorEastAsia"/>
          <w:b/>
          <w:sz w:val="24"/>
          <w:szCs w:val="24"/>
        </w:rPr>
        <w:t>（四）投标货币</w:t>
      </w:r>
      <w:bookmarkEnd w:id="111"/>
    </w:p>
    <w:p>
      <w:pPr>
        <w:widowControl/>
        <w:spacing w:line="460" w:lineRule="exact"/>
        <w:ind w:firstLine="567"/>
        <w:rPr>
          <w:rFonts w:asciiTheme="minorEastAsia" w:hAnsiTheme="minorEastAsia" w:eastAsiaTheme="minorEastAsia" w:cstheme="minorEastAsia"/>
        </w:rPr>
      </w:pPr>
      <w:r>
        <w:rPr>
          <w:rFonts w:hint="eastAsia" w:asciiTheme="minorEastAsia" w:hAnsiTheme="minorEastAsia" w:eastAsiaTheme="minorEastAsia" w:cstheme="minorEastAsia"/>
        </w:rPr>
        <w:t>1.投标人从中华人民共和国关境内提供的货物和服务须用人民币报价；</w:t>
      </w:r>
    </w:p>
    <w:p>
      <w:pPr>
        <w:widowControl/>
        <w:spacing w:line="360" w:lineRule="auto"/>
        <w:ind w:firstLine="567"/>
        <w:rPr>
          <w:rFonts w:asciiTheme="minorEastAsia" w:hAnsiTheme="minorEastAsia" w:eastAsiaTheme="minorEastAsia" w:cstheme="minorEastAsia"/>
        </w:rPr>
      </w:pPr>
      <w:r>
        <w:rPr>
          <w:rFonts w:hint="eastAsia" w:asciiTheme="minorEastAsia" w:hAnsiTheme="minorEastAsia" w:eastAsiaTheme="minorEastAsia" w:cstheme="minorEastAsia"/>
        </w:rPr>
        <w:t>2.投标人从中华人民共和国关境外提供的货物和服务可报人民币或外币（以美元或国际主要流通货币报价）。</w:t>
      </w:r>
    </w:p>
    <w:p>
      <w:pPr>
        <w:pStyle w:val="31"/>
        <w:snapToGrid w:val="0"/>
        <w:spacing w:line="360" w:lineRule="auto"/>
        <w:ind w:firstLine="482"/>
        <w:jc w:val="left"/>
        <w:rPr>
          <w:rFonts w:asciiTheme="minorEastAsia" w:hAnsiTheme="minorEastAsia" w:eastAsiaTheme="minorEastAsia" w:cstheme="minorEastAsia"/>
          <w:b/>
          <w:sz w:val="24"/>
          <w:szCs w:val="24"/>
        </w:rPr>
      </w:pPr>
      <w:bookmarkStart w:id="112" w:name="_Toc465269245"/>
      <w:r>
        <w:rPr>
          <w:rFonts w:hint="eastAsia" w:asciiTheme="minorEastAsia" w:hAnsiTheme="minorEastAsia" w:eastAsiaTheme="minorEastAsia" w:cstheme="minorEastAsia"/>
          <w:b/>
          <w:sz w:val="24"/>
          <w:szCs w:val="24"/>
        </w:rPr>
        <w:t>（五）证明投标人有资格履行合同的文件</w:t>
      </w:r>
      <w:bookmarkEnd w:id="112"/>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1.投标人应按规定提交证明其有资格参加投标和中标后有能力履行合同的文件，并作为其投标文件的组成部分。</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2.投标人提交的在中标后有资格履行合同的证明文件应满足招标文件规定。</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2.1 投标人已具备履行合同所需的财务、技术、生产和供货能力，包括为了履行服务进行人员配置的能力。</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2.2 营业执照、税务登记证、组织机构代码证和国家管理部门签发的销售许可（若必须）复印件加盖公章。</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2.3有关授权代理人的资料和制造商的授权书（若投标人为进口设备代理商）等。</w:t>
      </w:r>
    </w:p>
    <w:p>
      <w:pPr>
        <w:pStyle w:val="31"/>
        <w:snapToGrid w:val="0"/>
        <w:spacing w:line="360" w:lineRule="auto"/>
        <w:ind w:firstLine="482"/>
        <w:jc w:val="left"/>
        <w:rPr>
          <w:rFonts w:asciiTheme="minorEastAsia" w:hAnsiTheme="minorEastAsia" w:eastAsiaTheme="minorEastAsia" w:cstheme="minorEastAsia"/>
          <w:b/>
          <w:sz w:val="24"/>
          <w:szCs w:val="24"/>
        </w:rPr>
      </w:pPr>
      <w:bookmarkStart w:id="113" w:name="_Toc465269246"/>
      <w:r>
        <w:rPr>
          <w:rFonts w:hint="eastAsia" w:asciiTheme="minorEastAsia" w:hAnsiTheme="minorEastAsia" w:eastAsiaTheme="minorEastAsia" w:cstheme="minorEastAsia"/>
          <w:b/>
          <w:sz w:val="24"/>
          <w:szCs w:val="24"/>
        </w:rPr>
        <w:t>（六）证明货物的合格性和符合招标文件规定的文件</w:t>
      </w:r>
      <w:bookmarkEnd w:id="113"/>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1.投标人应提交证明其拟提供的货物及相关服务符合招标文件规定的文件，包括</w:t>
      </w:r>
      <w:r>
        <w:rPr>
          <w:rFonts w:hint="eastAsia" w:asciiTheme="minorEastAsia" w:hAnsiTheme="minorEastAsia" w:eastAsiaTheme="minorEastAsia" w:cstheme="minorEastAsia"/>
          <w:spacing w:val="-4"/>
        </w:rPr>
        <w:t>投标报价表中所列</w:t>
      </w:r>
      <w:r>
        <w:rPr>
          <w:rFonts w:hint="eastAsia" w:asciiTheme="minorEastAsia" w:hAnsiTheme="minorEastAsia" w:eastAsiaTheme="minorEastAsia" w:cstheme="minorEastAsia"/>
        </w:rPr>
        <w:t>对货物原产地的说明，作为其投标文件的一部分。</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2.证明货物及相关服务与招标文件的要求相一致的文件，可以是文字资料、图纸、数据和实物，包括如下：</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2.1 货物的型号、规格；</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2.2 货物在商务要求规定的保质期内正常、连续地使用货物所必需的备品备件、专用工具的清单，包括其货源及现行价格；</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2.3 对照招标文件要求的技术规格，投标人逐条说明所提供的货物及相关服务已对招标文件中的技术规格作出了实质性的响应；或申明与技术规格条文的偏差和例外。</w:t>
      </w:r>
    </w:p>
    <w:p>
      <w:pPr>
        <w:widowControl/>
        <w:spacing w:line="360" w:lineRule="auto"/>
        <w:ind w:firstLine="480" w:firstLineChars="200"/>
        <w:rPr>
          <w:rFonts w:asciiTheme="minorEastAsia" w:hAnsiTheme="minorEastAsia" w:eastAsiaTheme="minorEastAsia" w:cstheme="minorEastAsia"/>
          <w:b/>
        </w:rPr>
      </w:pPr>
      <w:r>
        <w:rPr>
          <w:rFonts w:hint="eastAsia" w:asciiTheme="minorEastAsia" w:hAnsiTheme="minorEastAsia" w:eastAsiaTheme="minorEastAsia" w:cstheme="minorEastAsia"/>
        </w:rPr>
        <w:t>3.</w:t>
      </w:r>
      <w:r>
        <w:rPr>
          <w:rFonts w:hint="eastAsia" w:asciiTheme="minorEastAsia" w:hAnsiTheme="minorEastAsia" w:eastAsiaTheme="minorEastAsia" w:cstheme="minorEastAsia"/>
          <w:b/>
        </w:rPr>
        <w:t>招标文件在技术规格中指出的工艺、材料和设备标准以及参照的品牌或型号仅起说明作用，并没有任何限制性。投标人在投标中可以选用替代标准、品牌或型号，但这些替代要实质上相当（或优）于招标文件技术规格的要求。</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4.投标文件和投标产品应符合我国有关法律法规、强制认证标准、国家关于安全、卫生、环保、质量、能耗、社会责任等有关规定以及国际公认的科学理论。否则，该投标将被拒绝。如该货物需要办理出口许可证等相关出口手续或/和该货物属于对中国限制出口的，投标人必须在投标文件中明确需要采购人协助提供的资料明细。由于出口许可证或/和限制出口的原因导致延迟交货或不能履行合同的，责任由投标人承担。</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5.中标人须保证合同货物在接收试验时各项技术参数满足合同要求，须保证合同项下所供货物是全新的、未使用过的，是最新或目前的型号。除非采购文件另有规定，货物应含有设计上和材料的全部最新改进。中标人须进一步保证合同货物不会因设计、材料、工艺的原因而有任何故障和缺陷（由于按采购人的要求设计或按采购人的规格提供的材料所产生的缺陷除外），或者没有因中标人的行为或疏忽而产生的缺陷，这些缺陷是所供货物在最终目的地国家现行条件下正常使用可能产生的。中标人应保证提交的技术文件、图纸的完整、清楚和正确，达到合同货物设计、安装、运行和维护要求。在合同货物安装、调试、接收试验期间，如发现因中标人原因造成的合同货物的缺陷或损坏，中标人须尽快免费更换和修复并补偿给采购人造成的一切直接损失。中标人须承担此项更换和修复工作的一切风险和费用。</w:t>
      </w:r>
    </w:p>
    <w:p>
      <w:pPr>
        <w:widowControl/>
        <w:spacing w:line="360" w:lineRule="auto"/>
        <w:ind w:firstLine="315"/>
        <w:rPr>
          <w:rFonts w:asciiTheme="minorEastAsia" w:hAnsiTheme="minorEastAsia" w:eastAsiaTheme="minorEastAsia" w:cstheme="minorEastAsia"/>
        </w:rPr>
      </w:pPr>
      <w:r>
        <w:rPr>
          <w:rFonts w:hint="eastAsia" w:asciiTheme="minorEastAsia" w:hAnsiTheme="minorEastAsia" w:eastAsiaTheme="minorEastAsia" w:cstheme="minorEastAsia"/>
        </w:rPr>
        <w:t xml:space="preserve"> 6.中标人须保证至货到用户指定安装地点时止，进口货物制造出厂日期不大于十二个月，国内货物制造出厂日期不大于六个月。任何超出此期限要求的，投标时须在《投标分项报价表》的备注中予以特别声明。制造出厂日期</w:t>
      </w:r>
      <w:r>
        <w:rPr>
          <w:rFonts w:hint="eastAsia" w:asciiTheme="minorEastAsia" w:hAnsiTheme="minorEastAsia" w:eastAsiaTheme="minorEastAsia" w:cstheme="minorEastAsia"/>
          <w:b/>
        </w:rPr>
        <w:t>超出规定要求而未声明的</w:t>
      </w:r>
      <w:r>
        <w:rPr>
          <w:rFonts w:hint="eastAsia" w:asciiTheme="minorEastAsia" w:hAnsiTheme="minorEastAsia" w:eastAsiaTheme="minorEastAsia" w:cstheme="minorEastAsia"/>
        </w:rPr>
        <w:t>，采购人有权酌情处理，包括但不限于视中标人为虚假响应、中止合同或扣付中标价 10%以上金额等。供应商所提供的货物必须符合国家有关标准。国内生产的货物须提供产品质量检验合格证明；进口货物属于《实施质量许可制度的进口商品目录》内的商品，必须获得国家商检局签发的“ 进口商品安全质量许可证书”及《安全标志》，属于《实施质量许可制度的进口商品目录》外的商品，须提供商检机构或有关检验机构的检验合格通知单或者生产厂商的质量检验合格证明。</w:t>
      </w:r>
    </w:p>
    <w:p>
      <w:pPr>
        <w:pStyle w:val="31"/>
        <w:snapToGrid w:val="0"/>
        <w:spacing w:line="360" w:lineRule="auto"/>
        <w:ind w:firstLine="482"/>
        <w:jc w:val="left"/>
        <w:rPr>
          <w:rFonts w:asciiTheme="minorEastAsia" w:hAnsiTheme="minorEastAsia" w:eastAsiaTheme="minorEastAsia" w:cstheme="minorEastAsia"/>
          <w:b/>
          <w:sz w:val="24"/>
          <w:szCs w:val="24"/>
        </w:rPr>
      </w:pPr>
      <w:bookmarkStart w:id="114" w:name="_Toc465269247"/>
      <w:r>
        <w:rPr>
          <w:rFonts w:hint="eastAsia" w:asciiTheme="minorEastAsia" w:hAnsiTheme="minorEastAsia" w:eastAsiaTheme="minorEastAsia" w:cstheme="minorEastAsia"/>
          <w:b/>
          <w:sz w:val="24"/>
          <w:szCs w:val="24"/>
        </w:rPr>
        <w:t>（七）知识产权和专利权</w:t>
      </w:r>
      <w:bookmarkEnd w:id="114"/>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投标人提供的产品，包括设备、软件、材料（和/或耗材）、技术资料要求在中华人民共和国境内拥有合法的使用权和版权；如果采购人在中华人民共和国境内使用该货物或其任何一部分时，有第三方向采购人提出侵犯其专利权、商标权或其它知识产权的主张，该责任由投标人承担。</w:t>
      </w:r>
    </w:p>
    <w:p>
      <w:pPr>
        <w:pStyle w:val="31"/>
        <w:snapToGrid w:val="0"/>
        <w:spacing w:line="360" w:lineRule="auto"/>
        <w:ind w:firstLine="482"/>
        <w:jc w:val="left"/>
        <w:rPr>
          <w:rFonts w:asciiTheme="minorEastAsia" w:hAnsiTheme="minorEastAsia" w:eastAsiaTheme="minorEastAsia" w:cstheme="minorEastAsia"/>
          <w:b/>
          <w:sz w:val="24"/>
          <w:szCs w:val="24"/>
        </w:rPr>
      </w:pPr>
      <w:bookmarkStart w:id="115" w:name="_Toc465269248"/>
      <w:r>
        <w:rPr>
          <w:rFonts w:hint="eastAsia" w:asciiTheme="minorEastAsia" w:hAnsiTheme="minorEastAsia" w:eastAsiaTheme="minorEastAsia" w:cstheme="minorEastAsia"/>
          <w:b/>
          <w:sz w:val="24"/>
          <w:szCs w:val="24"/>
        </w:rPr>
        <w:t>（八）保密</w:t>
      </w:r>
      <w:bookmarkEnd w:id="115"/>
    </w:p>
    <w:p>
      <w:pPr>
        <w:widowControl/>
        <w:spacing w:line="360" w:lineRule="auto"/>
        <w:ind w:firstLine="552" w:firstLineChars="230"/>
        <w:rPr>
          <w:rFonts w:asciiTheme="minorEastAsia" w:hAnsiTheme="minorEastAsia" w:eastAsiaTheme="minorEastAsia" w:cstheme="minorEastAsia"/>
        </w:rPr>
      </w:pPr>
      <w:r>
        <w:rPr>
          <w:rFonts w:hint="eastAsia" w:asciiTheme="minorEastAsia" w:hAnsiTheme="minorEastAsia" w:eastAsiaTheme="minorEastAsia" w:cstheme="minorEastAsia"/>
        </w:rPr>
        <w:t>如采购人向投标人提供图纸、详细资料、样品、模型、模件和所有其他资料，这些均被视为保密资料，仅被用于它所规定的用途，除非得到采购人的同意，投标人不能向任何第三方透露。</w:t>
      </w:r>
      <w:bookmarkStart w:id="116" w:name="_Toc465269249"/>
    </w:p>
    <w:bookmarkEnd w:id="116"/>
    <w:p>
      <w:pPr>
        <w:pStyle w:val="31"/>
        <w:snapToGrid w:val="0"/>
        <w:spacing w:line="360" w:lineRule="auto"/>
        <w:ind w:firstLine="482"/>
        <w:jc w:val="left"/>
        <w:rPr>
          <w:rFonts w:asciiTheme="minorEastAsia" w:hAnsiTheme="minorEastAsia" w:eastAsiaTheme="minorEastAsia" w:cstheme="minorEastAsia"/>
          <w:b/>
          <w:sz w:val="24"/>
          <w:szCs w:val="24"/>
        </w:rPr>
      </w:pPr>
      <w:bookmarkStart w:id="117" w:name="_Toc465269250"/>
      <w:r>
        <w:rPr>
          <w:rFonts w:hint="eastAsia" w:asciiTheme="minorEastAsia" w:hAnsiTheme="minorEastAsia" w:eastAsiaTheme="minorEastAsia" w:cstheme="minorEastAsia"/>
          <w:b/>
          <w:sz w:val="24"/>
          <w:szCs w:val="24"/>
        </w:rPr>
        <w:t>（九）投标有效期</w:t>
      </w:r>
      <w:bookmarkEnd w:id="117"/>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1.投标文件应在招标邀请书规定的投标截止日后的90 个日历日内保持有效。投标有效期短于这个规定期限的，将视为非实质性响应而被拒绝。</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特殊情况下采购人可在原投标有效期满之前，要求投标人同意延长投标文件的有效期。接受该要求的投标人将不会被要求和允许修正其投标。投标人也可以拒绝采购人的这种要求。上述要求和答复都应以书面形式提交。</w:t>
      </w:r>
    </w:p>
    <w:p>
      <w:pPr>
        <w:pStyle w:val="31"/>
        <w:snapToGrid w:val="0"/>
        <w:spacing w:line="360" w:lineRule="auto"/>
        <w:ind w:firstLine="482"/>
        <w:jc w:val="left"/>
        <w:rPr>
          <w:rFonts w:asciiTheme="minorEastAsia" w:hAnsiTheme="minorEastAsia" w:eastAsiaTheme="minorEastAsia" w:cstheme="minorEastAsia"/>
          <w:b/>
          <w:sz w:val="24"/>
          <w:szCs w:val="24"/>
        </w:rPr>
      </w:pPr>
      <w:bookmarkStart w:id="118" w:name="_Toc465269251"/>
      <w:r>
        <w:rPr>
          <w:rFonts w:hint="eastAsia" w:asciiTheme="minorEastAsia" w:hAnsiTheme="minorEastAsia" w:eastAsiaTheme="minorEastAsia" w:cstheme="minorEastAsia"/>
          <w:b/>
          <w:sz w:val="24"/>
          <w:szCs w:val="24"/>
        </w:rPr>
        <w:t>（十）不允许偏离的条款</w:t>
      </w:r>
      <w:bookmarkEnd w:id="118"/>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1.招标文件中的重要条款不允许偏离，如投标文件中对重要条款有负偏离，则是投标人的风险。不允许负偏离的条款如下。</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1.1第三篇和第六篇商务条款中带“*”号的条款；</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1.2资格文件不允许偏离；</w:t>
      </w:r>
    </w:p>
    <w:p>
      <w:pPr>
        <w:widowControl/>
        <w:spacing w:line="360" w:lineRule="auto"/>
        <w:ind w:firstLine="482" w:firstLineChars="200"/>
        <w:rPr>
          <w:rFonts w:asciiTheme="minorEastAsia" w:hAnsiTheme="minorEastAsia" w:eastAsiaTheme="minorEastAsia" w:cstheme="minorEastAsia"/>
          <w:b/>
          <w:bCs/>
        </w:rPr>
      </w:pPr>
      <w:r>
        <w:rPr>
          <w:rFonts w:hint="eastAsia" w:asciiTheme="minorEastAsia" w:hAnsiTheme="minorEastAsia" w:eastAsiaTheme="minorEastAsia" w:cstheme="minorEastAsia"/>
          <w:b/>
          <w:bCs/>
        </w:rPr>
        <w:t>1.3招标文件第二部分“采购需求”中实质性要求不可负偏离；</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1.4招标文件规定的其它不允许负偏离的内容。</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2.下述条款不应视作不可偏离：</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2.1招标文件中除资格文件，招标文件明确为无效标（或废标、否决投标）情形外的条款；</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2.2 《采购需求》中已明确的投标人可提供其他优选方案部分；</w:t>
      </w:r>
    </w:p>
    <w:p>
      <w:pPr>
        <w:widowControl/>
        <w:spacing w:line="360" w:lineRule="auto"/>
        <w:ind w:firstLine="480" w:firstLineChars="200"/>
        <w:rPr>
          <w:rFonts w:asciiTheme="minorEastAsia" w:hAnsiTheme="minorEastAsia" w:eastAsiaTheme="minorEastAsia" w:cstheme="minorEastAsia"/>
          <w:b/>
        </w:rPr>
      </w:pPr>
      <w:r>
        <w:rPr>
          <w:rFonts w:hint="eastAsia" w:asciiTheme="minorEastAsia" w:hAnsiTheme="minorEastAsia" w:eastAsiaTheme="minorEastAsia" w:cstheme="minorEastAsia"/>
        </w:rPr>
        <w:t>2.3投标文件中技术参数、功能或其他内容优于“采购需求”不视作负偏离，不构成无效标，投标人对这种优于的情况必须单独说明。</w:t>
      </w:r>
    </w:p>
    <w:p>
      <w:pPr>
        <w:widowControl/>
        <w:spacing w:line="360" w:lineRule="auto"/>
        <w:ind w:firstLine="480" w:firstLineChars="200"/>
        <w:rPr>
          <w:rFonts w:asciiTheme="minorEastAsia" w:hAnsiTheme="minorEastAsia" w:eastAsiaTheme="minorEastAsia" w:cstheme="minorEastAsia"/>
        </w:rPr>
      </w:pPr>
      <w:bookmarkStart w:id="119" w:name="_Toc465269253"/>
      <w:r>
        <w:rPr>
          <w:rFonts w:hint="eastAsia" w:asciiTheme="minorEastAsia" w:hAnsiTheme="minorEastAsia" w:eastAsiaTheme="minorEastAsia" w:cstheme="minorEastAsia"/>
        </w:rPr>
        <w:t>（十二）投标文件的份数、式样和签署</w:t>
      </w:r>
      <w:bookmarkEnd w:id="119"/>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 投标文件份数要求如下：</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若有分包，同时参与多个分包的投标人，每个分包的投标文件必须单独制作。</w:t>
      </w:r>
    </w:p>
    <w:p>
      <w:pPr>
        <w:widowControl/>
        <w:spacing w:line="360" w:lineRule="auto"/>
        <w:ind w:firstLine="482" w:firstLineChars="200"/>
        <w:rPr>
          <w:rFonts w:asciiTheme="minorEastAsia" w:hAnsiTheme="minorEastAsia" w:eastAsiaTheme="minorEastAsia" w:cstheme="minorEastAsia"/>
          <w:b/>
          <w:bCs/>
        </w:rPr>
      </w:pPr>
      <w:r>
        <w:rPr>
          <w:rFonts w:hint="eastAsia" w:asciiTheme="minorEastAsia" w:hAnsiTheme="minorEastAsia" w:eastAsiaTheme="minorEastAsia" w:cstheme="minorEastAsia"/>
          <w:b/>
          <w:bCs/>
        </w:rPr>
        <w:t>（1）资格文件：纸质文档一式五份，其中正本一份，副本四份；</w:t>
      </w:r>
    </w:p>
    <w:p>
      <w:pPr>
        <w:widowControl/>
        <w:spacing w:line="360" w:lineRule="auto"/>
        <w:ind w:firstLine="482" w:firstLineChars="200"/>
        <w:rPr>
          <w:rFonts w:asciiTheme="minorEastAsia" w:hAnsiTheme="minorEastAsia" w:eastAsiaTheme="minorEastAsia" w:cstheme="minorEastAsia"/>
          <w:b/>
          <w:bCs/>
        </w:rPr>
      </w:pPr>
      <w:r>
        <w:rPr>
          <w:rFonts w:hint="eastAsia" w:asciiTheme="minorEastAsia" w:hAnsiTheme="minorEastAsia" w:eastAsiaTheme="minorEastAsia" w:cstheme="minorEastAsia"/>
          <w:b/>
          <w:bCs/>
        </w:rPr>
        <w:t>（2）经济、商务、技术文件：纸质文档一式五份，其中正本一份，副本四份；</w:t>
      </w:r>
    </w:p>
    <w:p>
      <w:pPr>
        <w:widowControl/>
        <w:spacing w:line="360" w:lineRule="auto"/>
        <w:ind w:firstLine="482" w:firstLineChars="200"/>
        <w:rPr>
          <w:rFonts w:asciiTheme="minorEastAsia" w:hAnsiTheme="minorEastAsia" w:eastAsiaTheme="minorEastAsia" w:cstheme="minorEastAsia"/>
          <w:b/>
          <w:bCs/>
        </w:rPr>
      </w:pP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每套纸质投标文件须在封面清楚地标明“正本”或“副本”，副本应为正本的完整复印件，副本与正本不一致时以正本为准。</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2．投标文件的“正本”和“副本”最好都加盖骑缝章，招标文件第七部分投标文件格式中规定签字、盖章的地方必须按其规定签字、盖章。</w:t>
      </w:r>
    </w:p>
    <w:p>
      <w:pPr>
        <w:widowControl/>
        <w:spacing w:line="360" w:lineRule="auto"/>
        <w:ind w:firstLine="48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rPr>
        <w:t>3．若投标人对投标文件的错处作必要修改，则应在修改处加盖投</w:t>
      </w:r>
      <w:r>
        <w:rPr>
          <w:rFonts w:hint="eastAsia" w:asciiTheme="minorEastAsia" w:hAnsiTheme="minorEastAsia" w:eastAsiaTheme="minorEastAsia" w:cstheme="minorEastAsia"/>
          <w:kern w:val="2"/>
        </w:rPr>
        <w:t>标人公章或由法定代表人（单位负责人）或法人授权代表签字确认。</w:t>
      </w:r>
    </w:p>
    <w:p>
      <w:pPr>
        <w:widowControl/>
        <w:spacing w:line="360" w:lineRule="auto"/>
        <w:ind w:firstLine="48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 xml:space="preserve">4.投标人应按照 A4 纸规格准备投标文件，每页应带页码。 </w:t>
      </w:r>
    </w:p>
    <w:p>
      <w:pPr>
        <w:snapToGrid w:val="0"/>
        <w:spacing w:line="420" w:lineRule="exact"/>
        <w:ind w:firstLine="470" w:firstLineChars="196"/>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5.招标文件中已明示需盖章签名处均须由投标人在投标文件里加盖投标人公章，并经投标人法定代表人或其授权代表签名或签章。授权代表签署的，须将以书面形式出具的“法定代表人（或单位负责人）授权书”原件附在投标文件正本中，授权书复印件附在投标文件副本中。</w:t>
      </w:r>
    </w:p>
    <w:p>
      <w:pPr>
        <w:widowControl/>
        <w:spacing w:line="420" w:lineRule="exact"/>
        <w:ind w:firstLine="48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6.任何行间插字、涂改和增删，必须由投标文件签字人用姓或首字母在旁边签字才有效。</w:t>
      </w:r>
    </w:p>
    <w:p>
      <w:pPr>
        <w:snapToGrid w:val="0"/>
        <w:spacing w:line="420" w:lineRule="exact"/>
        <w:ind w:firstLine="470" w:firstLineChars="196"/>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7.电报、电话、传真、邮寄形式的投标文件概不接受。</w:t>
      </w:r>
    </w:p>
    <w:p>
      <w:pPr>
        <w:widowControl/>
        <w:spacing w:line="360" w:lineRule="auto"/>
        <w:rPr>
          <w:rFonts w:asciiTheme="minorEastAsia" w:hAnsiTheme="minorEastAsia" w:eastAsiaTheme="minorEastAsia" w:cstheme="minorEastAsia"/>
          <w:kern w:val="2"/>
        </w:rPr>
      </w:pPr>
    </w:p>
    <w:p>
      <w:pPr>
        <w:pStyle w:val="31"/>
        <w:snapToGrid w:val="0"/>
        <w:spacing w:line="360" w:lineRule="auto"/>
        <w:ind w:firstLine="480"/>
        <w:jc w:val="left"/>
        <w:rPr>
          <w:rFonts w:asciiTheme="minorEastAsia" w:hAnsiTheme="minorEastAsia" w:eastAsiaTheme="minorEastAsia" w:cstheme="minorEastAsia"/>
          <w:sz w:val="24"/>
          <w:szCs w:val="24"/>
        </w:rPr>
      </w:pPr>
      <w:bookmarkStart w:id="120" w:name="_Toc465269254"/>
      <w:r>
        <w:rPr>
          <w:rFonts w:hint="eastAsia" w:asciiTheme="minorEastAsia" w:hAnsiTheme="minorEastAsia" w:eastAsiaTheme="minorEastAsia" w:cstheme="minorEastAsia"/>
          <w:sz w:val="24"/>
          <w:szCs w:val="24"/>
        </w:rPr>
        <w:t>（十三）投标文件的装订、密封和标记</w:t>
      </w:r>
      <w:bookmarkEnd w:id="120"/>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1.装订</w:t>
      </w:r>
    </w:p>
    <w:p>
      <w:pPr>
        <w:widowControl/>
        <w:spacing w:line="360" w:lineRule="auto"/>
        <w:ind w:firstLine="480" w:firstLineChars="200"/>
        <w:rPr>
          <w:rFonts w:asciiTheme="minorEastAsia" w:hAnsiTheme="minorEastAsia" w:eastAsiaTheme="minorEastAsia" w:cstheme="minorEastAsia"/>
          <w:kern w:val="2"/>
        </w:rPr>
      </w:pPr>
      <w:bookmarkStart w:id="121" w:name="_Toc465269255"/>
      <w:r>
        <w:rPr>
          <w:rFonts w:hint="eastAsia" w:asciiTheme="minorEastAsia" w:hAnsiTheme="minorEastAsia" w:eastAsiaTheme="minorEastAsia" w:cstheme="minorEastAsia"/>
          <w:kern w:val="2"/>
        </w:rPr>
        <w:t>（1）投标文件正、副本均最好用线装加胶装分别装订成册。资格文件需单独装订。</w:t>
      </w:r>
    </w:p>
    <w:p>
      <w:pPr>
        <w:widowControl/>
        <w:spacing w:line="360" w:lineRule="auto"/>
        <w:ind w:firstLine="48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（2）“资格文件”应按照第七章规定格式装订成册，并应编制目录。</w:t>
      </w:r>
    </w:p>
    <w:p>
      <w:pPr>
        <w:widowControl/>
        <w:spacing w:line="360" w:lineRule="auto"/>
        <w:ind w:firstLine="48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（3）“经济、商务、技术文件应按照第七章规定格式装订成册，并应编制目录。</w:t>
      </w:r>
    </w:p>
    <w:p>
      <w:pPr>
        <w:widowControl/>
        <w:spacing w:line="360" w:lineRule="auto"/>
        <w:ind w:firstLine="48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4）投标文件纸质版的正、副本需在A4竖向的左侧进行装订（不得使用订书钉装订），装订需牢固。单册厚度最好不超过4厘米，如超过必须分上下册，若附图纸，A3及以上图纸，装订时需折叠成A4大小。任何情况下，采购人或采购代理机构对投标人采用活页等装订方式可能引致投标文件的拆散、缺失或换页等，都不承担责任。</w:t>
      </w:r>
    </w:p>
    <w:p>
      <w:pPr>
        <w:widowControl/>
        <w:spacing w:line="360" w:lineRule="auto"/>
        <w:ind w:firstLine="48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2.投标文件正本和所有的副本均应密封装箱或装袋，且在正、副本的封面标明“正本”“副本”字样。</w:t>
      </w:r>
    </w:p>
    <w:p>
      <w:pPr>
        <w:widowControl/>
        <w:spacing w:line="360" w:lineRule="auto"/>
        <w:ind w:firstLine="48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3.投标文件应包括开标一览表。为方便开标时唱标，最好将“开标一览表”单独密封，并在封袋上标明“开标一览表”字样，在投标时单独递交。</w:t>
      </w:r>
    </w:p>
    <w:p>
      <w:pPr>
        <w:widowControl/>
        <w:spacing w:line="360" w:lineRule="auto"/>
        <w:ind w:firstLine="48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4.所有封袋均请标明：</w:t>
      </w:r>
    </w:p>
    <w:p>
      <w:pPr>
        <w:widowControl/>
        <w:spacing w:line="360" w:lineRule="auto"/>
        <w:ind w:firstLine="48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项目编号：</w:t>
      </w:r>
    </w:p>
    <w:p>
      <w:pPr>
        <w:widowControl/>
        <w:spacing w:line="360" w:lineRule="auto"/>
        <w:ind w:firstLine="48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项目名称：</w:t>
      </w:r>
    </w:p>
    <w:p>
      <w:pPr>
        <w:widowControl/>
        <w:spacing w:line="360" w:lineRule="auto"/>
        <w:ind w:firstLine="48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投标人：（投标人全称并加盖公章）</w:t>
      </w:r>
    </w:p>
    <w:p>
      <w:pPr>
        <w:widowControl/>
        <w:spacing w:line="360" w:lineRule="auto"/>
        <w:ind w:firstLine="48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5.密封好的投标文件需在封口处加盖投标人公章或由法定代表人或授权代表签名后送达规定的地点。</w:t>
      </w:r>
    </w:p>
    <w:p>
      <w:pPr>
        <w:widowControl/>
        <w:spacing w:line="360" w:lineRule="auto"/>
        <w:ind w:firstLine="48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6.未按要求密封的投标文件，西南大学采购与招投标管理中心/采购代理机构将拒绝接收。</w:t>
      </w:r>
    </w:p>
    <w:p>
      <w:pPr>
        <w:widowControl/>
        <w:spacing w:line="360" w:lineRule="auto"/>
        <w:rPr>
          <w:rFonts w:asciiTheme="minorEastAsia" w:hAnsiTheme="minorEastAsia" w:eastAsiaTheme="minorEastAsia" w:cstheme="minorEastAsia"/>
          <w:kern w:val="2"/>
        </w:rPr>
      </w:pPr>
    </w:p>
    <w:p>
      <w:pPr>
        <w:pStyle w:val="31"/>
        <w:snapToGrid w:val="0"/>
        <w:spacing w:line="360" w:lineRule="auto"/>
        <w:ind w:firstLine="482"/>
        <w:jc w:val="lef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（十四）投标文件的递交</w:t>
      </w:r>
      <w:bookmarkEnd w:id="121"/>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1.投标文件送达</w:t>
      </w:r>
    </w:p>
    <w:p>
      <w:pPr>
        <w:widowControl/>
        <w:tabs>
          <w:tab w:val="left" w:pos="1418"/>
        </w:tabs>
        <w:spacing w:line="360" w:lineRule="auto"/>
        <w:ind w:firstLine="424" w:firstLineChars="180"/>
        <w:rPr>
          <w:rFonts w:asciiTheme="minorEastAsia" w:hAnsiTheme="minorEastAsia" w:eastAsiaTheme="minorEastAsia" w:cstheme="minorEastAsia"/>
        </w:rPr>
      </w:pPr>
      <w:r>
        <w:rPr>
          <w:rFonts w:hint="eastAsia" w:asciiTheme="minorEastAsia" w:hAnsiTheme="minorEastAsia" w:eastAsiaTheme="minorEastAsia" w:cstheme="minorEastAsia"/>
          <w:spacing w:val="-2"/>
        </w:rPr>
        <w:t>1.1</w:t>
      </w:r>
      <w:r>
        <w:rPr>
          <w:rFonts w:hint="eastAsia" w:asciiTheme="minorEastAsia" w:hAnsiTheme="minorEastAsia" w:eastAsiaTheme="minorEastAsia" w:cstheme="minorEastAsia"/>
        </w:rPr>
        <w:t>各投标人对招标文件有询问、质疑的，须在招标文件公告期限届满之日或收到招标文件之日（获取招标文件期限内）起七个工作日内，以书面形式（须由法定代表人或投标人代表签字并加盖单位公章，并附相关有效证明材料）向采购人提出询问或质疑。</w:t>
      </w:r>
      <w:r>
        <w:rPr>
          <w:rFonts w:hint="eastAsia" w:asciiTheme="minorEastAsia" w:hAnsiTheme="minorEastAsia" w:eastAsiaTheme="minorEastAsia" w:cstheme="minorEastAsia"/>
          <w:spacing w:val="-2"/>
        </w:rPr>
        <w:t>未按规定要求或未在规定时限内提交书面异议的视为默认接受招标文件。逾期提交的</w:t>
      </w:r>
      <w:r>
        <w:rPr>
          <w:rFonts w:hint="eastAsia" w:asciiTheme="minorEastAsia" w:hAnsiTheme="minorEastAsia" w:eastAsiaTheme="minorEastAsia" w:cstheme="minorEastAsia"/>
        </w:rPr>
        <w:t>询问或质疑</w:t>
      </w:r>
      <w:r>
        <w:rPr>
          <w:rFonts w:hint="eastAsia" w:asciiTheme="minorEastAsia" w:hAnsiTheme="minorEastAsia" w:eastAsiaTheme="minorEastAsia" w:cstheme="minorEastAsia"/>
          <w:spacing w:val="-2"/>
        </w:rPr>
        <w:t>恕不受理，投标后亦不得以此提出异</w:t>
      </w:r>
      <w:r>
        <w:rPr>
          <w:rFonts w:hint="eastAsia" w:asciiTheme="minorEastAsia" w:hAnsiTheme="minorEastAsia" w:eastAsiaTheme="minorEastAsia" w:cstheme="minorEastAsia"/>
          <w:b/>
          <w:spacing w:val="-2"/>
        </w:rPr>
        <w:t>议。</w:t>
      </w:r>
    </w:p>
    <w:p>
      <w:pPr>
        <w:widowControl/>
        <w:spacing w:line="360" w:lineRule="auto"/>
        <w:ind w:firstLine="482" w:firstLineChars="200"/>
        <w:rPr>
          <w:rFonts w:asciiTheme="minorEastAsia" w:hAnsiTheme="minorEastAsia" w:eastAsiaTheme="minorEastAsia" w:cstheme="minorEastAsia"/>
          <w:b/>
        </w:rPr>
      </w:pPr>
      <w:r>
        <w:rPr>
          <w:rFonts w:hint="eastAsia" w:asciiTheme="minorEastAsia" w:hAnsiTheme="minorEastAsia" w:eastAsiaTheme="minorEastAsia" w:cstheme="minorEastAsia"/>
          <w:b/>
        </w:rPr>
        <w:t>1.2采购人/采购代理机构可视具体情况，延长投标截止时间和开标时间，须将变更时间书面通知所有招标文件收受人。在此情况下，采购人/采购代理机构和投标人受投标截止期制约的所有权利和义务均应延长至新的截止日期。</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1.3投标人须将投标文件于投标截止时间前送达指定地点 。</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2.迟交的投标文件</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在规定的投标截止时间之后送达的投标文件，西南大学采购与招投标管理中心或采购代理机构将拒绝接收。</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3.投标文件的修改与撤回</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3.1投标人在递交投标文件后，可以修改或撤回其投标文件，但必须在规定的投标截止时间之前将书面修改或撤回的通知送达西南大学采购与招投标管理中心或采购代理机构。</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3.2在投标截止时间之后，投标人不得对其投标文件做任何修改，也不得撤回其投标。</w:t>
      </w:r>
    </w:p>
    <w:p>
      <w:pPr>
        <w:widowControl/>
        <w:spacing w:line="360" w:lineRule="auto"/>
        <w:ind w:firstLine="480" w:firstLineChars="200"/>
        <w:rPr>
          <w:rFonts w:asciiTheme="minorEastAsia" w:hAnsiTheme="minorEastAsia" w:eastAsiaTheme="minorEastAsia" w:cstheme="minorEastAsia"/>
        </w:rPr>
      </w:pPr>
    </w:p>
    <w:p>
      <w:pPr>
        <w:pStyle w:val="4"/>
        <w:spacing w:line="360" w:lineRule="auto"/>
        <w:ind w:left="0"/>
        <w:rPr>
          <w:rFonts w:asciiTheme="minorEastAsia" w:hAnsiTheme="minorEastAsia" w:eastAsiaTheme="minorEastAsia" w:cstheme="minorEastAsia"/>
          <w:sz w:val="32"/>
        </w:rPr>
      </w:pPr>
      <w:bookmarkStart w:id="122" w:name="_Toc465269256"/>
      <w:r>
        <w:rPr>
          <w:rFonts w:hint="eastAsia" w:asciiTheme="minorEastAsia" w:hAnsiTheme="minorEastAsia" w:eastAsiaTheme="minorEastAsia" w:cstheme="minorEastAsia"/>
          <w:sz w:val="32"/>
        </w:rPr>
        <w:t>四、开标、评标与定标</w:t>
      </w:r>
      <w:bookmarkEnd w:id="122"/>
    </w:p>
    <w:p>
      <w:pPr>
        <w:widowControl/>
        <w:spacing w:line="360" w:lineRule="auto"/>
        <w:ind w:firstLine="422" w:firstLineChars="15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（一）开标</w:t>
      </w:r>
    </w:p>
    <w:p>
      <w:pPr>
        <w:pStyle w:val="10"/>
        <w:ind w:firstLine="840" w:firstLineChars="350"/>
        <w:rPr>
          <w:rFonts w:asciiTheme="minorEastAsia" w:hAnsiTheme="minorEastAsia" w:eastAsiaTheme="minorEastAsia" w:cstheme="minorEastAsia"/>
          <w:b/>
        </w:rPr>
      </w:pPr>
      <w:r>
        <w:rPr>
          <w:rFonts w:hint="eastAsia" w:asciiTheme="minorEastAsia" w:hAnsiTheme="minorEastAsia" w:eastAsiaTheme="minorEastAsia" w:cstheme="minorEastAsia"/>
          <w:sz w:val="24"/>
          <w:szCs w:val="24"/>
        </w:rPr>
        <w:t>1.开标应当在招标文件“投标邀请书”确定的时间和地点公开进行。</w:t>
      </w:r>
    </w:p>
    <w:p>
      <w:pPr>
        <w:widowControl/>
        <w:spacing w:line="360" w:lineRule="auto"/>
        <w:ind w:left="324" w:leftChars="135"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2.开标由采购代理机构主持，邀请投标人代表参加。</w:t>
      </w:r>
    </w:p>
    <w:p>
      <w:pPr>
        <w:widowControl/>
        <w:spacing w:line="360" w:lineRule="auto"/>
        <w:ind w:left="324" w:leftChars="135" w:firstLine="472" w:firstLineChars="200"/>
        <w:rPr>
          <w:rFonts w:asciiTheme="minorEastAsia" w:hAnsiTheme="minorEastAsia" w:eastAsiaTheme="minorEastAsia" w:cstheme="minorEastAsia"/>
          <w:spacing w:val="-2"/>
        </w:rPr>
      </w:pPr>
      <w:r>
        <w:rPr>
          <w:rFonts w:hint="eastAsia" w:asciiTheme="minorEastAsia" w:hAnsiTheme="minorEastAsia" w:eastAsiaTheme="minorEastAsia" w:cstheme="minorEastAsia"/>
          <w:spacing w:val="-2"/>
        </w:rPr>
        <w:t>3.开标时，由投标人或者其推荐的代表检查投标文件的密封情况；经确认无误后，由采购代理机构工作人员当众拆封，宣读投标文件正本“开标一览表”的投标人名称、投标报价和招标文件规定的需要宣布的其他内容。</w:t>
      </w:r>
    </w:p>
    <w:p>
      <w:pPr>
        <w:widowControl/>
        <w:spacing w:line="360" w:lineRule="auto"/>
        <w:ind w:left="322" w:leftChars="134" w:firstLine="556" w:firstLineChars="236"/>
        <w:rPr>
          <w:rFonts w:asciiTheme="minorEastAsia" w:hAnsiTheme="minorEastAsia" w:eastAsiaTheme="minorEastAsia" w:cstheme="minorEastAsia"/>
          <w:spacing w:val="-2"/>
        </w:rPr>
      </w:pPr>
      <w:r>
        <w:rPr>
          <w:rFonts w:hint="eastAsia" w:asciiTheme="minorEastAsia" w:hAnsiTheme="minorEastAsia" w:eastAsiaTheme="minorEastAsia" w:cstheme="minorEastAsia"/>
          <w:spacing w:val="-2"/>
        </w:rPr>
        <w:t>4.开标过程应由采购代理机构单位指定专人负责记录，并存档备查。</w:t>
      </w:r>
    </w:p>
    <w:p>
      <w:pPr>
        <w:widowControl/>
        <w:spacing w:line="360" w:lineRule="auto"/>
        <w:ind w:firstLine="422" w:firstLineChars="15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（二）资格审查</w:t>
      </w:r>
    </w:p>
    <w:p>
      <w:pPr>
        <w:widowControl/>
        <w:spacing w:line="360" w:lineRule="auto"/>
        <w:ind w:firstLine="590" w:firstLineChars="25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spacing w:val="-2"/>
          <w:kern w:val="2"/>
        </w:rPr>
        <w:t>详见第四部分 资格审查及评标办法。</w:t>
      </w:r>
    </w:p>
    <w:p>
      <w:pPr>
        <w:widowControl/>
        <w:spacing w:line="360" w:lineRule="auto"/>
        <w:ind w:firstLine="422" w:firstLineChars="15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（三）评标</w:t>
      </w:r>
      <w:bookmarkStart w:id="123" w:name="_Toc497729854"/>
    </w:p>
    <w:p>
      <w:pPr>
        <w:widowControl/>
        <w:spacing w:line="360" w:lineRule="auto"/>
        <w:ind w:firstLine="590" w:firstLineChars="250"/>
        <w:rPr>
          <w:rFonts w:asciiTheme="minorEastAsia" w:hAnsiTheme="minorEastAsia" w:eastAsiaTheme="minorEastAsia" w:cstheme="minorEastAsia"/>
          <w:spacing w:val="-2"/>
          <w:kern w:val="2"/>
        </w:rPr>
      </w:pPr>
      <w:r>
        <w:rPr>
          <w:rFonts w:hint="eastAsia" w:asciiTheme="minorEastAsia" w:hAnsiTheme="minorEastAsia" w:eastAsiaTheme="minorEastAsia" w:cstheme="minorEastAsia"/>
          <w:spacing w:val="-2"/>
          <w:kern w:val="2"/>
        </w:rPr>
        <w:t>详见第四部分 资格审查及评标办法。</w:t>
      </w:r>
      <w:bookmarkEnd w:id="123"/>
    </w:p>
    <w:p>
      <w:pPr>
        <w:widowControl/>
        <w:spacing w:line="360" w:lineRule="auto"/>
        <w:ind w:firstLine="422" w:firstLineChars="15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 （四）定标</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1.中标人的确定 </w:t>
      </w:r>
    </w:p>
    <w:p>
      <w:pPr>
        <w:spacing w:line="360" w:lineRule="auto"/>
        <w:ind w:firstLine="472" w:firstLineChars="200"/>
        <w:rPr>
          <w:rFonts w:asciiTheme="minorEastAsia" w:hAnsiTheme="minorEastAsia" w:eastAsiaTheme="minorEastAsia" w:cstheme="minorEastAsia"/>
        </w:rPr>
      </w:pPr>
      <w:r>
        <w:rPr>
          <w:rFonts w:hint="eastAsia" w:asciiTheme="minorEastAsia" w:hAnsiTheme="minorEastAsia" w:eastAsiaTheme="minorEastAsia" w:cstheme="minorEastAsia"/>
          <w:spacing w:val="-2"/>
        </w:rPr>
        <w:t>（1）</w:t>
      </w:r>
      <w:r>
        <w:rPr>
          <w:rFonts w:hint="eastAsia" w:asciiTheme="minorEastAsia" w:hAnsiTheme="minorEastAsia" w:eastAsiaTheme="minorEastAsia" w:cstheme="minorEastAsia"/>
        </w:rPr>
        <w:t>采购人收到评审报告后5个工作日内，在评标报告确定的中标候选人名单中按顺序确定中标人，中标候选人并列的，由采购人自行确定中标人。</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（2）中标人确定后2个工作日内</w:t>
      </w:r>
      <w:r>
        <w:rPr>
          <w:rFonts w:hint="eastAsia" w:asciiTheme="minorEastAsia" w:hAnsiTheme="minorEastAsia" w:eastAsiaTheme="minorEastAsia" w:cstheme="minorEastAsia"/>
          <w:spacing w:val="-6"/>
        </w:rPr>
        <w:t>在中国政府采购网（</w:t>
      </w:r>
      <w:r>
        <w:fldChar w:fldCharType="begin"/>
      </w:r>
      <w:r>
        <w:instrText xml:space="preserve"> HYPERLINK "http://www.ccgp.gov.cn/" </w:instrText>
      </w:r>
      <w:r>
        <w:fldChar w:fldCharType="separate"/>
      </w:r>
      <w:r>
        <w:rPr>
          <w:rStyle w:val="29"/>
          <w:rFonts w:hint="eastAsia" w:asciiTheme="minorEastAsia" w:hAnsiTheme="minorEastAsia" w:eastAsiaTheme="minorEastAsia" w:cstheme="minorEastAsia"/>
          <w:color w:val="auto"/>
          <w:spacing w:val="-6"/>
        </w:rPr>
        <w:t>http://www.ccgp.gov.cn/</w:t>
      </w:r>
      <w:r>
        <w:rPr>
          <w:rStyle w:val="29"/>
          <w:rFonts w:hint="eastAsia" w:asciiTheme="minorEastAsia" w:hAnsiTheme="minorEastAsia" w:eastAsiaTheme="minorEastAsia" w:cstheme="minorEastAsia"/>
          <w:color w:val="auto"/>
          <w:spacing w:val="-6"/>
        </w:rPr>
        <w:fldChar w:fldCharType="end"/>
      </w:r>
      <w:r>
        <w:rPr>
          <w:rFonts w:hint="eastAsia" w:asciiTheme="minorEastAsia" w:hAnsiTheme="minorEastAsia" w:eastAsiaTheme="minorEastAsia" w:cstheme="minorEastAsia"/>
          <w:spacing w:val="-6"/>
        </w:rPr>
        <w:t xml:space="preserve">） </w:t>
      </w:r>
      <w:r>
        <w:rPr>
          <w:rFonts w:hint="eastAsia" w:asciiTheme="minorEastAsia" w:hAnsiTheme="minorEastAsia" w:eastAsiaTheme="minorEastAsia" w:cstheme="minorEastAsia"/>
        </w:rPr>
        <w:t>和西南大学采购与招投标管理中心网页（</w:t>
      </w:r>
      <w:r>
        <w:fldChar w:fldCharType="begin"/>
      </w:r>
      <w:r>
        <w:instrText xml:space="preserve"> HYPERLINK "%20http://caigou.swu.edu.cn/sfw_cms/e?page=cms.index）公告中标结果。公告期为1" </w:instrText>
      </w:r>
      <w:r>
        <w:fldChar w:fldCharType="separate"/>
      </w:r>
      <w:r>
        <w:rPr>
          <w:rStyle w:val="29"/>
          <w:rFonts w:hint="eastAsia" w:asciiTheme="minorEastAsia" w:hAnsiTheme="minorEastAsia" w:eastAsiaTheme="minorEastAsia" w:cstheme="minorEastAsia"/>
          <w:color w:val="auto"/>
        </w:rPr>
        <w:t>http://caigou.swu.edu.cn/sfw_cms/e?page=cms.index）</w:t>
      </w:r>
      <w:r>
        <w:rPr>
          <w:rStyle w:val="29"/>
          <w:rFonts w:hint="eastAsia" w:asciiTheme="minorEastAsia" w:hAnsiTheme="minorEastAsia" w:eastAsiaTheme="minorEastAsia" w:cstheme="minorEastAsia"/>
          <w:color w:val="auto"/>
          <w:u w:val="none"/>
        </w:rPr>
        <w:t>公告中标结果。公告期为1</w:t>
      </w:r>
      <w:r>
        <w:rPr>
          <w:rStyle w:val="29"/>
          <w:rFonts w:hint="eastAsia" w:asciiTheme="minorEastAsia" w:hAnsiTheme="minorEastAsia" w:eastAsiaTheme="minorEastAsia" w:cstheme="minorEastAsia"/>
          <w:color w:val="auto"/>
          <w:u w:val="none"/>
        </w:rPr>
        <w:fldChar w:fldCharType="end"/>
      </w:r>
      <w:r>
        <w:rPr>
          <w:rFonts w:hint="eastAsia" w:asciiTheme="minorEastAsia" w:hAnsiTheme="minorEastAsia" w:eastAsiaTheme="minorEastAsia" w:cstheme="minorEastAsia"/>
        </w:rPr>
        <w:t>个工作日。投标人对评标结果如有异议，须在中标结果公告期限届满之日起七个工作日内，由法定代表人或投标人代表签字并加盖单位公章，并附相关有效证明材料，以书面形式向采购人提出询问或质疑。投标人对投诉或质疑、询问内容的真实性承担法律责任。</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2.发出中标通知</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（1）采购人或采购代理机构在公告中标结果的同时向中标人发出《中标通知书》。</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（2）《中标通知书》是合同的组成部分。</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3.告知招标结果</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采购人或采购代理机构在公告中标结果的同时，告知未中标人本人的评审得分和排序。</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4.签订合同</w:t>
      </w:r>
    </w:p>
    <w:p>
      <w:pPr>
        <w:widowControl/>
        <w:spacing w:line="42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（1）中标人应当自发出中标通知书之日起 30 日内，派遣其授权在合同上签字的代表与采购人签订合同。</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（2）招标文件、中标人的投标文件及其澄清文件等，均为签订合同的依据。</w:t>
      </w:r>
    </w:p>
    <w:p>
      <w:pPr>
        <w:widowControl/>
        <w:spacing w:line="42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（3）在规定期限内，中标人拒绝与采购人签订合同的，采购人可以按照评审报告推荐的中标候选人名单排序，确定下一候选人为中标人，也可以重新开展政府采购活动。</w:t>
      </w:r>
    </w:p>
    <w:p>
      <w:pPr>
        <w:widowControl/>
        <w:spacing w:line="42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（4）当出现法规规定的中标无效情形时，采购人可与排名下一位的中标候选人另行签订合同，或依法重新开展采购活动。</w:t>
      </w:r>
    </w:p>
    <w:p>
      <w:pPr>
        <w:spacing w:line="420" w:lineRule="exact"/>
        <w:ind w:firstLine="482"/>
        <w:jc w:val="both"/>
        <w:rPr>
          <w:rFonts w:asciiTheme="minorEastAsia" w:hAnsiTheme="minorEastAsia" w:eastAsiaTheme="minorEastAsia" w:cstheme="minorEastAsia"/>
          <w:b/>
        </w:rPr>
      </w:pPr>
      <w:r>
        <w:rPr>
          <w:rFonts w:hint="eastAsia" w:asciiTheme="minorEastAsia" w:hAnsiTheme="minorEastAsia" w:eastAsiaTheme="minorEastAsia" w:cstheme="minorEastAsia"/>
          <w:b/>
        </w:rPr>
        <w:t>（5）依据《政府采购促进中小企业发展管理办法》（财库﹝2020﹞46 号）的规定享受扶持政策获得政府采购合同的，小微企业不得将合同分包给大中型企业，中型企业不得将合同分包给大型企业。</w:t>
      </w:r>
    </w:p>
    <w:p>
      <w:pPr>
        <w:snapToGrid w:val="0"/>
        <w:spacing w:line="42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6）签订合同后，成交供应商不得将货物及其他相关服务进行转包。未经采购人同意，成交供应商也不得采用分包的形式履行合同，否则采购人有权终止合同。转包或分包造成采购人损失的，成交供应商应承担相应赔偿责任并按相关法律法规进行处理。</w:t>
      </w:r>
    </w:p>
    <w:p>
      <w:pPr>
        <w:snapToGrid w:val="0"/>
        <w:spacing w:line="420" w:lineRule="exact"/>
        <w:ind w:firstLine="480" w:firstLineChars="200"/>
        <w:rPr>
          <w:rFonts w:asciiTheme="minorEastAsia" w:hAnsiTheme="minorEastAsia" w:eastAsiaTheme="minorEastAsia" w:cstheme="minorEastAsia"/>
        </w:rPr>
      </w:pPr>
    </w:p>
    <w:p>
      <w:pPr>
        <w:pStyle w:val="4"/>
        <w:spacing w:line="360" w:lineRule="auto"/>
        <w:ind w:left="0"/>
        <w:rPr>
          <w:rFonts w:asciiTheme="minorEastAsia" w:hAnsiTheme="minorEastAsia" w:eastAsiaTheme="minorEastAsia" w:cstheme="minorEastAsia"/>
          <w:sz w:val="32"/>
        </w:rPr>
      </w:pPr>
      <w:r>
        <w:rPr>
          <w:rFonts w:hint="eastAsia" w:asciiTheme="minorEastAsia" w:hAnsiTheme="minorEastAsia" w:eastAsiaTheme="minorEastAsia" w:cstheme="minorEastAsia"/>
          <w:sz w:val="32"/>
        </w:rPr>
        <w:t>五、关于询问或质疑和投诉</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（一）质疑内容、时限</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招标文件公告期限为采购公告发出之日起五个工作日，供应商对招标文件如有询问或质疑的应在收到招标文件之日（获取招标文件期限内）或者招标文件公告期限届满之日起七个工作日内以书面形式向采购人提出询问或质疑，质疑须附相关证明材料。</w:t>
      </w:r>
    </w:p>
    <w:p>
      <w:pPr>
        <w:pStyle w:val="46"/>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2.投标人对中标结果有询问或质疑的，应当在中标结果公告届满之日起七个工作日内以书面形式向采购人提出，质疑须附相关证明材料。</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3.供应商在法定质疑期内针对同一采购程序环节的质疑必须一次性提出。质疑函范本可在财政部门户网站和中国政府采购网下载。</w:t>
      </w:r>
    </w:p>
    <w:p>
      <w:pPr>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4．供应商对招标文件中供应商特定资格条件、技术质量和商务要求、评审标准及评审细则有异议的，应主要向采购人提出质疑（西南大学询问或质疑受理人：杨老师，电话：023-68251032，邮箱：yangm@swu.edu.cn），其他问题可向采购代理机构提出质疑。</w:t>
      </w:r>
    </w:p>
    <w:p>
      <w:pPr>
        <w:pStyle w:val="10"/>
        <w:rPr>
          <w:rFonts w:asciiTheme="minorEastAsia" w:hAnsiTheme="minorEastAsia" w:eastAsiaTheme="minorEastAsia" w:cstheme="minorEastAsia"/>
        </w:rPr>
      </w:pP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（二）询问或质疑答复时限</w:t>
      </w:r>
    </w:p>
    <w:p>
      <w:pPr>
        <w:widowControl/>
        <w:spacing w:line="42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采购人或采购代理机构应在收到供应商依法提出的书面质疑后7个工作日内对质疑内容作出答复；在收到供应商依法提出的询问后3个工作日内对询问内容作出答复。</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（三）不予受理或暂缓受理</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1.询问或质疑有下列情形之一的，不予受理：</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(1)询问或质疑超过有效期的；</w:t>
      </w:r>
    </w:p>
    <w:p>
      <w:pPr>
        <w:widowControl/>
        <w:spacing w:line="42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(2)对同一事项重复询问或质疑的；对同一采购程序环节的询问或质疑未一次性提出的。</w:t>
      </w:r>
    </w:p>
    <w:p>
      <w:pPr>
        <w:widowControl/>
        <w:spacing w:line="42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2.询问或质疑有下列情形之一的，应暂不受理并告知投标人补充材料。投标人及时补充材料的，应予受理；逾期未补充的，不予受理：</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（1）询问或质疑书内容不符合政府采购相关询问或质疑投诉政策之规定的；</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（2）质疑书提供的依据或证明材料不全的；</w:t>
      </w:r>
    </w:p>
    <w:p>
      <w:pPr>
        <w:widowControl/>
        <w:spacing w:line="42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（3）质疑书副本数量不足的（质疑书内容涉及其他供应商，并且需要采购人处理质疑时向其他供应商进行核实的，质疑供应商未按照与质疑事项相关的供应商数量提交质疑书副本）。</w:t>
      </w:r>
    </w:p>
    <w:p>
      <w:pPr>
        <w:jc w:val="center"/>
        <w:rPr>
          <w:rFonts w:asciiTheme="minorEastAsia" w:hAnsiTheme="minorEastAsia" w:eastAsiaTheme="minorEastAsia" w:cstheme="minorEastAsia"/>
        </w:rPr>
      </w:pP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（四）询问或者质疑事项可能影响中标、中标结果的，采购人应当暂停签订合同，已经签订合同的，应当中止履行合同。</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（五）投诉</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1.投标人对采购人的答复不满意或者采购人未在规定时间内答复的，可在答复期满后十五个工作日内按有关规定，向同级财政部门投诉。</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2.在提出投诉时，应附送相关证明材料。投诉书及证明材料为外文的，应同时提供其中文译本；中文与外文意思不一致的，以中文为准。</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3.在确定受理投诉后，财政部门自受理投诉之日起三十个工作日内对投诉事项做出处理决定，并将投诉处理决定书送达投诉人、被投诉人和其他与投诉处理决定有利害关系的政府采购相关当事人。</w:t>
      </w:r>
      <w:bookmarkStart w:id="124" w:name="_Toc465269272"/>
      <w:bookmarkStart w:id="125" w:name="_Toc497729855"/>
    </w:p>
    <w:p>
      <w:pPr>
        <w:pStyle w:val="2"/>
      </w:pPr>
    </w:p>
    <w:p>
      <w:pPr>
        <w:pStyle w:val="4"/>
        <w:spacing w:line="360" w:lineRule="auto"/>
        <w:ind w:left="0"/>
        <w:rPr>
          <w:rFonts w:asciiTheme="minorEastAsia" w:hAnsiTheme="minorEastAsia" w:eastAsiaTheme="minorEastAsia" w:cstheme="minorEastAsia"/>
          <w:sz w:val="32"/>
        </w:rPr>
      </w:pPr>
      <w:r>
        <w:rPr>
          <w:rFonts w:hint="eastAsia" w:asciiTheme="minorEastAsia" w:hAnsiTheme="minorEastAsia" w:eastAsiaTheme="minorEastAsia" w:cstheme="minorEastAsia"/>
          <w:sz w:val="32"/>
        </w:rPr>
        <w:t>六、招标代理服务费</w:t>
      </w:r>
    </w:p>
    <w:p>
      <w:pPr>
        <w:widowControl/>
        <w:spacing w:line="420" w:lineRule="exact"/>
        <w:ind w:firstLine="480" w:firstLineChars="200"/>
        <w:rPr>
          <w:rFonts w:asciiTheme="minorEastAsia" w:hAnsiTheme="minorEastAsia" w:eastAsiaTheme="minorEastAsia" w:cstheme="minorEastAsia"/>
        </w:rPr>
      </w:pPr>
      <w:bookmarkStart w:id="126" w:name="_Toc345318310"/>
      <w:bookmarkStart w:id="127" w:name="_Toc342983494"/>
      <w:bookmarkStart w:id="128" w:name="_Toc343881212"/>
      <w:bookmarkStart w:id="129" w:name="_Toc429584878"/>
      <w:r>
        <w:rPr>
          <w:rFonts w:hint="eastAsia" w:asciiTheme="minorEastAsia" w:hAnsiTheme="minorEastAsia" w:eastAsiaTheme="minorEastAsia" w:cstheme="minorEastAsia"/>
        </w:rPr>
        <w:t>1.</w:t>
      </w:r>
      <w:bookmarkEnd w:id="126"/>
      <w:bookmarkEnd w:id="127"/>
      <w:bookmarkEnd w:id="128"/>
      <w:bookmarkEnd w:id="129"/>
      <w:r>
        <w:rPr>
          <w:rFonts w:hint="eastAsia" w:asciiTheme="minorEastAsia" w:hAnsiTheme="minorEastAsia" w:eastAsiaTheme="minorEastAsia" w:cstheme="minorEastAsia"/>
        </w:rPr>
        <w:t xml:space="preserve">中标人在领取中标通知书前一次性支付给中招国际招标有限公司重庆分公司。招标代理服务费的收取标准按照以下标准执行： </w:t>
      </w:r>
    </w:p>
    <w:p>
      <w:pPr>
        <w:widowControl/>
        <w:spacing w:line="42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参照原《国家发展改革委关于降低部分建设项目收费标准规范收费行为等有关问题的通知》（发改价格[2011]534号）文件及原国家计委《招标代理服务收费管理暂行办法》（[2002]1980号）文件收费标准为依据下浮35%收取；按中标（成交）金额计算的代理服务费不足1万元的，按1万元结算，超过10万元的按10万元结算。</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2、收取采购代理服务费帐户</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户  名：中招国际招标有限公司重庆分公司</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开户行：交通银行重庆自由贸易试验区分行（行号：3016 5300 0834）</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账  号：5001 2404 2018 0000 14170</w:t>
      </w:r>
    </w:p>
    <w:p>
      <w:pPr>
        <w:widowControl/>
        <w:spacing w:line="420" w:lineRule="exact"/>
        <w:ind w:firstLine="480" w:firstLineChars="200"/>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sectPr>
          <w:pgSz w:w="11906" w:h="16838"/>
          <w:pgMar w:top="1134" w:right="1134" w:bottom="1134" w:left="1134" w:header="851" w:footer="851" w:gutter="0"/>
          <w:cols w:space="720" w:num="1"/>
          <w:docGrid w:linePitch="326" w:charSpace="0"/>
        </w:sectPr>
      </w:pPr>
    </w:p>
    <w:p/>
    <w:p>
      <w:pPr>
        <w:pStyle w:val="3"/>
        <w:spacing w:before="120" w:after="120"/>
        <w:ind w:left="0" w:firstLine="2209" w:firstLineChars="500"/>
        <w:jc w:val="center"/>
        <w:rPr>
          <w:rFonts w:asciiTheme="minorEastAsia" w:hAnsiTheme="minorEastAsia" w:eastAsiaTheme="minorEastAsia" w:cstheme="minorEastAsia"/>
        </w:rPr>
      </w:pPr>
      <w:bookmarkStart w:id="130" w:name="_Toc138929559"/>
      <w:r>
        <w:rPr>
          <w:rFonts w:hint="eastAsia" w:asciiTheme="minorEastAsia" w:hAnsiTheme="minorEastAsia" w:eastAsiaTheme="minorEastAsia" w:cstheme="minorEastAsia"/>
        </w:rPr>
        <w:t>第六篇  合同</w:t>
      </w:r>
      <w:bookmarkEnd w:id="124"/>
      <w:r>
        <w:rPr>
          <w:rFonts w:hint="eastAsia" w:asciiTheme="minorEastAsia" w:hAnsiTheme="minorEastAsia" w:eastAsiaTheme="minorEastAsia" w:cstheme="minorEastAsia"/>
        </w:rPr>
        <w:t>文本</w:t>
      </w:r>
      <w:bookmarkEnd w:id="125"/>
      <w:bookmarkEnd w:id="130"/>
    </w:p>
    <w:p>
      <w:pPr>
        <w:spacing w:line="360" w:lineRule="auto"/>
        <w:ind w:firstLine="480" w:firstLineChars="200"/>
        <w:rPr>
          <w:rFonts w:asciiTheme="minorEastAsia" w:hAnsiTheme="minorEastAsia" w:eastAsiaTheme="minorEastAsia" w:cstheme="minorEastAsia"/>
        </w:rPr>
      </w:pP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注：国内供货采用《国产设备采购合同》，进口货物采用《进口设备采购合同》。本合同范本中的内容在招标文件其他地方有规定的从其规定，采购文件其他地方没有规定的按范本要求执行。请厂商在响应时特别注意，范本内容同时要求体现在技术、商务偏离表内，供应商应在技术、商务条款偏离表中进行响应。</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属于政府采购的项目采购合同按规定应当公告，请投标人（响应人）在投标文件（响应文件）中明确说明不予公开的合同内容（国家规定须公开的要素除外）。</w:t>
      </w:r>
    </w:p>
    <w:p>
      <w:pPr>
        <w:pStyle w:val="46"/>
        <w:spacing w:line="480" w:lineRule="exact"/>
        <w:ind w:firstLine="2409" w:firstLineChars="600"/>
        <w:jc w:val="both"/>
        <w:rPr>
          <w:rFonts w:asciiTheme="minorEastAsia" w:hAnsiTheme="minorEastAsia" w:eastAsiaTheme="minorEastAsia" w:cstheme="minorEastAsia"/>
          <w:b/>
          <w:bCs/>
          <w:kern w:val="44"/>
          <w:sz w:val="40"/>
          <w:szCs w:val="40"/>
        </w:rPr>
      </w:pPr>
      <w:bookmarkStart w:id="131" w:name="_Toc449302191"/>
      <w:bookmarkStart w:id="132" w:name="_Toc528079384"/>
      <w:bookmarkStart w:id="133" w:name="_Toc528078991"/>
      <w:bookmarkStart w:id="134" w:name="_Toc449302192"/>
      <w:r>
        <w:rPr>
          <w:rFonts w:hint="eastAsia" w:asciiTheme="minorEastAsia" w:hAnsiTheme="minorEastAsia" w:eastAsiaTheme="minorEastAsia" w:cstheme="minorEastAsia"/>
          <w:b/>
          <w:bCs/>
          <w:kern w:val="44"/>
          <w:sz w:val="40"/>
          <w:szCs w:val="40"/>
        </w:rPr>
        <w:t>一、</w:t>
      </w:r>
      <w:bookmarkEnd w:id="131"/>
      <w:r>
        <w:rPr>
          <w:rFonts w:hint="eastAsia" w:asciiTheme="minorEastAsia" w:hAnsiTheme="minorEastAsia" w:eastAsiaTheme="minorEastAsia" w:cstheme="minorEastAsia"/>
          <w:b/>
          <w:bCs/>
          <w:kern w:val="44"/>
          <w:sz w:val="40"/>
          <w:szCs w:val="40"/>
        </w:rPr>
        <w:t>国产设备采购合同</w:t>
      </w:r>
      <w:bookmarkEnd w:id="132"/>
      <w:bookmarkEnd w:id="133"/>
    </w:p>
    <w:tbl>
      <w:tblPr>
        <w:tblStyle w:val="24"/>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4403"/>
        <w:gridCol w:w="1962"/>
        <w:gridCol w:w="2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 w:type="dxa"/>
            <w:tcBorders>
              <w:top w:val="nil"/>
              <w:left w:val="nil"/>
              <w:bottom w:val="nil"/>
              <w:right w:val="nil"/>
            </w:tcBorders>
          </w:tcPr>
          <w:p>
            <w:pPr>
              <w:pStyle w:val="46"/>
              <w:spacing w:line="48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供方：</w:t>
            </w:r>
          </w:p>
        </w:tc>
        <w:tc>
          <w:tcPr>
            <w:tcW w:w="4403" w:type="dxa"/>
            <w:tcBorders>
              <w:top w:val="nil"/>
              <w:left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p>
        </w:tc>
        <w:tc>
          <w:tcPr>
            <w:tcW w:w="1962"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合同编号：</w:t>
            </w:r>
          </w:p>
        </w:tc>
        <w:tc>
          <w:tcPr>
            <w:tcW w:w="2628" w:type="dxa"/>
            <w:tcBorders>
              <w:top w:val="nil"/>
              <w:left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设备处填写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 w:type="dxa"/>
            <w:tcBorders>
              <w:top w:val="nil"/>
              <w:left w:val="nil"/>
              <w:bottom w:val="nil"/>
              <w:right w:val="nil"/>
            </w:tcBorders>
          </w:tcPr>
          <w:p>
            <w:pPr>
              <w:pStyle w:val="46"/>
              <w:spacing w:line="48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需方：</w:t>
            </w:r>
          </w:p>
        </w:tc>
        <w:tc>
          <w:tcPr>
            <w:tcW w:w="4403" w:type="dxa"/>
            <w:tcBorders>
              <w:left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西南大学</w:t>
            </w:r>
          </w:p>
        </w:tc>
        <w:tc>
          <w:tcPr>
            <w:tcW w:w="1962" w:type="dxa"/>
            <w:tcBorders>
              <w:top w:val="nil"/>
              <w:left w:val="nil"/>
              <w:bottom w:val="nil"/>
              <w:right w:val="nil"/>
            </w:tcBorders>
          </w:tcPr>
          <w:p>
            <w:pPr>
              <w:pStyle w:val="46"/>
              <w:spacing w:line="48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需方用户单位：</w:t>
            </w:r>
          </w:p>
        </w:tc>
        <w:tc>
          <w:tcPr>
            <w:tcW w:w="2628" w:type="dxa"/>
            <w:tcBorders>
              <w:left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p>
        </w:tc>
      </w:tr>
    </w:tbl>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需方就所需仪器、设备（包括相关配套软件、硬件、集成系统在内，以下统称货物/产品）按照采购程序进行采购（采购项目编号：</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分包号：</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 ；项目名称：</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 ；申购业务号：</w:t>
      </w:r>
      <w:r>
        <w:rPr>
          <w:rFonts w:hint="eastAsia" w:asciiTheme="minorEastAsia" w:hAnsiTheme="minorEastAsia" w:eastAsiaTheme="minorEastAsia" w:cstheme="minorEastAsia"/>
          <w:sz w:val="22"/>
          <w:szCs w:val="22"/>
          <w:u w:val="single"/>
        </w:rPr>
        <w:t xml:space="preserve"> 792</w:t>
      </w:r>
      <w:r>
        <w:rPr>
          <w:rFonts w:hint="eastAsia" w:asciiTheme="minorEastAsia" w:hAnsiTheme="minorEastAsia" w:eastAsiaTheme="minorEastAsia" w:cstheme="minorEastAsia"/>
          <w:sz w:val="22"/>
          <w:szCs w:val="22"/>
        </w:rPr>
        <w:t>）后，确定供方为中标（成交）供应商。依据《中华人民共和国民法典》、《中华人民共和国政府采购法》等有关法律、法规，遵循平等、自愿、公平和诚实信用原则，供、需双方协商一致，签订本合同。</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一、采购内容（如有多个院系，按院系分类汇总）</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备注：采购内容与本合同各项文件发生抵触的，按本合同第10.1条执行；</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2288"/>
        <w:gridCol w:w="1725"/>
        <w:gridCol w:w="1730"/>
        <w:gridCol w:w="432"/>
        <w:gridCol w:w="590"/>
        <w:gridCol w:w="1136"/>
        <w:gridCol w:w="13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727" w:type="dxa"/>
            <w:vAlign w:val="center"/>
          </w:tcPr>
          <w:p>
            <w:pPr>
              <w:jc w:val="center"/>
              <w:rPr>
                <w:rFonts w:asciiTheme="minorEastAsia" w:hAnsiTheme="minorEastAsia" w:eastAsiaTheme="minorEastAsia" w:cstheme="minorEastAsia"/>
                <w:spacing w:val="-20"/>
                <w:sz w:val="22"/>
                <w:szCs w:val="22"/>
              </w:rPr>
            </w:pPr>
            <w:r>
              <w:rPr>
                <w:rFonts w:hint="eastAsia" w:asciiTheme="minorEastAsia" w:hAnsiTheme="minorEastAsia" w:eastAsiaTheme="minorEastAsia" w:cstheme="minorEastAsia"/>
                <w:spacing w:val="-20"/>
                <w:sz w:val="22"/>
                <w:szCs w:val="22"/>
              </w:rPr>
              <w:t>序号</w:t>
            </w:r>
          </w:p>
        </w:tc>
        <w:tc>
          <w:tcPr>
            <w:tcW w:w="2288" w:type="dxa"/>
            <w:vAlign w:val="center"/>
          </w:tcPr>
          <w:p>
            <w:pPr>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pacing w:val="-20"/>
                <w:sz w:val="22"/>
                <w:szCs w:val="22"/>
              </w:rPr>
              <w:t>产品名称</w:t>
            </w:r>
          </w:p>
        </w:tc>
        <w:tc>
          <w:tcPr>
            <w:tcW w:w="1725" w:type="dxa"/>
            <w:vAlign w:val="center"/>
          </w:tcPr>
          <w:p>
            <w:pPr>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pacing w:val="-20"/>
                <w:sz w:val="22"/>
                <w:szCs w:val="22"/>
              </w:rPr>
              <w:t>品牌及型号</w:t>
            </w:r>
          </w:p>
        </w:tc>
        <w:tc>
          <w:tcPr>
            <w:tcW w:w="1730" w:type="dxa"/>
            <w:vAlign w:val="center"/>
          </w:tcPr>
          <w:p>
            <w:pPr>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产地及</w:t>
            </w:r>
          </w:p>
          <w:p>
            <w:pPr>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生产厂商</w:t>
            </w:r>
          </w:p>
        </w:tc>
        <w:tc>
          <w:tcPr>
            <w:tcW w:w="432" w:type="dxa"/>
            <w:vAlign w:val="center"/>
          </w:tcPr>
          <w:p>
            <w:pPr>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单</w:t>
            </w:r>
          </w:p>
          <w:p>
            <w:pPr>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位</w:t>
            </w:r>
          </w:p>
        </w:tc>
        <w:tc>
          <w:tcPr>
            <w:tcW w:w="590" w:type="dxa"/>
            <w:vAlign w:val="center"/>
          </w:tcPr>
          <w:p>
            <w:pPr>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数</w:t>
            </w:r>
          </w:p>
          <w:p>
            <w:pPr>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量</w:t>
            </w:r>
          </w:p>
        </w:tc>
        <w:tc>
          <w:tcPr>
            <w:tcW w:w="1136" w:type="dxa"/>
            <w:vAlign w:val="center"/>
          </w:tcPr>
          <w:p>
            <w:pPr>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pacing w:val="-20"/>
                <w:sz w:val="22"/>
                <w:szCs w:val="22"/>
              </w:rPr>
              <w:t>单价（元）</w:t>
            </w:r>
          </w:p>
        </w:tc>
        <w:tc>
          <w:tcPr>
            <w:tcW w:w="1334" w:type="dxa"/>
            <w:vAlign w:val="center"/>
          </w:tcPr>
          <w:p>
            <w:pPr>
              <w:jc w:val="center"/>
              <w:rPr>
                <w:rFonts w:asciiTheme="minorEastAsia" w:hAnsiTheme="minorEastAsia" w:eastAsiaTheme="minorEastAsia" w:cstheme="minorEastAsia"/>
                <w:spacing w:val="-20"/>
                <w:sz w:val="22"/>
                <w:szCs w:val="22"/>
              </w:rPr>
            </w:pPr>
            <w:r>
              <w:rPr>
                <w:rFonts w:hint="eastAsia" w:asciiTheme="minorEastAsia" w:hAnsiTheme="minorEastAsia" w:eastAsiaTheme="minorEastAsia" w:cstheme="minorEastAsia"/>
                <w:spacing w:val="-20"/>
                <w:sz w:val="22"/>
                <w:szCs w:val="22"/>
              </w:rPr>
              <w:t>总价（元）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27" w:type="dxa"/>
            <w:vMerge w:val="restart"/>
            <w:vAlign w:val="center"/>
          </w:tcPr>
          <w:p>
            <w:pPr>
              <w:spacing w:line="440" w:lineRule="exact"/>
              <w:ind w:right="82" w:rightChars="34"/>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w:t>
            </w:r>
          </w:p>
        </w:tc>
        <w:tc>
          <w:tcPr>
            <w:tcW w:w="2288" w:type="dxa"/>
            <w:vAlign w:val="center"/>
          </w:tcPr>
          <w:p>
            <w:pPr>
              <w:spacing w:line="440" w:lineRule="exact"/>
              <w:ind w:right="82" w:rightChars="34"/>
              <w:rPr>
                <w:rFonts w:asciiTheme="minorEastAsia" w:hAnsiTheme="minorEastAsia" w:eastAsiaTheme="minorEastAsia" w:cstheme="minorEastAsia"/>
                <w:sz w:val="22"/>
                <w:szCs w:val="22"/>
              </w:rPr>
            </w:pPr>
          </w:p>
        </w:tc>
        <w:tc>
          <w:tcPr>
            <w:tcW w:w="1725" w:type="dxa"/>
            <w:vAlign w:val="center"/>
          </w:tcPr>
          <w:p>
            <w:pPr>
              <w:spacing w:line="440" w:lineRule="exact"/>
              <w:rPr>
                <w:rFonts w:asciiTheme="minorEastAsia" w:hAnsiTheme="minorEastAsia" w:eastAsiaTheme="minorEastAsia" w:cstheme="minorEastAsia"/>
                <w:sz w:val="22"/>
                <w:szCs w:val="22"/>
              </w:rPr>
            </w:pPr>
          </w:p>
        </w:tc>
        <w:tc>
          <w:tcPr>
            <w:tcW w:w="1730" w:type="dxa"/>
            <w:vAlign w:val="center"/>
          </w:tcPr>
          <w:p>
            <w:pPr>
              <w:rPr>
                <w:rFonts w:asciiTheme="minorEastAsia" w:hAnsiTheme="minorEastAsia" w:eastAsiaTheme="minorEastAsia" w:cstheme="minorEastAsia"/>
                <w:sz w:val="22"/>
                <w:szCs w:val="22"/>
              </w:rPr>
            </w:pPr>
          </w:p>
        </w:tc>
        <w:tc>
          <w:tcPr>
            <w:tcW w:w="432" w:type="dxa"/>
            <w:vAlign w:val="center"/>
          </w:tcPr>
          <w:p>
            <w:pPr>
              <w:spacing w:line="440" w:lineRule="exact"/>
              <w:rPr>
                <w:rFonts w:asciiTheme="minorEastAsia" w:hAnsiTheme="minorEastAsia" w:eastAsiaTheme="minorEastAsia" w:cstheme="minorEastAsia"/>
                <w:sz w:val="22"/>
                <w:szCs w:val="22"/>
              </w:rPr>
            </w:pPr>
          </w:p>
        </w:tc>
        <w:tc>
          <w:tcPr>
            <w:tcW w:w="590" w:type="dxa"/>
            <w:vAlign w:val="center"/>
          </w:tcPr>
          <w:p>
            <w:pPr>
              <w:spacing w:line="440" w:lineRule="exact"/>
              <w:rPr>
                <w:rFonts w:asciiTheme="minorEastAsia" w:hAnsiTheme="minorEastAsia" w:eastAsiaTheme="minorEastAsia" w:cstheme="minorEastAsia"/>
                <w:sz w:val="22"/>
                <w:szCs w:val="22"/>
              </w:rPr>
            </w:pPr>
          </w:p>
        </w:tc>
        <w:tc>
          <w:tcPr>
            <w:tcW w:w="1136" w:type="dxa"/>
            <w:tcMar>
              <w:left w:w="0" w:type="dxa"/>
              <w:right w:w="0" w:type="dxa"/>
            </w:tcMar>
            <w:vAlign w:val="center"/>
          </w:tcPr>
          <w:p>
            <w:pPr>
              <w:spacing w:line="440" w:lineRule="exact"/>
              <w:ind w:right="315"/>
              <w:jc w:val="right"/>
              <w:rPr>
                <w:rFonts w:asciiTheme="minorEastAsia" w:hAnsiTheme="minorEastAsia" w:eastAsiaTheme="minorEastAsia" w:cstheme="minorEastAsia"/>
                <w:sz w:val="22"/>
                <w:szCs w:val="22"/>
              </w:rPr>
            </w:pPr>
          </w:p>
        </w:tc>
        <w:tc>
          <w:tcPr>
            <w:tcW w:w="1334" w:type="dxa"/>
            <w:tcMar>
              <w:left w:w="0" w:type="dxa"/>
              <w:right w:w="0" w:type="dxa"/>
            </w:tcMar>
            <w:vAlign w:val="center"/>
          </w:tcPr>
          <w:p>
            <w:pPr>
              <w:jc w:val="right"/>
              <w:rPr>
                <w:rFonts w:asciiTheme="minorEastAsia" w:hAnsiTheme="minorEastAsia" w:eastAsiaTheme="minorEastAsia" w:cstheme="minorEastAsia"/>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27" w:type="dxa"/>
            <w:vMerge w:val="continue"/>
            <w:vAlign w:val="center"/>
          </w:tcPr>
          <w:p>
            <w:pPr>
              <w:spacing w:line="440" w:lineRule="exact"/>
              <w:ind w:right="82" w:rightChars="34"/>
              <w:jc w:val="center"/>
              <w:rPr>
                <w:rFonts w:asciiTheme="minorEastAsia" w:hAnsiTheme="minorEastAsia" w:eastAsiaTheme="minorEastAsia" w:cstheme="minorEastAsia"/>
                <w:sz w:val="22"/>
                <w:szCs w:val="22"/>
              </w:rPr>
            </w:pPr>
          </w:p>
        </w:tc>
        <w:tc>
          <w:tcPr>
            <w:tcW w:w="9235" w:type="dxa"/>
            <w:gridSpan w:val="7"/>
            <w:vAlign w:val="center"/>
          </w:tcPr>
          <w:p>
            <w:pP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技术指标：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27" w:type="dxa"/>
            <w:vMerge w:val="restart"/>
            <w:vAlign w:val="center"/>
          </w:tcPr>
          <w:p>
            <w:pPr>
              <w:spacing w:line="440" w:lineRule="exact"/>
              <w:ind w:right="82" w:rightChars="34"/>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w:t>
            </w:r>
          </w:p>
        </w:tc>
        <w:tc>
          <w:tcPr>
            <w:tcW w:w="2288" w:type="dxa"/>
            <w:vAlign w:val="center"/>
          </w:tcPr>
          <w:p>
            <w:pPr>
              <w:spacing w:line="440" w:lineRule="exact"/>
              <w:ind w:right="82" w:rightChars="34"/>
              <w:rPr>
                <w:rFonts w:asciiTheme="minorEastAsia" w:hAnsiTheme="minorEastAsia" w:eastAsiaTheme="minorEastAsia" w:cstheme="minorEastAsia"/>
                <w:sz w:val="22"/>
                <w:szCs w:val="22"/>
              </w:rPr>
            </w:pPr>
          </w:p>
        </w:tc>
        <w:tc>
          <w:tcPr>
            <w:tcW w:w="1725" w:type="dxa"/>
            <w:vAlign w:val="center"/>
          </w:tcPr>
          <w:p>
            <w:pPr>
              <w:spacing w:line="440" w:lineRule="exact"/>
              <w:rPr>
                <w:rFonts w:asciiTheme="minorEastAsia" w:hAnsiTheme="minorEastAsia" w:eastAsiaTheme="minorEastAsia" w:cstheme="minorEastAsia"/>
                <w:sz w:val="22"/>
                <w:szCs w:val="22"/>
              </w:rPr>
            </w:pPr>
          </w:p>
        </w:tc>
        <w:tc>
          <w:tcPr>
            <w:tcW w:w="1730" w:type="dxa"/>
            <w:vAlign w:val="center"/>
          </w:tcPr>
          <w:p>
            <w:pPr>
              <w:rPr>
                <w:rFonts w:asciiTheme="minorEastAsia" w:hAnsiTheme="minorEastAsia" w:eastAsiaTheme="minorEastAsia" w:cstheme="minorEastAsia"/>
                <w:sz w:val="22"/>
                <w:szCs w:val="22"/>
              </w:rPr>
            </w:pPr>
          </w:p>
        </w:tc>
        <w:tc>
          <w:tcPr>
            <w:tcW w:w="432" w:type="dxa"/>
            <w:vAlign w:val="center"/>
          </w:tcPr>
          <w:p>
            <w:pPr>
              <w:spacing w:line="440" w:lineRule="exact"/>
              <w:rPr>
                <w:rFonts w:asciiTheme="minorEastAsia" w:hAnsiTheme="minorEastAsia" w:eastAsiaTheme="minorEastAsia" w:cstheme="minorEastAsia"/>
                <w:sz w:val="22"/>
                <w:szCs w:val="22"/>
              </w:rPr>
            </w:pPr>
          </w:p>
        </w:tc>
        <w:tc>
          <w:tcPr>
            <w:tcW w:w="590" w:type="dxa"/>
            <w:vAlign w:val="center"/>
          </w:tcPr>
          <w:p>
            <w:pPr>
              <w:spacing w:line="440" w:lineRule="exact"/>
              <w:rPr>
                <w:rFonts w:asciiTheme="minorEastAsia" w:hAnsiTheme="minorEastAsia" w:eastAsiaTheme="minorEastAsia" w:cstheme="minorEastAsia"/>
                <w:sz w:val="22"/>
                <w:szCs w:val="22"/>
              </w:rPr>
            </w:pPr>
          </w:p>
        </w:tc>
        <w:tc>
          <w:tcPr>
            <w:tcW w:w="1136" w:type="dxa"/>
            <w:tcMar>
              <w:left w:w="0" w:type="dxa"/>
              <w:right w:w="0" w:type="dxa"/>
            </w:tcMar>
            <w:vAlign w:val="center"/>
          </w:tcPr>
          <w:p>
            <w:pPr>
              <w:spacing w:line="440" w:lineRule="exact"/>
              <w:ind w:right="315"/>
              <w:jc w:val="right"/>
              <w:rPr>
                <w:rFonts w:asciiTheme="minorEastAsia" w:hAnsiTheme="minorEastAsia" w:eastAsiaTheme="minorEastAsia" w:cstheme="minorEastAsia"/>
                <w:sz w:val="22"/>
                <w:szCs w:val="22"/>
              </w:rPr>
            </w:pPr>
          </w:p>
        </w:tc>
        <w:tc>
          <w:tcPr>
            <w:tcW w:w="1334" w:type="dxa"/>
            <w:tcMar>
              <w:left w:w="0" w:type="dxa"/>
              <w:right w:w="0" w:type="dxa"/>
            </w:tcMar>
            <w:vAlign w:val="center"/>
          </w:tcPr>
          <w:p>
            <w:pPr>
              <w:jc w:val="right"/>
              <w:rPr>
                <w:rFonts w:asciiTheme="minorEastAsia" w:hAnsiTheme="minorEastAsia" w:eastAsiaTheme="minorEastAsia" w:cstheme="minorEastAsia"/>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27" w:type="dxa"/>
            <w:vMerge w:val="continue"/>
            <w:vAlign w:val="center"/>
          </w:tcPr>
          <w:p>
            <w:pPr>
              <w:spacing w:line="440" w:lineRule="exact"/>
              <w:ind w:right="82" w:rightChars="34"/>
              <w:jc w:val="center"/>
              <w:rPr>
                <w:rFonts w:asciiTheme="minorEastAsia" w:hAnsiTheme="minorEastAsia" w:eastAsiaTheme="minorEastAsia" w:cstheme="minorEastAsia"/>
                <w:sz w:val="22"/>
                <w:szCs w:val="22"/>
              </w:rPr>
            </w:pPr>
          </w:p>
        </w:tc>
        <w:tc>
          <w:tcPr>
            <w:tcW w:w="9235" w:type="dxa"/>
            <w:gridSpan w:val="7"/>
            <w:vAlign w:val="center"/>
          </w:tcPr>
          <w:p>
            <w:pP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技术指标：</w:t>
            </w:r>
          </w:p>
        </w:tc>
      </w:tr>
    </w:tbl>
    <w:p>
      <w:pPr>
        <w:pStyle w:val="46"/>
        <w:spacing w:line="480" w:lineRule="exact"/>
        <w:ind w:firstLine="440" w:firstLineChars="200"/>
        <w:rPr>
          <w:rFonts w:asciiTheme="minorEastAsia" w:hAnsiTheme="minorEastAsia" w:eastAsiaTheme="minorEastAsia" w:cstheme="minorEastAsia"/>
          <w:sz w:val="22"/>
          <w:szCs w:val="22"/>
        </w:rPr>
      </w:pP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二、合同总价</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2.1合同总价为人民币大写：                元整，小写：￥        。</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2.2本合同执行固定价格不变，不因市场价格的波动而波动。合同总价包括但不限于货物价格、运输费（含保险费）、装卸费、安装调试费、检测验收费、培训费、售后服务费等所有费用，和供方为完成本项目所需缴纳的一切相关税、费；需方无须另向供方支付其他任何费用。</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*三、质量要求与技术标准</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3.1供方须提供全新的、原厂包装的货物（含零部件、配件、附件、随机工具等），表面无划伤、无碰撞痕迹，内部无瑕疵。供方不收回包装。</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3.2供方提供的货物应完全符合本合同及各项文件中需方提出的，以及供方承诺的产品名称、品牌、型号、产地及生产厂商、规格配置、参数性能等各项要求与使用目的，应能够正常运行与使用。</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3.3供方提供的货物必须符合国家、行业、生产厂商及本合同各项文件要求的技术标准、安全质量标准、环保标准、售后服务标准。</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上述标准为协议签订时有效的最新标准。上述标准不一致的，以要求高者为准。</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3.4供方承诺并保证对其所提供的货物均享有合法权利的，不会侵犯第三方知识产权、所有权及其它合法权益。</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3.5（采购文件对技术标准有详细要求的，可于本款载明；此条款根据投标或投标文件承诺内容选择填写）。</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四、交货及验收</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*4.1交货期限、地点、方式</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4.1.1交货期限：供方应在合同签订生效后的     日内完全交货。供方应在交货前至少提前     工作日以书面或电子文件形式通知需方准备收货。</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*4.1.2交货方式：供方免费送货到 西南大学 指定位置，交需方用户单位。装卸和搬运均由供方负责，费用均由供方自行承担。</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4.1.3需方指定收货人：            ，电话:                。</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*4.2外观和数量验收</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4.2.1交货时，由供方和需方用户单位当场进行货物品名、数量、品牌、产地及生产厂商、型号及外观验收，并形成书面验收记录。货物零部件、配件、附件、随机工具等的外观和数量验收以配置清单为准。</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4.2.2外观和数量验收记录由需方指定收货人签字，并加盖用户单位公章方为有效。外观和数量验收记录仅证明已按现状收到若干具体单位数量的货物。</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4.3供方应于交货后    个工作日内，或者于需方用户单位指定时间内派专业人员到现场免费安装调试，并达到正常运行状态。</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4.4质量性能验收（此条款根据投标或投标文件承诺内容选择填写）</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4.4.1安装调试完毕并试运行   个工作日后，供方可提出书面验收申请。货物采用以下第（    ）种方式进行质量性能验收：</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（1）由需方组织质量性能验收，供方配合进行；验收合格的，由需方出具质量性能验收报告，验收合格时间以报告中需方确认的最后时间为准。</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（2）由    方聘请具有相应检验资格的中介机构进行检验，检验费用由    方承担。</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（3）由    方提请政府机构进行检验，检验费用由    方承担；验收合格时间以需方收到政府机构检验合格报告时间为准。</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（4）其他验收方式：                                                   。</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4.4.2质量性能验收标准按本合同第三条约定的标准执行。</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4.4.3若供方拒绝在验收不合格的报告上签字的，应在    日内提出书面意见，并提交相关证据证明，否则视为供方认可该验收报告。</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4.5 供方应将所提供货物的清单、零部件、配件、附近、随机工具以及用户使用手册、质量合格证书、保修证书、产品使用说明书等资料按照本合同第4.1条、第4.2条之约定与货物一并交付给需方用户单位；供方不能完整交付货物及本款规定的单证和工具的，必须在交货期内限内补齐，否则视为未完全交货。</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4.6 验收时如发现所交付的货物有短装、次品、损坏、不能正常运行或其它不符合本合同及项目其他文件规定的标准与要求之情形者，供方与需方（或需方用户单位）共同做出详尽的现场记录或者签署备忘录，由此产生的时间延误与有关费用由供方承担，交货及验收期限不作相应顺延。</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4.7（用户单位对验收有其他要求的，可于本款载明，但应根据投标或投标文件承诺内容填写；）。</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五、培训</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5.1 安装调试合格后，由需方用户单位与供方共同商定培训时间，培训地点由需方指定。</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5.2 供方向需方免费提供培训，培训内容与方式如下：</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供方提供必要的培训资料，并指派专业人员就所供货物的组装、试运行、运行、使用、维护、保养等对需方人员进行培训，直至全面掌握为止/（（培训的具体内容根据投标文件响应内容填写）。</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5.3 完成培训后，供方才能要求需方支付货款。</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六、 付款模式（根据招标文件规定选择）</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模式一（此条款根据投标或投标文件承诺内容填写，付款模式三选一，删除其余模式）</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====================履约保证金付款模式========================</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6.1.1本合同中货物全部到货、数量验收合格后  3  个工作日内，供方向需方交</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纳合同总价的    %（计人民币大写          元整，小写￥          ）作履约保证金；需方收到质保金后  3  个工作日内，根据合同及数量验收记录向供方支付100%的合同总价款，计人民币大写             元整，小写￥            。</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6.1.2本合同中货物质量性能验收合格且培训工作完成后  7  个工作日内，需方向供方无息退还作为履约保证金的合同总价的   %，计人民币大写             元整，小写￥            元。</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6.1.3质量性能验收合格之日起 1 年内若无遗留问题，需方将剩余履约保证金（合同总价的   % ）无息退还供方；若有尚未解决的遗留问题，暂不予退还。</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====================进度款付款模式========================</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模式二</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6.1.1本合同中货物全部到货、数量验收合格后  3  个工作日内，供方向需方交</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纳合同总价的  5  %（计人民币大写            元整，小写￥          ）作履约保证金；需方收到履约保证金后  7  个工作日内，根据合同及数量验收记录向供方支付合同总额80%的进度款，计人民币大写             元整，小写￥            。</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6.1.2本合同中货物质量性能验收合格且培训工作完成后  7  个工作日内，需方</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向供方支付合同总价的20%进度款（即余款），计人民币大写             元整，小写￥            元。</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6.1.3质量性能验收合格之日起 1 年内若无遗留问题，需方将履约保证金本金全额无</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息退还供方；若有尚未解决的遗留问题，暂不予退还。</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模式三</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======================验收合格后付款模式========================</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6.1.1质量性能验收合格后  3  个工作日内，供方向需方交纳合同总价的  5  %（计人民币大写         元整，小写￥          ）作履约保证金；需方收到履约保证金后  7  个工作日内，向供方支付100%的合同总价款，计人民币大写         元整，小写￥         。</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6.1.2质量性能验收合格之日起 1 年内若无遗留问题，需方将履约保证金本金全额无</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息退还供方；若有尚未解决的遗留问题，暂不予退还。</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6.2需方每次向供方付款前，供方应该先行向需方提供等额正式增值税专用发票。</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货款及质保金均以银行转账方式支付。</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供方银行账号及税号信息</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93"/>
        <w:gridCol w:w="52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开户名称：</w:t>
            </w:r>
          </w:p>
        </w:tc>
        <w:tc>
          <w:tcPr>
            <w:tcW w:w="5272" w:type="dxa"/>
            <w:tcBorders>
              <w:top w:val="nil"/>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开户银行：</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银行账号：</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银行行号：</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统一社会信用代码：</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注册地址：</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联系电话：</w:t>
            </w:r>
          </w:p>
        </w:tc>
        <w:tc>
          <w:tcPr>
            <w:tcW w:w="5272" w:type="dxa"/>
            <w:tcBorders>
              <w:top w:val="single" w:color="auto" w:sz="4" w:space="0"/>
              <w:left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p>
        </w:tc>
      </w:tr>
    </w:tbl>
    <w:p>
      <w:pPr>
        <w:pStyle w:val="46"/>
        <w:spacing w:line="480" w:lineRule="exact"/>
        <w:ind w:firstLine="440" w:firstLineChars="200"/>
        <w:rPr>
          <w:rFonts w:asciiTheme="minorEastAsia" w:hAnsiTheme="minorEastAsia" w:eastAsiaTheme="minorEastAsia" w:cstheme="minorEastAsia"/>
          <w:sz w:val="22"/>
          <w:szCs w:val="22"/>
        </w:rPr>
      </w:pP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需方银行账号及税号信息</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04"/>
        <w:gridCol w:w="52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开户名称：</w:t>
            </w:r>
          </w:p>
        </w:tc>
        <w:tc>
          <w:tcPr>
            <w:tcW w:w="5272" w:type="dxa"/>
            <w:tcBorders>
              <w:top w:val="nil"/>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西南大学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开户银行：</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工行重庆朝阳支行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银行账号：</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3100028109024968877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银行行号：</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102653000474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统一社会信用代码：</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12100000450401733W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注册地址：</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重庆市北碚区天生路2号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联系电话：</w:t>
            </w:r>
          </w:p>
        </w:tc>
        <w:tc>
          <w:tcPr>
            <w:tcW w:w="5272" w:type="dxa"/>
            <w:tcBorders>
              <w:top w:val="single" w:color="auto" w:sz="4" w:space="0"/>
              <w:left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填写经办人及联系电话</w:t>
            </w:r>
          </w:p>
        </w:tc>
      </w:tr>
    </w:tbl>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七、售后服务</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7.1质保期为质量性能验收合格后    年，本合同约定的质保期与货物保修证书或国家规定不一致的，以时间较长者为准。</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7.2 质保期内供方应按不低于国家法律法规规定的、货物保修证书及其他资料载明的、本合同及项目其他文件要求的内容提供质保服务，质保期内的所有服务及产生的费用均由供方承担。</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*7.3 质保范围：本合同所涵盖的供方提供的所有货物，包括但不限于本合同列明的所有仪器、设备的硬件、软件、集成系统及其零部件、配件、随机工具和赠品等。/包括但不限于以下内容：（根据投标或投标文件承诺内容填写）。</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7.4 质保服务内容</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7.4.1 质保期内出现质量问题，供方在接到电话通知后    小时内响应到场，    小时内指派专业人员完成修复，确保货物正常运行；未在前述时间内响应的，视为拒绝维修。售后服务维修中使用的备品备件及易损件应为原厂配件，未经需方同意不得使用非原厂配件。</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7.4.2 在本合同约定时间内不能修复的，供方予以免费更换或提供相同功能档次的货物予以临时调换，保证需方的正常使用。</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7.4.3 更换的货物及其软件、硬件、集成系统及其零部件、配件、附近、随机工具和赠品等应全新、合格，与原件品牌、规格、型号等一致，符合本合同质量要求。需方有权要求对更换的货物等重新组织验收。</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7.4.4 临时调换后，供方应在需方确定的时限内对货物尽快修复，同时，需方有权随时了解或检查货物修复进度。</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7.4.5 质保期内的货物维护保养：                                     。</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7.4.6 其他质保服务：                                              。</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7.5 仪器设备配套软件（硬件）的质保服务内容</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7.5.1 供方应在质保期内对软件（硬件）免费升级，免费提供技术支持，免费解决软件（硬件）使用过程中的故障、意外。</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7.5.2 供方对其提供的软件（硬件）自身漏洞、故障，应在接到需方电话通知后    日内免费修复。</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7.5.3 对定制软件或集成系统的其他质保服务：                             。</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7.5.4 供方提供的软件（硬件）出现本合同第7.5条未规定的情况的，适用本合同第七条对售后服务的其他规定。</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7.6 货物发生质量问题，由供方进行维修、更换的，维修或更换件的质保期相应延长。</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7.7 供方须指派专人负责与需方联系售后服务事宜：</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供方售后服务联系人：              ，联系电话：                     。</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7.8 质保期后服务：终身免费上门维修；涉及配件更换只收配件成本费。</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*八、违约责任（若有异议，请根据行业标准填写，并与用户确认，或根据投标投标文件、承诺内容填写）</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8.1需方无正当理由拒收仪器设备的，应向供方支付合同总价 10 %的违约金。需方无正当理由逾期收货的，每天按合同总价的 5 ‰向供方支付违约金。需方无正当理由逾期付款的，每天按逾期付款金额的 5 ‰向供方支付违约金。</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8.2供方有以下违约行为之一的，应当在需方指定期间内完成整改，指定的期间内每日按合同总价的 5 ‰向需方支付违约金；供方在指定期限内未完成整改的，需方有权解除合同或部分退货，并要求供方另行支付合同总价 20 %的违约金。</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（1）逾期交货（包括不完全交货）的；</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（2）未在合同约定时间内完成安装调试的；</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（3）质量性能验收不合格的；</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（4）违反合同其他约定的。</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8.3质保期内，如货物经供方 3 次维修或更换后仍不能达到本合同约定的质量标准，或者临时调换后供方不能在商定的时限内完成修复并达到本合同约定的质量标准，或者供方拒绝进行维修或更换的，需方有权按以下任一方式要求供方承担违约责任：</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（1）解除合同或部分退货，供方向需方支付合同总价款 20 %的违约金；</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（2）需方使用质保金自行或请第三方进行维修、更换，供方应对维修、更换的方案和所产生的费用无条件予以完全认可；质保金不足以支付的，超出部分由供方承担。</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8.4需方根据法律规定或本合同约定解除合同或部分退货的，需方按合同解除时或退货时货物现状退回货物，供方支付违约金并无条件退还需方已支付的全部款项或退货部分相应款项；供方自行负责拆卸、联系运输、装卸货等所有退货事宜及退货产生的全部费用。</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8.5未经需方书面同意，供方不得在市场宣传中使用与需方的合作案列，不得将需方作为业务伙伴进行宣传，不得使用需方的校名、校徽、商标、标志语等；若违反上述约定，应按合同总价的 20 %向需方支付违约金。</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8.6 因货物质量问题造成需方或其他任何人员伤、亡或财产损失的，由供方承担全部赔偿责任；需方先行垫付的，有权向供方追偿。</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8.7供方保证本合同货物的权利无瑕疵，包括货物所有权及知识产权等权利无瑕疵。如任何第三方对本合同货物全部或部分主张权利，或国家机关依法对本合同货物全部或部分没收、查封或采取其他措施导致需方不能正常使用货物的，供方除应向需方返还已收款项外，还应另按合同总价的 20 %向需方支付违约金。</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8.8供方未按合同约定支付违约金、赔偿金或相关费用的，需方有权从质保金中扣除相应金额，但这并不意味着对供方违约责任、赔偿责任全部或部分的豁免或解除。</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需方根据合同约定使用或扣除质保金后，供方应在需方指定的限期内补足质保金；限期内未能补足的，需方每天按质保金总额的 5 %继续扣除或计算逾期违约金。</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8.9双方同意，本合同所约定的违约金不能不能填补并赔偿因违约行为给守约方造成损失的，违约方还应对损失进行赔偿；前述损失包括守约方为维权所支出的必要费用（包括但不限于律师费、差旅费等）。</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九、争议解决办法</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合同履行期间,若双方发生争议，应友好协商解决，协商不成的，可依法向需方所在地人民法院提起诉讼。</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十、其他</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10.1本合同中“项目其他文件”系指本合同首部载明的采购项目的招标（采购）文件、澄清表（函）、投标（响应）文件（含特殊承诺）、中标（中标）通知书等。前述文件均为本合同不可分割的部分。前述文件之间若发生抵触，应以以下优先顺序为准：本合同、本合签订后双方拟定的书面补充合同、投标时的特殊承诺函、澄清文件、投标（响应）文件、招标（采购）文件。</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10.2 双方确认下列地址为文书送达地址，并按照下列地址送达函件、诉讼文书、供货订单等各类文书。若一方根据下列地址（或对方通知的变更后的地址）向对方送达时发生收件人拒收或者其他无法送达的情形，则发出函件、诉讼文书、供货订单等文书之日起的第10日视为送达对方之日。</w:t>
      </w:r>
    </w:p>
    <w:tbl>
      <w:tblPr>
        <w:tblStyle w:val="24"/>
        <w:tblW w:w="0" w:type="auto"/>
        <w:tblInd w:w="0" w:type="dxa"/>
        <w:tblLayout w:type="fixed"/>
        <w:tblCellMar>
          <w:top w:w="0" w:type="dxa"/>
          <w:left w:w="108" w:type="dxa"/>
          <w:bottom w:w="0" w:type="dxa"/>
          <w:right w:w="108" w:type="dxa"/>
        </w:tblCellMar>
      </w:tblPr>
      <w:tblGrid>
        <w:gridCol w:w="2064"/>
        <w:gridCol w:w="4080"/>
        <w:gridCol w:w="1327"/>
        <w:gridCol w:w="2491"/>
      </w:tblGrid>
      <w:tr>
        <w:tblPrEx>
          <w:tblCellMar>
            <w:top w:w="0" w:type="dxa"/>
            <w:left w:w="108" w:type="dxa"/>
            <w:bottom w:w="0" w:type="dxa"/>
            <w:right w:w="108" w:type="dxa"/>
          </w:tblCellMar>
        </w:tblPrEx>
        <w:tc>
          <w:tcPr>
            <w:tcW w:w="2064" w:type="dxa"/>
          </w:tcPr>
          <w:p>
            <w:pPr>
              <w:pStyle w:val="46"/>
              <w:spacing w:line="48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供方通讯地址：</w:t>
            </w:r>
          </w:p>
        </w:tc>
        <w:tc>
          <w:tcPr>
            <w:tcW w:w="4080" w:type="dxa"/>
            <w:tcBorders>
              <w:bottom w:val="single" w:color="auto" w:sz="4" w:space="0"/>
            </w:tcBorders>
          </w:tcPr>
          <w:p>
            <w:pPr>
              <w:pStyle w:val="46"/>
              <w:spacing w:line="480" w:lineRule="exact"/>
              <w:ind w:firstLine="440" w:firstLineChars="200"/>
              <w:rPr>
                <w:rFonts w:asciiTheme="minorEastAsia" w:hAnsiTheme="minorEastAsia" w:eastAsiaTheme="minorEastAsia" w:cstheme="minorEastAsia"/>
                <w:sz w:val="22"/>
                <w:szCs w:val="22"/>
              </w:rPr>
            </w:pPr>
          </w:p>
        </w:tc>
        <w:tc>
          <w:tcPr>
            <w:tcW w:w="1327" w:type="dxa"/>
          </w:tcPr>
          <w:p>
            <w:pPr>
              <w:pStyle w:val="46"/>
              <w:spacing w:line="48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联系邮箱：</w:t>
            </w:r>
          </w:p>
        </w:tc>
        <w:tc>
          <w:tcPr>
            <w:tcW w:w="2491" w:type="dxa"/>
            <w:tcBorders>
              <w:bottom w:val="single" w:color="auto" w:sz="4" w:space="0"/>
            </w:tcBorders>
          </w:tcPr>
          <w:p>
            <w:pPr>
              <w:pStyle w:val="46"/>
              <w:spacing w:line="480" w:lineRule="exact"/>
              <w:ind w:firstLine="440" w:firstLineChars="200"/>
              <w:rPr>
                <w:rFonts w:asciiTheme="minorEastAsia" w:hAnsiTheme="minorEastAsia" w:eastAsiaTheme="minorEastAsia" w:cstheme="minorEastAsia"/>
                <w:sz w:val="22"/>
                <w:szCs w:val="22"/>
              </w:rPr>
            </w:pPr>
          </w:p>
        </w:tc>
      </w:tr>
      <w:tr>
        <w:tblPrEx>
          <w:tblCellMar>
            <w:top w:w="0" w:type="dxa"/>
            <w:left w:w="108" w:type="dxa"/>
            <w:bottom w:w="0" w:type="dxa"/>
            <w:right w:w="108" w:type="dxa"/>
          </w:tblCellMar>
        </w:tblPrEx>
        <w:tc>
          <w:tcPr>
            <w:tcW w:w="2064" w:type="dxa"/>
          </w:tcPr>
          <w:p>
            <w:pPr>
              <w:pStyle w:val="46"/>
              <w:spacing w:line="48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联系人：</w:t>
            </w:r>
          </w:p>
        </w:tc>
        <w:tc>
          <w:tcPr>
            <w:tcW w:w="4080" w:type="dxa"/>
            <w:tcBorders>
              <w:top w:val="single" w:color="auto" w:sz="4" w:space="0"/>
              <w:bottom w:val="single" w:color="auto" w:sz="4" w:space="0"/>
            </w:tcBorders>
          </w:tcPr>
          <w:p>
            <w:pPr>
              <w:pStyle w:val="46"/>
              <w:spacing w:line="480" w:lineRule="exact"/>
              <w:ind w:firstLine="440" w:firstLineChars="200"/>
              <w:rPr>
                <w:rFonts w:asciiTheme="minorEastAsia" w:hAnsiTheme="minorEastAsia" w:eastAsiaTheme="minorEastAsia" w:cstheme="minorEastAsia"/>
                <w:sz w:val="22"/>
                <w:szCs w:val="22"/>
              </w:rPr>
            </w:pPr>
          </w:p>
        </w:tc>
        <w:tc>
          <w:tcPr>
            <w:tcW w:w="1327" w:type="dxa"/>
          </w:tcPr>
          <w:p>
            <w:pPr>
              <w:pStyle w:val="46"/>
              <w:spacing w:line="48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联系电话：</w:t>
            </w:r>
          </w:p>
        </w:tc>
        <w:tc>
          <w:tcPr>
            <w:tcW w:w="2491" w:type="dxa"/>
            <w:tcBorders>
              <w:top w:val="single" w:color="auto" w:sz="4" w:space="0"/>
              <w:bottom w:val="single" w:color="auto" w:sz="4" w:space="0"/>
            </w:tcBorders>
          </w:tcPr>
          <w:p>
            <w:pPr>
              <w:pStyle w:val="46"/>
              <w:spacing w:line="480" w:lineRule="exact"/>
              <w:ind w:firstLine="440" w:firstLineChars="200"/>
              <w:rPr>
                <w:rFonts w:asciiTheme="minorEastAsia" w:hAnsiTheme="minorEastAsia" w:eastAsiaTheme="minorEastAsia" w:cstheme="minorEastAsia"/>
                <w:sz w:val="22"/>
                <w:szCs w:val="22"/>
              </w:rPr>
            </w:pPr>
          </w:p>
        </w:tc>
      </w:tr>
      <w:tr>
        <w:tblPrEx>
          <w:tblCellMar>
            <w:top w:w="0" w:type="dxa"/>
            <w:left w:w="108" w:type="dxa"/>
            <w:bottom w:w="0" w:type="dxa"/>
            <w:right w:w="108" w:type="dxa"/>
          </w:tblCellMar>
        </w:tblPrEx>
        <w:tc>
          <w:tcPr>
            <w:tcW w:w="2064" w:type="dxa"/>
          </w:tcPr>
          <w:p>
            <w:pPr>
              <w:pStyle w:val="46"/>
              <w:spacing w:line="48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需方通讯地址：</w:t>
            </w:r>
          </w:p>
        </w:tc>
        <w:tc>
          <w:tcPr>
            <w:tcW w:w="4080" w:type="dxa"/>
            <w:tcBorders>
              <w:top w:val="single" w:color="auto" w:sz="4" w:space="0"/>
              <w:bottom w:val="single" w:color="auto" w:sz="4" w:space="0"/>
            </w:tcBorders>
          </w:tcPr>
          <w:p>
            <w:pPr>
              <w:pStyle w:val="46"/>
              <w:spacing w:line="480" w:lineRule="exact"/>
              <w:ind w:firstLine="440" w:firstLineChars="200"/>
              <w:rPr>
                <w:rFonts w:asciiTheme="minorEastAsia" w:hAnsiTheme="minorEastAsia" w:eastAsiaTheme="minorEastAsia" w:cstheme="minorEastAsia"/>
                <w:sz w:val="22"/>
                <w:szCs w:val="22"/>
              </w:rPr>
            </w:pPr>
          </w:p>
        </w:tc>
        <w:tc>
          <w:tcPr>
            <w:tcW w:w="1327" w:type="dxa"/>
          </w:tcPr>
          <w:p>
            <w:pPr>
              <w:pStyle w:val="46"/>
              <w:spacing w:line="48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联系邮箱：</w:t>
            </w:r>
          </w:p>
        </w:tc>
        <w:tc>
          <w:tcPr>
            <w:tcW w:w="2491" w:type="dxa"/>
            <w:tcBorders>
              <w:top w:val="single" w:color="auto" w:sz="4" w:space="0"/>
              <w:bottom w:val="single" w:color="auto" w:sz="4" w:space="0"/>
            </w:tcBorders>
          </w:tcPr>
          <w:p>
            <w:pPr>
              <w:pStyle w:val="46"/>
              <w:spacing w:line="480" w:lineRule="exact"/>
              <w:ind w:firstLine="440" w:firstLineChars="200"/>
              <w:rPr>
                <w:rFonts w:asciiTheme="minorEastAsia" w:hAnsiTheme="minorEastAsia" w:eastAsiaTheme="minorEastAsia" w:cstheme="minorEastAsia"/>
                <w:sz w:val="22"/>
                <w:szCs w:val="22"/>
              </w:rPr>
            </w:pPr>
          </w:p>
        </w:tc>
      </w:tr>
      <w:tr>
        <w:tblPrEx>
          <w:tblCellMar>
            <w:top w:w="0" w:type="dxa"/>
            <w:left w:w="108" w:type="dxa"/>
            <w:bottom w:w="0" w:type="dxa"/>
            <w:right w:w="108" w:type="dxa"/>
          </w:tblCellMar>
        </w:tblPrEx>
        <w:tc>
          <w:tcPr>
            <w:tcW w:w="2064" w:type="dxa"/>
          </w:tcPr>
          <w:p>
            <w:pPr>
              <w:pStyle w:val="46"/>
              <w:spacing w:line="48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联系人：</w:t>
            </w:r>
          </w:p>
        </w:tc>
        <w:tc>
          <w:tcPr>
            <w:tcW w:w="4080" w:type="dxa"/>
            <w:tcBorders>
              <w:top w:val="single" w:color="auto" w:sz="4" w:space="0"/>
              <w:bottom w:val="single" w:color="auto" w:sz="4" w:space="0"/>
            </w:tcBorders>
          </w:tcPr>
          <w:p>
            <w:pPr>
              <w:pStyle w:val="46"/>
              <w:spacing w:line="480" w:lineRule="exact"/>
              <w:ind w:firstLine="440" w:firstLineChars="200"/>
              <w:rPr>
                <w:rFonts w:asciiTheme="minorEastAsia" w:hAnsiTheme="minorEastAsia" w:eastAsiaTheme="minorEastAsia" w:cstheme="minorEastAsia"/>
                <w:sz w:val="22"/>
                <w:szCs w:val="22"/>
              </w:rPr>
            </w:pPr>
          </w:p>
        </w:tc>
        <w:tc>
          <w:tcPr>
            <w:tcW w:w="1327" w:type="dxa"/>
          </w:tcPr>
          <w:p>
            <w:pPr>
              <w:pStyle w:val="46"/>
              <w:spacing w:line="48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联系电话：</w:t>
            </w:r>
          </w:p>
        </w:tc>
        <w:tc>
          <w:tcPr>
            <w:tcW w:w="2491" w:type="dxa"/>
            <w:tcBorders>
              <w:top w:val="single" w:color="auto" w:sz="4" w:space="0"/>
              <w:bottom w:val="single" w:color="auto" w:sz="4" w:space="0"/>
            </w:tcBorders>
          </w:tcPr>
          <w:p>
            <w:pPr>
              <w:pStyle w:val="46"/>
              <w:spacing w:line="480" w:lineRule="exact"/>
              <w:ind w:firstLine="440" w:firstLineChars="200"/>
              <w:rPr>
                <w:rFonts w:asciiTheme="minorEastAsia" w:hAnsiTheme="minorEastAsia" w:eastAsiaTheme="minorEastAsia" w:cstheme="minorEastAsia"/>
                <w:sz w:val="22"/>
                <w:szCs w:val="22"/>
              </w:rPr>
            </w:pPr>
          </w:p>
        </w:tc>
      </w:tr>
    </w:tbl>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一方变更本合同中约定的收货人、售后服务联系人、送达地址、联系方式或联系人而未书面通知对方的，视为原约定仍有效。</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10.3 本合同未经双方协商一致，不得变更。</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10.4 如有未尽事宜，由双方依法订立书面补充合同。</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10.5本合同一式六份，供方一份，需方五份（采招中心一份，设备处两份，用户单位两份），自双方签字盖章之日起生效，每份具有同等法律效力。 </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-----------------------------以下无正文--------------------------------</w:t>
      </w:r>
    </w:p>
    <w:tbl>
      <w:tblPr>
        <w:tblStyle w:val="24"/>
        <w:tblpPr w:leftFromText="180" w:rightFromText="180" w:vertAnchor="text" w:horzAnchor="page" w:tblpX="1117" w:tblpY="444"/>
        <w:tblOverlap w:val="never"/>
        <w:tblW w:w="0" w:type="auto"/>
        <w:tblInd w:w="0" w:type="dxa"/>
        <w:tblLayout w:type="fixed"/>
        <w:tblCellMar>
          <w:top w:w="0" w:type="dxa"/>
          <w:left w:w="108" w:type="dxa"/>
          <w:bottom w:w="0" w:type="dxa"/>
          <w:right w:w="108" w:type="dxa"/>
        </w:tblCellMar>
      </w:tblPr>
      <w:tblGrid>
        <w:gridCol w:w="4981"/>
        <w:gridCol w:w="4981"/>
      </w:tblGrid>
      <w:tr>
        <w:tblPrEx>
          <w:tblCellMar>
            <w:top w:w="0" w:type="dxa"/>
            <w:left w:w="108" w:type="dxa"/>
            <w:bottom w:w="0" w:type="dxa"/>
            <w:right w:w="108" w:type="dxa"/>
          </w:tblCellMar>
        </w:tblPrEx>
        <w:trPr>
          <w:cantSplit/>
        </w:trPr>
        <w:tc>
          <w:tcPr>
            <w:tcW w:w="4981" w:type="dxa"/>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供方（盖章）：</w:t>
            </w:r>
          </w:p>
        </w:tc>
        <w:tc>
          <w:tcPr>
            <w:tcW w:w="4981" w:type="dxa"/>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需方（合同章）：西南大学</w:t>
            </w:r>
          </w:p>
        </w:tc>
      </w:tr>
      <w:tr>
        <w:tblPrEx>
          <w:tblCellMar>
            <w:top w:w="0" w:type="dxa"/>
            <w:left w:w="108" w:type="dxa"/>
            <w:bottom w:w="0" w:type="dxa"/>
            <w:right w:w="108" w:type="dxa"/>
          </w:tblCellMar>
        </w:tblPrEx>
        <w:trPr>
          <w:cantSplit/>
        </w:trPr>
        <w:tc>
          <w:tcPr>
            <w:tcW w:w="4981" w:type="dxa"/>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法定代表人：</w:t>
            </w:r>
          </w:p>
        </w:tc>
        <w:tc>
          <w:tcPr>
            <w:tcW w:w="4981" w:type="dxa"/>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法定代表人：张卫国</w:t>
            </w:r>
          </w:p>
        </w:tc>
      </w:tr>
      <w:tr>
        <w:tblPrEx>
          <w:tblCellMar>
            <w:top w:w="0" w:type="dxa"/>
            <w:left w:w="108" w:type="dxa"/>
            <w:bottom w:w="0" w:type="dxa"/>
            <w:right w:w="108" w:type="dxa"/>
          </w:tblCellMar>
        </w:tblPrEx>
        <w:trPr>
          <w:cantSplit/>
        </w:trPr>
        <w:tc>
          <w:tcPr>
            <w:tcW w:w="4981" w:type="dxa"/>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地址：</w:t>
            </w:r>
          </w:p>
        </w:tc>
        <w:tc>
          <w:tcPr>
            <w:tcW w:w="4981" w:type="dxa"/>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地址：重庆市北碚区天生路2号</w:t>
            </w:r>
          </w:p>
        </w:tc>
      </w:tr>
      <w:tr>
        <w:tblPrEx>
          <w:tblCellMar>
            <w:top w:w="0" w:type="dxa"/>
            <w:left w:w="108" w:type="dxa"/>
            <w:bottom w:w="0" w:type="dxa"/>
            <w:right w:w="108" w:type="dxa"/>
          </w:tblCellMar>
        </w:tblPrEx>
        <w:trPr>
          <w:cantSplit/>
        </w:trPr>
        <w:tc>
          <w:tcPr>
            <w:tcW w:w="4981" w:type="dxa"/>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电话：</w:t>
            </w:r>
          </w:p>
        </w:tc>
        <w:tc>
          <w:tcPr>
            <w:tcW w:w="4981" w:type="dxa"/>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邮编:400715</w:t>
            </w:r>
          </w:p>
        </w:tc>
      </w:tr>
      <w:tr>
        <w:tblPrEx>
          <w:tblCellMar>
            <w:top w:w="0" w:type="dxa"/>
            <w:left w:w="108" w:type="dxa"/>
            <w:bottom w:w="0" w:type="dxa"/>
            <w:right w:w="108" w:type="dxa"/>
          </w:tblCellMar>
        </w:tblPrEx>
        <w:trPr>
          <w:cantSplit/>
        </w:trPr>
        <w:tc>
          <w:tcPr>
            <w:tcW w:w="4981" w:type="dxa"/>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授权代表人（签字）：</w:t>
            </w:r>
          </w:p>
        </w:tc>
        <w:tc>
          <w:tcPr>
            <w:tcW w:w="4981" w:type="dxa"/>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授权代表人（签字）：(二级单位主要负责人)</w:t>
            </w:r>
          </w:p>
        </w:tc>
      </w:tr>
      <w:tr>
        <w:tblPrEx>
          <w:tblCellMar>
            <w:top w:w="0" w:type="dxa"/>
            <w:left w:w="108" w:type="dxa"/>
            <w:bottom w:w="0" w:type="dxa"/>
            <w:right w:w="108" w:type="dxa"/>
          </w:tblCellMar>
        </w:tblPrEx>
        <w:trPr>
          <w:cantSplit/>
        </w:trPr>
        <w:tc>
          <w:tcPr>
            <w:tcW w:w="4981" w:type="dxa"/>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签约日期：      年     月     日</w:t>
            </w:r>
          </w:p>
        </w:tc>
        <w:tc>
          <w:tcPr>
            <w:tcW w:w="4981" w:type="dxa"/>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签约日期：      年     月     日</w:t>
            </w:r>
          </w:p>
        </w:tc>
      </w:tr>
    </w:tbl>
    <w:p>
      <w:pPr>
        <w:pStyle w:val="46"/>
        <w:spacing w:line="480" w:lineRule="exact"/>
        <w:ind w:firstLine="440" w:firstLineChars="200"/>
        <w:rPr>
          <w:rFonts w:asciiTheme="minorEastAsia" w:hAnsiTheme="minorEastAsia" w:eastAsiaTheme="minorEastAsia" w:cstheme="minorEastAsia"/>
          <w:sz w:val="22"/>
          <w:szCs w:val="22"/>
        </w:rPr>
        <w:sectPr>
          <w:pgSz w:w="11906" w:h="16838"/>
          <w:pgMar w:top="1134" w:right="1134" w:bottom="1134" w:left="1134" w:header="851" w:footer="851" w:gutter="0"/>
          <w:cols w:space="720" w:num="1"/>
          <w:docGrid w:linePitch="326" w:charSpace="0"/>
        </w:sectPr>
      </w:pPr>
    </w:p>
    <w:p>
      <w:pPr>
        <w:pStyle w:val="10"/>
        <w:spacing w:line="400" w:lineRule="exact"/>
        <w:ind w:firstLine="640" w:firstLineChars="200"/>
        <w:jc w:val="center"/>
        <w:rPr>
          <w:rFonts w:asciiTheme="minorEastAsia" w:hAnsiTheme="minorEastAsia" w:eastAsiaTheme="minorEastAsia" w:cstheme="minorEastAsia"/>
          <w:b/>
          <w:kern w:val="44"/>
          <w:sz w:val="44"/>
          <w:szCs w:val="28"/>
        </w:rPr>
      </w:pPr>
      <w:r>
        <w:rPr>
          <w:rFonts w:hint="eastAsia" w:asciiTheme="minorEastAsia" w:hAnsiTheme="minorEastAsia" w:eastAsiaTheme="minorEastAsia" w:cstheme="minorEastAsia"/>
          <w:sz w:val="32"/>
          <w:szCs w:val="32"/>
        </w:rPr>
        <w:t>二、</w:t>
      </w:r>
      <w:bookmarkEnd w:id="134"/>
      <w:r>
        <w:rPr>
          <w:rFonts w:hint="eastAsia" w:asciiTheme="minorEastAsia" w:hAnsiTheme="minorEastAsia" w:eastAsiaTheme="minorEastAsia" w:cstheme="minorEastAsia"/>
          <w:b/>
          <w:kern w:val="44"/>
          <w:sz w:val="32"/>
          <w:szCs w:val="32"/>
        </w:rPr>
        <w:t>进口仪器设备采购合同</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4191"/>
        <w:gridCol w:w="1929"/>
        <w:gridCol w:w="975"/>
        <w:gridCol w:w="19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nil"/>
              <w:left w:val="nil"/>
              <w:bottom w:val="nil"/>
              <w:right w:val="nil"/>
            </w:tcBorders>
          </w:tcPr>
          <w:p>
            <w:pPr>
              <w:spacing w:line="288"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供方：</w:t>
            </w:r>
          </w:p>
        </w:tc>
        <w:tc>
          <w:tcPr>
            <w:tcW w:w="4191" w:type="dxa"/>
            <w:tcBorders>
              <w:top w:val="nil"/>
              <w:left w:val="nil"/>
              <w:right w:val="nil"/>
            </w:tcBorders>
          </w:tcPr>
          <w:p>
            <w:pPr>
              <w:spacing w:line="288" w:lineRule="auto"/>
              <w:rPr>
                <w:rFonts w:asciiTheme="minorEastAsia" w:hAnsiTheme="minorEastAsia" w:eastAsiaTheme="minorEastAsia" w:cstheme="minorEastAsia"/>
                <w:b/>
                <w:bCs/>
                <w:sz w:val="21"/>
                <w:szCs w:val="21"/>
              </w:rPr>
            </w:pPr>
          </w:p>
        </w:tc>
        <w:tc>
          <w:tcPr>
            <w:tcW w:w="2904" w:type="dxa"/>
            <w:gridSpan w:val="2"/>
            <w:tcBorders>
              <w:top w:val="nil"/>
              <w:left w:val="nil"/>
              <w:bottom w:val="nil"/>
              <w:right w:val="nil"/>
            </w:tcBorders>
          </w:tcPr>
          <w:p>
            <w:pPr>
              <w:wordWrap w:val="0"/>
              <w:spacing w:line="288" w:lineRule="auto"/>
              <w:jc w:val="righ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合同编号</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b/>
                <w:bCs/>
                <w:sz w:val="21"/>
                <w:szCs w:val="21"/>
              </w:rPr>
              <w:t>[2023]CS</w:t>
            </w:r>
          </w:p>
        </w:tc>
        <w:tc>
          <w:tcPr>
            <w:tcW w:w="1914" w:type="dxa"/>
            <w:tcBorders>
              <w:top w:val="nil"/>
              <w:left w:val="nil"/>
              <w:right w:val="nil"/>
            </w:tcBorders>
          </w:tcPr>
          <w:p>
            <w:pPr>
              <w:wordWrap w:val="0"/>
              <w:spacing w:line="288" w:lineRule="auto"/>
              <w:rPr>
                <w:rFonts w:asciiTheme="minorEastAsia" w:hAnsiTheme="minorEastAsia" w:eastAsiaTheme="minorEastAsia" w:cstheme="minorEastAsia"/>
                <w:b/>
                <w:bCs/>
                <w:vanish/>
                <w:sz w:val="21"/>
                <w:szCs w:val="21"/>
              </w:rPr>
            </w:pPr>
            <w:r>
              <w:rPr>
                <w:rFonts w:hint="eastAsia" w:asciiTheme="minorEastAsia" w:hAnsiTheme="minorEastAsia" w:eastAsiaTheme="minorEastAsia" w:cstheme="minorEastAsia"/>
                <w:b/>
                <w:bCs/>
                <w:vanish/>
                <w:sz w:val="21"/>
                <w:szCs w:val="21"/>
              </w:rPr>
              <w:t>设备处填写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nil"/>
              <w:left w:val="nil"/>
              <w:bottom w:val="nil"/>
              <w:right w:val="nil"/>
            </w:tcBorders>
          </w:tcPr>
          <w:p>
            <w:pPr>
              <w:wordWrap w:val="0"/>
              <w:spacing w:line="288"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需方：</w:t>
            </w:r>
          </w:p>
        </w:tc>
        <w:tc>
          <w:tcPr>
            <w:tcW w:w="4191" w:type="dxa"/>
            <w:tcBorders>
              <w:left w:val="nil"/>
              <w:right w:val="nil"/>
            </w:tcBorders>
          </w:tcPr>
          <w:p>
            <w:pPr>
              <w:wordWrap w:val="0"/>
              <w:spacing w:line="288"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西南大学</w:t>
            </w:r>
          </w:p>
        </w:tc>
        <w:tc>
          <w:tcPr>
            <w:tcW w:w="1929" w:type="dxa"/>
            <w:tcBorders>
              <w:top w:val="nil"/>
              <w:left w:val="nil"/>
              <w:bottom w:val="nil"/>
              <w:right w:val="nil"/>
            </w:tcBorders>
          </w:tcPr>
          <w:p>
            <w:pPr>
              <w:wordWrap w:val="0"/>
              <w:spacing w:line="288" w:lineRule="auto"/>
              <w:jc w:val="right"/>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需方用户单位：</w:t>
            </w:r>
          </w:p>
        </w:tc>
        <w:tc>
          <w:tcPr>
            <w:tcW w:w="2889" w:type="dxa"/>
            <w:gridSpan w:val="2"/>
            <w:tcBorders>
              <w:left w:val="nil"/>
              <w:right w:val="nil"/>
            </w:tcBorders>
          </w:tcPr>
          <w:p>
            <w:pPr>
              <w:wordWrap w:val="0"/>
              <w:spacing w:line="288" w:lineRule="auto"/>
              <w:rPr>
                <w:rFonts w:asciiTheme="minorEastAsia" w:hAnsiTheme="minorEastAsia" w:eastAsiaTheme="minorEastAsia" w:cstheme="minorEastAsia"/>
                <w:sz w:val="21"/>
                <w:szCs w:val="21"/>
              </w:rPr>
            </w:pPr>
          </w:p>
        </w:tc>
      </w:tr>
    </w:tbl>
    <w:p>
      <w:pPr>
        <w:spacing w:line="288" w:lineRule="auto"/>
        <w:rPr>
          <w:rFonts w:asciiTheme="minorEastAsia" w:hAnsiTheme="minorEastAsia" w:eastAsiaTheme="minorEastAsia" w:cstheme="minorEastAsia"/>
        </w:rPr>
      </w:pPr>
      <w:r>
        <w:rPr>
          <w:rFonts w:hint="eastAsia" w:asciiTheme="minorEastAsia" w:hAnsiTheme="minorEastAsia" w:eastAsiaTheme="minorEastAsia" w:cstheme="minorEastAsia"/>
          <w:b/>
          <w:bCs/>
        </w:rPr>
        <w:t xml:space="preserve">                                 </w:t>
      </w:r>
    </w:p>
    <w:p>
      <w:pPr>
        <w:spacing w:line="288"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需方就所需进口仪器设备（包括相关配套软件、硬件、集成系统在内，以下统称货物）按照采购程序进行采购（采购项目编号：</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，分包：</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，项目名称：</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）后，确定供方为中标（成交）供应商。依据《中华人民共和国政府采购法》、《中华人民共和国民法典》等有关法律、法规，遵循平等、自愿、公平和诚实信用原则，供、需双方协商一致，签订本合同。</w:t>
      </w:r>
    </w:p>
    <w:p>
      <w:pPr>
        <w:spacing w:line="288"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一、商务条款</w:t>
      </w:r>
    </w:p>
    <w:p>
      <w:pPr>
        <w:spacing w:line="288" w:lineRule="auto"/>
        <w:ind w:firstLine="491"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1.1 货物清单</w:t>
      </w:r>
    </w:p>
    <w:tbl>
      <w:tblPr>
        <w:tblStyle w:val="24"/>
        <w:tblW w:w="9834" w:type="dxa"/>
        <w:tblCellSpacing w:w="0" w:type="dxa"/>
        <w:tblInd w:w="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138"/>
        <w:gridCol w:w="913"/>
        <w:gridCol w:w="550"/>
        <w:gridCol w:w="782"/>
        <w:gridCol w:w="782"/>
        <w:gridCol w:w="782"/>
        <w:gridCol w:w="683"/>
        <w:gridCol w:w="1031"/>
        <w:gridCol w:w="1117"/>
        <w:gridCol w:w="20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412" w:hRule="atLeast"/>
          <w:tblCellSpacing w:w="0" w:type="dxa"/>
        </w:trPr>
        <w:tc>
          <w:tcPr>
            <w:tcW w:w="1138" w:type="dxa"/>
            <w:vAlign w:val="center"/>
          </w:tcPr>
          <w:p>
            <w:pPr>
              <w:widowControl/>
              <w:spacing w:line="4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913" w:type="dxa"/>
            <w:vAlign w:val="center"/>
          </w:tcPr>
          <w:p>
            <w:pPr>
              <w:widowControl/>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申购号</w:t>
            </w:r>
          </w:p>
        </w:tc>
        <w:tc>
          <w:tcPr>
            <w:tcW w:w="3579" w:type="dxa"/>
            <w:gridSpan w:val="5"/>
            <w:vAlign w:val="center"/>
          </w:tcPr>
          <w:p>
            <w:pPr>
              <w:widowControl/>
              <w:spacing w:line="440" w:lineRule="exact"/>
              <w:rPr>
                <w:rFonts w:asciiTheme="minorEastAsia" w:hAnsiTheme="minorEastAsia" w:eastAsiaTheme="minorEastAsia" w:cstheme="minorEastAsia"/>
                <w:sz w:val="21"/>
                <w:szCs w:val="21"/>
              </w:rPr>
            </w:pPr>
          </w:p>
        </w:tc>
        <w:tc>
          <w:tcPr>
            <w:tcW w:w="1031" w:type="dxa"/>
            <w:vAlign w:val="center"/>
          </w:tcPr>
          <w:p>
            <w:pPr>
              <w:widowControl/>
              <w:spacing w:line="4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经费号</w:t>
            </w:r>
          </w:p>
        </w:tc>
        <w:tc>
          <w:tcPr>
            <w:tcW w:w="3173" w:type="dxa"/>
            <w:gridSpan w:val="2"/>
            <w:vAlign w:val="center"/>
          </w:tcPr>
          <w:p>
            <w:pPr>
              <w:spacing w:line="44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136" w:hRule="atLeast"/>
          <w:tblCellSpacing w:w="0" w:type="dxa"/>
        </w:trPr>
        <w:tc>
          <w:tcPr>
            <w:tcW w:w="1138" w:type="dxa"/>
            <w:vAlign w:val="center"/>
          </w:tcPr>
          <w:p>
            <w:pPr>
              <w:widowControl/>
              <w:spacing w:line="4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中文名称</w:t>
            </w:r>
          </w:p>
        </w:tc>
        <w:tc>
          <w:tcPr>
            <w:tcW w:w="5523" w:type="dxa"/>
            <w:gridSpan w:val="7"/>
            <w:vAlign w:val="center"/>
          </w:tcPr>
          <w:p>
            <w:pPr>
              <w:widowControl/>
              <w:spacing w:line="440" w:lineRule="exact"/>
              <w:rPr>
                <w:rFonts w:asciiTheme="minorEastAsia" w:hAnsiTheme="minorEastAsia" w:eastAsiaTheme="minorEastAsia" w:cstheme="minorEastAsia"/>
                <w:sz w:val="21"/>
                <w:szCs w:val="21"/>
              </w:rPr>
            </w:pPr>
          </w:p>
        </w:tc>
        <w:tc>
          <w:tcPr>
            <w:tcW w:w="1117" w:type="dxa"/>
            <w:vMerge w:val="restart"/>
            <w:vAlign w:val="center"/>
          </w:tcPr>
          <w:p>
            <w:pPr>
              <w:widowControl/>
              <w:spacing w:line="4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制造厂家</w:t>
            </w:r>
          </w:p>
        </w:tc>
        <w:tc>
          <w:tcPr>
            <w:tcW w:w="2056" w:type="dxa"/>
            <w:vMerge w:val="restart"/>
            <w:vAlign w:val="center"/>
          </w:tcPr>
          <w:p>
            <w:pPr>
              <w:spacing w:line="44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90" w:hRule="atLeast"/>
          <w:tblCellSpacing w:w="0" w:type="dxa"/>
        </w:trPr>
        <w:tc>
          <w:tcPr>
            <w:tcW w:w="1138" w:type="dxa"/>
            <w:vAlign w:val="center"/>
          </w:tcPr>
          <w:p>
            <w:pPr>
              <w:widowControl/>
              <w:spacing w:line="4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英文名称</w:t>
            </w:r>
          </w:p>
        </w:tc>
        <w:tc>
          <w:tcPr>
            <w:tcW w:w="5523" w:type="dxa"/>
            <w:gridSpan w:val="7"/>
            <w:vAlign w:val="center"/>
          </w:tcPr>
          <w:p>
            <w:pPr>
              <w:widowControl/>
              <w:spacing w:line="440" w:lineRule="exact"/>
              <w:rPr>
                <w:rFonts w:asciiTheme="minorEastAsia" w:hAnsiTheme="minorEastAsia" w:eastAsiaTheme="minorEastAsia" w:cstheme="minorEastAsia"/>
                <w:sz w:val="21"/>
                <w:szCs w:val="21"/>
              </w:rPr>
            </w:pPr>
          </w:p>
        </w:tc>
        <w:tc>
          <w:tcPr>
            <w:tcW w:w="1117" w:type="dxa"/>
            <w:vMerge w:val="continue"/>
            <w:vAlign w:val="center"/>
          </w:tcPr>
          <w:p>
            <w:pPr>
              <w:widowControl/>
              <w:spacing w:line="440" w:lineRule="exact"/>
              <w:jc w:val="center"/>
              <w:rPr>
                <w:rFonts w:asciiTheme="minorEastAsia" w:hAnsiTheme="minorEastAsia" w:eastAsiaTheme="minorEastAsia" w:cstheme="minorEastAsia"/>
                <w:sz w:val="21"/>
                <w:szCs w:val="21"/>
              </w:rPr>
            </w:pPr>
          </w:p>
        </w:tc>
        <w:tc>
          <w:tcPr>
            <w:tcW w:w="2056" w:type="dxa"/>
            <w:vMerge w:val="continue"/>
            <w:vAlign w:val="center"/>
          </w:tcPr>
          <w:p>
            <w:pPr>
              <w:spacing w:line="44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blCellSpacing w:w="0" w:type="dxa"/>
        </w:trPr>
        <w:tc>
          <w:tcPr>
            <w:tcW w:w="1138" w:type="dxa"/>
            <w:vAlign w:val="center"/>
          </w:tcPr>
          <w:p>
            <w:pPr>
              <w:widowControl/>
              <w:spacing w:line="4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品牌</w:t>
            </w:r>
          </w:p>
        </w:tc>
        <w:tc>
          <w:tcPr>
            <w:tcW w:w="2245" w:type="dxa"/>
            <w:gridSpan w:val="3"/>
            <w:vAlign w:val="center"/>
          </w:tcPr>
          <w:p>
            <w:pPr>
              <w:widowControl/>
              <w:spacing w:line="440" w:lineRule="exact"/>
              <w:rPr>
                <w:rFonts w:asciiTheme="minorEastAsia" w:hAnsiTheme="minorEastAsia" w:eastAsiaTheme="minorEastAsia" w:cstheme="minorEastAsia"/>
                <w:sz w:val="21"/>
                <w:szCs w:val="21"/>
              </w:rPr>
            </w:pPr>
          </w:p>
        </w:tc>
        <w:tc>
          <w:tcPr>
            <w:tcW w:w="782" w:type="dxa"/>
            <w:vAlign w:val="center"/>
          </w:tcPr>
          <w:p>
            <w:pPr>
              <w:widowControl/>
              <w:spacing w:line="4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型号</w:t>
            </w:r>
          </w:p>
        </w:tc>
        <w:tc>
          <w:tcPr>
            <w:tcW w:w="2496" w:type="dxa"/>
            <w:gridSpan w:val="3"/>
            <w:vAlign w:val="center"/>
          </w:tcPr>
          <w:p>
            <w:pPr>
              <w:widowControl/>
              <w:spacing w:line="440" w:lineRule="exact"/>
              <w:rPr>
                <w:rFonts w:asciiTheme="minorEastAsia" w:hAnsiTheme="minorEastAsia" w:eastAsiaTheme="minorEastAsia" w:cstheme="minorEastAsia"/>
                <w:sz w:val="21"/>
                <w:szCs w:val="21"/>
              </w:rPr>
            </w:pPr>
          </w:p>
        </w:tc>
        <w:tc>
          <w:tcPr>
            <w:tcW w:w="1117" w:type="dxa"/>
            <w:vAlign w:val="center"/>
          </w:tcPr>
          <w:p>
            <w:pPr>
              <w:widowControl/>
              <w:spacing w:line="4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生产国别</w:t>
            </w:r>
          </w:p>
        </w:tc>
        <w:tc>
          <w:tcPr>
            <w:tcW w:w="2056" w:type="dxa"/>
            <w:vAlign w:val="center"/>
          </w:tcPr>
          <w:p>
            <w:pPr>
              <w:spacing w:line="44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blCellSpacing w:w="0" w:type="dxa"/>
        </w:trPr>
        <w:tc>
          <w:tcPr>
            <w:tcW w:w="1138" w:type="dxa"/>
            <w:vAlign w:val="center"/>
          </w:tcPr>
          <w:p>
            <w:pPr>
              <w:widowControl/>
              <w:spacing w:line="4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单位</w:t>
            </w:r>
          </w:p>
        </w:tc>
        <w:tc>
          <w:tcPr>
            <w:tcW w:w="1463" w:type="dxa"/>
            <w:gridSpan w:val="2"/>
            <w:vAlign w:val="center"/>
          </w:tcPr>
          <w:p>
            <w:pPr>
              <w:widowControl/>
              <w:spacing w:line="440" w:lineRule="exact"/>
              <w:jc w:val="center"/>
              <w:rPr>
                <w:rFonts w:asciiTheme="minorEastAsia" w:hAnsiTheme="minorEastAsia" w:eastAsiaTheme="minorEastAsia" w:cstheme="minorEastAsia"/>
                <w:sz w:val="21"/>
                <w:szCs w:val="21"/>
              </w:rPr>
            </w:pPr>
          </w:p>
        </w:tc>
        <w:tc>
          <w:tcPr>
            <w:tcW w:w="782" w:type="dxa"/>
            <w:vAlign w:val="center"/>
          </w:tcPr>
          <w:p>
            <w:pPr>
              <w:widowControl/>
              <w:spacing w:line="4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数量</w:t>
            </w:r>
          </w:p>
        </w:tc>
        <w:tc>
          <w:tcPr>
            <w:tcW w:w="782" w:type="dxa"/>
            <w:vAlign w:val="center"/>
          </w:tcPr>
          <w:p>
            <w:pPr>
              <w:widowControl/>
              <w:spacing w:line="440" w:lineRule="exact"/>
              <w:jc w:val="center"/>
              <w:rPr>
                <w:rFonts w:asciiTheme="minorEastAsia" w:hAnsiTheme="minorEastAsia" w:eastAsiaTheme="minorEastAsia" w:cstheme="minorEastAsia"/>
                <w:sz w:val="21"/>
                <w:szCs w:val="21"/>
              </w:rPr>
            </w:pPr>
          </w:p>
        </w:tc>
        <w:tc>
          <w:tcPr>
            <w:tcW w:w="782" w:type="dxa"/>
            <w:vAlign w:val="center"/>
          </w:tcPr>
          <w:p>
            <w:pPr>
              <w:widowControl/>
              <w:spacing w:line="4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单价</w:t>
            </w:r>
          </w:p>
        </w:tc>
        <w:tc>
          <w:tcPr>
            <w:tcW w:w="1714" w:type="dxa"/>
            <w:gridSpan w:val="2"/>
            <w:vAlign w:val="center"/>
          </w:tcPr>
          <w:p>
            <w:pPr>
              <w:widowControl/>
              <w:spacing w:line="440" w:lineRule="exact"/>
              <w:rPr>
                <w:rFonts w:asciiTheme="minorEastAsia" w:hAnsiTheme="minorEastAsia" w:eastAsiaTheme="minorEastAsia" w:cstheme="minorEastAsia"/>
                <w:sz w:val="21"/>
                <w:szCs w:val="21"/>
              </w:rPr>
            </w:pPr>
          </w:p>
        </w:tc>
        <w:tc>
          <w:tcPr>
            <w:tcW w:w="1117" w:type="dxa"/>
            <w:vAlign w:val="center"/>
          </w:tcPr>
          <w:p>
            <w:pPr>
              <w:widowControl/>
              <w:spacing w:line="4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小计</w:t>
            </w:r>
          </w:p>
        </w:tc>
        <w:tc>
          <w:tcPr>
            <w:tcW w:w="2056" w:type="dxa"/>
            <w:vAlign w:val="center"/>
          </w:tcPr>
          <w:p>
            <w:pPr>
              <w:widowControl/>
              <w:spacing w:line="44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blCellSpacing w:w="0" w:type="dxa"/>
        </w:trPr>
        <w:tc>
          <w:tcPr>
            <w:tcW w:w="9834" w:type="dxa"/>
            <w:gridSpan w:val="10"/>
            <w:vAlign w:val="center"/>
          </w:tcPr>
          <w:p>
            <w:pPr>
              <w:widowControl/>
              <w:spacing w:line="288"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规格技术参数：</w:t>
            </w:r>
          </w:p>
          <w:p>
            <w:pPr>
              <w:widowControl/>
              <w:spacing w:line="288"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配置清单：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blCellSpacing w:w="0" w:type="dxa"/>
        </w:trPr>
        <w:tc>
          <w:tcPr>
            <w:tcW w:w="9834" w:type="dxa"/>
            <w:gridSpan w:val="10"/>
            <w:vAlign w:val="center"/>
          </w:tcPr>
          <w:p>
            <w:pPr>
              <w:widowControl/>
              <w:spacing w:line="288" w:lineRule="auto"/>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合同总价</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vanish/>
                <w:sz w:val="21"/>
                <w:szCs w:val="21"/>
                <w:u w:val="single"/>
              </w:rPr>
              <w:t>此处填写</w:t>
            </w:r>
            <w:r>
              <w:rPr>
                <w:rFonts w:hint="eastAsia" w:asciiTheme="minorEastAsia" w:hAnsiTheme="minorEastAsia" w:eastAsiaTheme="minorEastAsia" w:cstheme="minorEastAsia"/>
                <w:vanish/>
                <w:sz w:val="21"/>
                <w:szCs w:val="21"/>
              </w:rPr>
              <w:t>币种</w:t>
            </w:r>
            <w:r>
              <w:rPr>
                <w:rFonts w:hint="eastAsia" w:asciiTheme="minorEastAsia" w:hAnsiTheme="minorEastAsia" w:eastAsiaTheme="minorEastAsia" w:cstheme="minorEastAsia"/>
                <w:sz w:val="21"/>
                <w:szCs w:val="21"/>
              </w:rPr>
              <w:t>(大写):</w:t>
            </w:r>
            <w:r>
              <w:rPr>
                <w:rFonts w:hint="eastAsia" w:asciiTheme="minorEastAsia" w:hAnsiTheme="minorEastAsia" w:eastAsiaTheme="minorEastAsia" w:cstheme="minorEastAsia"/>
                <w:b/>
                <w:bCs/>
                <w:sz w:val="21"/>
                <w:szCs w:val="21"/>
                <w:u w:val="single"/>
              </w:rPr>
              <w:t xml:space="preserve">           </w:t>
            </w:r>
            <w:r>
              <w:rPr>
                <w:rFonts w:hint="eastAsia" w:asciiTheme="minorEastAsia" w:hAnsiTheme="minorEastAsia" w:eastAsiaTheme="minorEastAsia" w:cstheme="minorEastAsia"/>
                <w:sz w:val="21"/>
                <w:szCs w:val="21"/>
              </w:rPr>
              <w:t xml:space="preserve">   (小写:</w:t>
            </w:r>
            <w:r>
              <w:rPr>
                <w:rFonts w:hint="eastAsia" w:asciiTheme="minorEastAsia" w:hAnsiTheme="minorEastAsia" w:eastAsiaTheme="minorEastAsia" w:cstheme="minorEastAsia"/>
                <w:vanish/>
                <w:sz w:val="21"/>
                <w:szCs w:val="21"/>
              </w:rPr>
              <w:t>币种符号+数字</w:t>
            </w:r>
            <w:r>
              <w:rPr>
                <w:rFonts w:hint="eastAsia" w:asciiTheme="minorEastAsia" w:hAnsiTheme="minorEastAsia" w:eastAsiaTheme="minorEastAsia" w:cstheme="minorEastAsia"/>
                <w:b/>
                <w:bCs/>
                <w:sz w:val="21"/>
                <w:szCs w:val="21"/>
                <w:u w:val="single"/>
              </w:rPr>
              <w:t xml:space="preserve">          </w:t>
            </w:r>
            <w:r>
              <w:rPr>
                <w:rFonts w:hint="eastAsia" w:asciiTheme="minorEastAsia" w:hAnsiTheme="minorEastAsia" w:eastAsiaTheme="minorEastAsia" w:cstheme="minorEastAsia"/>
                <w:sz w:val="21"/>
                <w:szCs w:val="21"/>
              </w:rPr>
              <w:t>)</w:t>
            </w:r>
          </w:p>
          <w:p>
            <w:pPr>
              <w:widowControl/>
              <w:spacing w:line="288"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除1.2价格条件约定外，合同总价已包含但不限于货物、包装、运输、装卸、安装、调试、培训、验收（试剂耗材消耗）、免费保修期内的售后服务、强制性第三方监督检验机构的验收检验及技术资料等费用。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blCellSpacing w:w="0" w:type="dxa"/>
        </w:trPr>
        <w:tc>
          <w:tcPr>
            <w:tcW w:w="9834" w:type="dxa"/>
            <w:gridSpan w:val="10"/>
            <w:vAlign w:val="center"/>
          </w:tcPr>
          <w:p>
            <w:pPr>
              <w:spacing w:line="288" w:lineRule="auto"/>
              <w:rPr>
                <w:rFonts w:asciiTheme="minorEastAsia" w:hAnsiTheme="minorEastAsia" w:eastAsiaTheme="minorEastAsia" w:cstheme="minorEastAsia"/>
                <w:vanish/>
                <w:sz w:val="21"/>
                <w:szCs w:val="21"/>
              </w:rPr>
            </w:pPr>
            <w:r>
              <w:rPr>
                <w:rFonts w:hint="eastAsia" w:asciiTheme="minorEastAsia" w:hAnsiTheme="minorEastAsia" w:eastAsiaTheme="minorEastAsia" w:cstheme="minorEastAsia"/>
                <w:sz w:val="21"/>
                <w:szCs w:val="21"/>
              </w:rPr>
              <w:t>备注:采购内容与本合同各项文件发生抵触的，按本合同第</w:t>
            </w:r>
            <w:r>
              <w:rPr>
                <w:rFonts w:hint="eastAsia" w:asciiTheme="minorEastAsia" w:hAnsiTheme="minorEastAsia" w:eastAsiaTheme="minorEastAsia" w:cstheme="minorEastAsia"/>
                <w:b/>
                <w:bCs/>
                <w:sz w:val="21"/>
                <w:szCs w:val="21"/>
              </w:rPr>
              <w:t>8.1</w:t>
            </w:r>
            <w:r>
              <w:rPr>
                <w:rFonts w:hint="eastAsia" w:asciiTheme="minorEastAsia" w:hAnsiTheme="minorEastAsia" w:eastAsiaTheme="minorEastAsia" w:cstheme="minorEastAsia"/>
                <w:sz w:val="21"/>
                <w:szCs w:val="21"/>
              </w:rPr>
              <w:t>条执行。</w:t>
            </w:r>
          </w:p>
        </w:tc>
      </w:tr>
    </w:tbl>
    <w:p>
      <w:pPr>
        <w:widowControl/>
        <w:spacing w:line="288" w:lineRule="auto"/>
        <w:ind w:firstLine="56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1.2价格条件：</w:t>
      </w:r>
      <w:r>
        <w:rPr>
          <w:rFonts w:hint="eastAsia" w:asciiTheme="minorEastAsia" w:hAnsiTheme="minorEastAsia" w:eastAsiaTheme="minorEastAsia" w:cstheme="minorEastAsia"/>
          <w:sz w:val="21"/>
          <w:szCs w:val="21"/>
          <w:u w:val="single"/>
        </w:rPr>
        <w:t>DDP、DAP、DAT、CIP等</w:t>
      </w:r>
      <w:r>
        <w:rPr>
          <w:rFonts w:hint="eastAsia" w:asciiTheme="minorEastAsia" w:hAnsiTheme="minorEastAsia" w:eastAsiaTheme="minorEastAsia" w:cstheme="minorEastAsia"/>
          <w:sz w:val="21"/>
          <w:szCs w:val="21"/>
        </w:rPr>
        <w:t>西南大学项目现场。</w:t>
      </w:r>
    </w:p>
    <w:p>
      <w:pPr>
        <w:widowControl/>
        <w:spacing w:line="288" w:lineRule="auto"/>
        <w:ind w:firstLine="567"/>
        <w:rPr>
          <w:rFonts w:asciiTheme="minorEastAsia" w:hAnsiTheme="minorEastAsia" w:eastAsiaTheme="minorEastAsia" w:cstheme="minorEastAsia"/>
          <w:vanish/>
          <w:sz w:val="21"/>
          <w:szCs w:val="21"/>
        </w:rPr>
      </w:pPr>
      <w:r>
        <w:rPr>
          <w:rFonts w:hint="eastAsia" w:asciiTheme="minorEastAsia" w:hAnsiTheme="minorEastAsia" w:eastAsiaTheme="minorEastAsia" w:cstheme="minorEastAsia"/>
          <w:vanish/>
          <w:sz w:val="21"/>
          <w:szCs w:val="21"/>
        </w:rPr>
        <w:t>（此条款根据投标或投标文件承诺内容填写。）</w:t>
      </w:r>
    </w:p>
    <w:p>
      <w:pPr>
        <w:tabs>
          <w:tab w:val="left" w:pos="8100"/>
          <w:tab w:val="left" w:pos="8280"/>
        </w:tabs>
        <w:spacing w:line="400" w:lineRule="exact"/>
        <w:ind w:firstLine="491" w:firstLineChars="233"/>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1.3 外贸代理</w:t>
      </w:r>
    </w:p>
    <w:p>
      <w:pPr>
        <w:tabs>
          <w:tab w:val="left" w:pos="8100"/>
          <w:tab w:val="left" w:pos="8280"/>
        </w:tabs>
        <w:spacing w:line="400" w:lineRule="exact"/>
        <w:ind w:firstLine="489" w:firstLineChars="233"/>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1.3.1需方委托经需方招标的</w:t>
      </w:r>
      <w:r>
        <w:rPr>
          <w:rFonts w:hint="eastAsia" w:asciiTheme="minorEastAsia" w:hAnsiTheme="minorEastAsia" w:eastAsiaTheme="minorEastAsia" w:cstheme="minorEastAsia"/>
          <w:b/>
          <w:sz w:val="21"/>
          <w:szCs w:val="21"/>
        </w:rPr>
        <w:t>外贸代理公司（以下简称外贸合同买方）</w:t>
      </w:r>
      <w:r>
        <w:rPr>
          <w:rFonts w:hint="eastAsia" w:asciiTheme="minorEastAsia" w:hAnsiTheme="minorEastAsia" w:eastAsiaTheme="minorEastAsia" w:cstheme="minorEastAsia"/>
          <w:bCs/>
          <w:sz w:val="21"/>
          <w:szCs w:val="21"/>
        </w:rPr>
        <w:t>签订外贸合同，供方委托</w:t>
      </w:r>
      <w:r>
        <w:rPr>
          <w:rFonts w:hint="eastAsia" w:asciiTheme="minorEastAsia" w:hAnsiTheme="minorEastAsia" w:eastAsiaTheme="minorEastAsia" w:cstheme="minorEastAsia"/>
          <w:b/>
          <w:sz w:val="21"/>
          <w:szCs w:val="21"/>
        </w:rPr>
        <w:t>其指定的外贸代理公司（以下简称外贸合同卖方）</w:t>
      </w:r>
      <w:r>
        <w:rPr>
          <w:rFonts w:hint="eastAsia" w:asciiTheme="minorEastAsia" w:hAnsiTheme="minorEastAsia" w:eastAsiaTheme="minorEastAsia" w:cstheme="minorEastAsia"/>
          <w:bCs/>
          <w:sz w:val="21"/>
          <w:szCs w:val="21"/>
        </w:rPr>
        <w:t>签订外贸合同。若</w:t>
      </w:r>
      <w:r>
        <w:rPr>
          <w:rFonts w:hint="eastAsia" w:asciiTheme="minorEastAsia" w:hAnsiTheme="minorEastAsia" w:eastAsiaTheme="minorEastAsia" w:cstheme="minorEastAsia"/>
          <w:b/>
          <w:sz w:val="21"/>
          <w:szCs w:val="21"/>
        </w:rPr>
        <w:t>外贸合同卖方</w:t>
      </w:r>
      <w:r>
        <w:rPr>
          <w:rFonts w:hint="eastAsia" w:asciiTheme="minorEastAsia" w:hAnsiTheme="minorEastAsia" w:eastAsiaTheme="minorEastAsia" w:cstheme="minorEastAsia"/>
          <w:bCs/>
          <w:sz w:val="21"/>
          <w:szCs w:val="21"/>
        </w:rPr>
        <w:t>在外贸合同执行中给需方及外贸合同买方造成任何经济及名誉损失，均由供方承担。</w:t>
      </w:r>
    </w:p>
    <w:p>
      <w:pPr>
        <w:tabs>
          <w:tab w:val="left" w:pos="8100"/>
          <w:tab w:val="left" w:pos="8280"/>
        </w:tabs>
        <w:spacing w:line="400" w:lineRule="exact"/>
        <w:ind w:firstLine="489" w:firstLineChars="233"/>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1.3.2需方委托</w:t>
      </w:r>
      <w:r>
        <w:rPr>
          <w:rFonts w:hint="eastAsia" w:asciiTheme="minorEastAsia" w:hAnsiTheme="minorEastAsia" w:eastAsiaTheme="minorEastAsia" w:cstheme="minorEastAsia"/>
          <w:b/>
          <w:sz w:val="21"/>
          <w:szCs w:val="21"/>
        </w:rPr>
        <w:t>外贸合同买方</w:t>
      </w:r>
      <w:r>
        <w:rPr>
          <w:rFonts w:hint="eastAsia" w:asciiTheme="minorEastAsia" w:hAnsiTheme="minorEastAsia" w:eastAsiaTheme="minorEastAsia" w:cstheme="minorEastAsia"/>
          <w:bCs/>
          <w:sz w:val="21"/>
          <w:szCs w:val="21"/>
        </w:rPr>
        <w:t>办理中国境内的货物进口批文、免税手续并代理进口业务。</w:t>
      </w:r>
    </w:p>
    <w:p>
      <w:pPr>
        <w:tabs>
          <w:tab w:val="left" w:pos="8100"/>
          <w:tab w:val="left" w:pos="8280"/>
        </w:tabs>
        <w:spacing w:line="400" w:lineRule="exact"/>
        <w:ind w:firstLine="495" w:firstLineChars="236"/>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1.3.3进口代理费由（□供方 □需方）支付。</w:t>
      </w:r>
    </w:p>
    <w:p>
      <w:pPr>
        <w:tabs>
          <w:tab w:val="left" w:pos="8100"/>
          <w:tab w:val="left" w:pos="8280"/>
        </w:tabs>
        <w:spacing w:line="400" w:lineRule="exact"/>
        <w:ind w:firstLine="495" w:firstLineChars="236"/>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供方外贸业务联系人：</w:t>
      </w:r>
      <w:r>
        <w:rPr>
          <w:rFonts w:hint="eastAsia" w:asciiTheme="minorEastAsia" w:hAnsiTheme="minorEastAsia" w:eastAsiaTheme="minorEastAsia" w:cstheme="minorEastAsia"/>
          <w:bCs/>
          <w:sz w:val="21"/>
          <w:szCs w:val="21"/>
          <w:u w:val="single"/>
        </w:rPr>
        <w:t xml:space="preserve">               </w:t>
      </w:r>
      <w:r>
        <w:rPr>
          <w:rFonts w:hint="eastAsia" w:asciiTheme="minorEastAsia" w:hAnsiTheme="minorEastAsia" w:eastAsiaTheme="minorEastAsia" w:cstheme="minorEastAsia"/>
          <w:bCs/>
          <w:sz w:val="21"/>
          <w:szCs w:val="21"/>
        </w:rPr>
        <w:t>，电话：</w:t>
      </w:r>
      <w:r>
        <w:rPr>
          <w:rFonts w:hint="eastAsia" w:asciiTheme="minorEastAsia" w:hAnsiTheme="minorEastAsia" w:eastAsiaTheme="minorEastAsia" w:cstheme="minorEastAsia"/>
          <w:bCs/>
          <w:sz w:val="21"/>
          <w:szCs w:val="21"/>
          <w:u w:val="single"/>
        </w:rPr>
        <w:t xml:space="preserve">                    </w:t>
      </w:r>
      <w:r>
        <w:rPr>
          <w:rFonts w:hint="eastAsia" w:asciiTheme="minorEastAsia" w:hAnsiTheme="minorEastAsia" w:eastAsiaTheme="minorEastAsia" w:cstheme="minorEastAsia"/>
          <w:bCs/>
          <w:sz w:val="21"/>
          <w:szCs w:val="21"/>
        </w:rPr>
        <w:t>。</w:t>
      </w:r>
    </w:p>
    <w:p>
      <w:pPr>
        <w:spacing w:before="120" w:beforeLines="50" w:line="288" w:lineRule="auto"/>
        <w:ind w:firstLine="489" w:firstLineChars="232"/>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1.4付款方式</w:t>
      </w:r>
      <w:r>
        <w:rPr>
          <w:rFonts w:hint="eastAsia" w:asciiTheme="minorEastAsia" w:hAnsiTheme="minorEastAsia" w:eastAsiaTheme="minorEastAsia" w:cstheme="minorEastAsia"/>
          <w:vanish/>
          <w:sz w:val="21"/>
          <w:szCs w:val="21"/>
        </w:rPr>
        <w:t>（此条款根据投标或投标文件承诺内容填写）</w:t>
      </w:r>
    </w:p>
    <w:p>
      <w:pPr>
        <w:spacing w:line="288" w:lineRule="auto"/>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1.4.1付款安排：需方通过外贸合同买方根据需要及时向外贸合同卖方开立100% L/C不可转让信用证，其中 90% 货款凭装运单据、供方出具的等额正式发票议付；货物最终验收合格后，供方凭需方验收报告（40万元以上的项目由西南大学实验室建设与设备管理处出具验收报告，40万元以下的项目由西南大学最终用户单位出具验收报告单）向银行申请解付剩余的 10%货款。</w:t>
      </w:r>
    </w:p>
    <w:p>
      <w:pPr>
        <w:spacing w:line="288" w:lineRule="auto"/>
        <w:ind w:firstLine="424" w:firstLineChars="202"/>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1.4.2 需方银行账号信息：</w:t>
      </w:r>
    </w:p>
    <w:p>
      <w:pPr>
        <w:spacing w:line="288" w:lineRule="auto"/>
        <w:ind w:firstLine="424" w:firstLineChars="202"/>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开户名称：</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西南大学</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银行账号：</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3100028109024968877</w:t>
      </w:r>
    </w:p>
    <w:p>
      <w:pPr>
        <w:spacing w:line="288" w:lineRule="auto"/>
        <w:ind w:firstLine="424" w:firstLineChars="202"/>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开户银行：</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工行重庆朝阳支行</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统一社会信用代码：</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12100000450401733W</w:t>
      </w:r>
    </w:p>
    <w:p>
      <w:pPr>
        <w:spacing w:line="288" w:lineRule="auto"/>
        <w:ind w:firstLine="424" w:firstLineChars="202"/>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银行行号：</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102653000474</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注册地址：</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重庆市北碚区天生路2号</w:t>
      </w:r>
    </w:p>
    <w:p>
      <w:pPr>
        <w:spacing w:line="288" w:lineRule="auto"/>
        <w:ind w:firstLine="491"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1.5包装</w:t>
      </w:r>
      <w:r>
        <w:rPr>
          <w:rFonts w:hint="eastAsia" w:asciiTheme="minorEastAsia" w:hAnsiTheme="minorEastAsia" w:eastAsiaTheme="minorEastAsia" w:cstheme="minorEastAsia"/>
          <w:sz w:val="21"/>
          <w:szCs w:val="21"/>
        </w:rPr>
        <w:t>：供方须按进口通用标准包装全部货物，保证货物的包装符合整个运输过程的要求。由于包装不良所发生的损失，或由于采用不充分或不妥善的防护措施而造成的任何损害，乙方应负担由此产生的费用和损失。</w:t>
      </w:r>
    </w:p>
    <w:p>
      <w:pPr>
        <w:spacing w:line="288" w:lineRule="auto"/>
        <w:ind w:firstLine="491"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1.6到货时间</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b/>
          <w:bCs/>
          <w:sz w:val="21"/>
          <w:szCs w:val="21"/>
          <w:u w:val="single"/>
        </w:rPr>
        <w:t>L/C</w:t>
      </w:r>
      <w:r>
        <w:rPr>
          <w:rFonts w:hint="eastAsia" w:asciiTheme="minorEastAsia" w:hAnsiTheme="minorEastAsia" w:eastAsiaTheme="minorEastAsia" w:cstheme="minorEastAsia"/>
          <w:sz w:val="21"/>
          <w:szCs w:val="21"/>
        </w:rPr>
        <w:t xml:space="preserve">开出后 </w:t>
      </w:r>
      <w:r>
        <w:rPr>
          <w:rFonts w:asciiTheme="minorEastAsia" w:hAnsiTheme="minorEastAsia" w:eastAsiaTheme="minorEastAsia" w:cstheme="minorEastAsia"/>
          <w:bCs/>
          <w:sz w:val="21"/>
          <w:szCs w:val="21"/>
          <w:u w:val="single"/>
        </w:rPr>
        <w:t xml:space="preserve">    </w:t>
      </w:r>
      <w:r>
        <w:rPr>
          <w:rFonts w:hint="eastAsia" w:asciiTheme="minorEastAsia" w:hAnsiTheme="minorEastAsia" w:eastAsiaTheme="minorEastAsia" w:cstheme="minorEastAsia"/>
          <w:sz w:val="21"/>
          <w:szCs w:val="21"/>
        </w:rPr>
        <w:t>日内到货。供方应当提前三日通知需方用户单位准备接收货物。</w:t>
      </w:r>
    </w:p>
    <w:p>
      <w:pPr>
        <w:spacing w:line="288" w:lineRule="auto"/>
        <w:ind w:firstLine="489" w:firstLineChars="233"/>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1.7</w:t>
      </w:r>
      <w:r>
        <w:rPr>
          <w:rFonts w:hint="eastAsia" w:asciiTheme="minorEastAsia" w:hAnsiTheme="minorEastAsia" w:eastAsiaTheme="minorEastAsia" w:cstheme="minorEastAsia"/>
          <w:b/>
          <w:sz w:val="21"/>
          <w:szCs w:val="21"/>
        </w:rPr>
        <w:t>到货地点：</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w:t>
      </w:r>
    </w:p>
    <w:p>
      <w:pPr>
        <w:spacing w:line="288" w:lineRule="auto"/>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b/>
          <w:bCs/>
          <w:sz w:val="21"/>
          <w:szCs w:val="21"/>
        </w:rPr>
        <w:t>1.8质量要求</w:t>
      </w:r>
      <w:r>
        <w:rPr>
          <w:rFonts w:hint="eastAsia" w:asciiTheme="minorEastAsia" w:hAnsiTheme="minorEastAsia" w:eastAsiaTheme="minorEastAsia" w:cstheme="minorEastAsia"/>
          <w:sz w:val="21"/>
          <w:szCs w:val="21"/>
        </w:rPr>
        <w:t>：供方提供给需方的货物必须是原厂生产的全新合格产品，必须符合中华人民共和国进口商品质量管理有关要求，必须提供货物合格资料或国家商检局签发的安全质量许可证书及《安全标志》，技术指标和参数应符合投标文件中作出的承诺和供需双方谈判确定的结果以及产品说明书中的要求。</w:t>
      </w:r>
    </w:p>
    <w:p>
      <w:pPr>
        <w:spacing w:line="288" w:lineRule="auto"/>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b/>
          <w:bCs/>
          <w:sz w:val="21"/>
          <w:szCs w:val="21"/>
        </w:rPr>
        <w:t>1.9知识产权：</w:t>
      </w:r>
      <w:r>
        <w:rPr>
          <w:rFonts w:hint="eastAsia" w:asciiTheme="minorEastAsia" w:hAnsiTheme="minorEastAsia" w:eastAsiaTheme="minorEastAsia" w:cstheme="minorEastAsia"/>
          <w:sz w:val="21"/>
          <w:szCs w:val="21"/>
        </w:rPr>
        <w:t>应本合同项目需要应由供方自行编写或提供给需方使用的有关涉及知识产权的文件或资料，供方应确保不得侵犯他人合法权益，并保证他人不会对需方所使用上述的文件或资料主张任何权利。若与第三方发生有关成果归属或知识产权纠纷问题，供方有责任和义务采取包括但不限于法律诉讼的措施维护需方利益。由此发生的所有费用由供方承担，与需方无关。供方同时承担由此造成需方所有的经济损失。</w:t>
      </w:r>
    </w:p>
    <w:p>
      <w:pPr>
        <w:spacing w:line="288" w:lineRule="auto"/>
        <w:ind w:firstLine="489" w:firstLineChars="233"/>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b/>
          <w:bCs/>
          <w:sz w:val="21"/>
          <w:szCs w:val="21"/>
        </w:rPr>
        <w:t>1.10技术资料</w:t>
      </w:r>
    </w:p>
    <w:p>
      <w:pPr>
        <w:spacing w:line="288" w:lineRule="auto"/>
        <w:ind w:firstLine="491"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1.10.1</w:t>
      </w:r>
      <w:r>
        <w:rPr>
          <w:rFonts w:hint="eastAsia" w:asciiTheme="minorEastAsia" w:hAnsiTheme="minorEastAsia" w:eastAsiaTheme="minorEastAsia" w:cstheme="minorEastAsia"/>
          <w:sz w:val="21"/>
          <w:szCs w:val="21"/>
        </w:rPr>
        <w:t>供方保证提供的技术资料是在本合同生效时供方使用的最新技术资料，该技术资料是完整的、正确的、清晰统一的、与提供的合同货物相符。供方保证按合同规定将技术资料与合同货物一起按时运输并交付需方。</w:t>
      </w:r>
    </w:p>
    <w:p>
      <w:pPr>
        <w:spacing w:line="288" w:lineRule="auto"/>
        <w:ind w:firstLine="491"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1.10.2</w:t>
      </w:r>
      <w:r>
        <w:rPr>
          <w:rFonts w:hint="eastAsia" w:asciiTheme="minorEastAsia" w:hAnsiTheme="minorEastAsia" w:eastAsiaTheme="minorEastAsia" w:cstheme="minorEastAsia"/>
          <w:sz w:val="21"/>
          <w:szCs w:val="21"/>
        </w:rPr>
        <w:t>如需方对合同货物做出变更，或因供方原因致使合同货物验收不合格而必须对合同货物做出变更的，供方应尽快在双方同意的期限内对合同货物做出变更，并及时提供相应的资料，该资料应是完整、正确、清晰、统一，并完全符合该合同货物变更后需方认可的技术规范和质量要求。</w:t>
      </w:r>
    </w:p>
    <w:p>
      <w:pPr>
        <w:spacing w:line="288" w:lineRule="auto"/>
        <w:ind w:firstLine="491"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1.10.3</w:t>
      </w:r>
      <w:r>
        <w:rPr>
          <w:rFonts w:hint="eastAsia" w:asciiTheme="minorEastAsia" w:hAnsiTheme="minorEastAsia" w:eastAsiaTheme="minorEastAsia" w:cstheme="minorEastAsia"/>
          <w:sz w:val="21"/>
          <w:szCs w:val="21"/>
        </w:rPr>
        <w:t>供方在交货时，应随货交付下列相关的技术资料及物品：</w:t>
      </w:r>
    </w:p>
    <w:p>
      <w:pPr>
        <w:spacing w:line="288" w:lineRule="auto"/>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1)原产地证明；</w:t>
      </w:r>
    </w:p>
    <w:p>
      <w:pPr>
        <w:spacing w:line="288" w:lineRule="auto"/>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2)使用说明书、设备操作及维护手册；</w:t>
      </w:r>
    </w:p>
    <w:p>
      <w:pPr>
        <w:spacing w:line="288" w:lineRule="auto"/>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3)由制造商签发的质量证明书；</w:t>
      </w:r>
    </w:p>
    <w:p>
      <w:pPr>
        <w:spacing w:line="288" w:lineRule="auto"/>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4)送货清单，易损件、备品备件清单（含易损件、备件的名称、规格、型号、数量、成本价、产地等）。</w:t>
      </w:r>
    </w:p>
    <w:p>
      <w:pPr>
        <w:spacing w:line="288" w:lineRule="auto"/>
        <w:ind w:firstLine="491" w:firstLineChars="233"/>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5)生产厂商售后服务承诺书、保修协议、保修卡等售后服务资料。</w:t>
      </w:r>
    </w:p>
    <w:p>
      <w:pPr>
        <w:spacing w:line="288" w:lineRule="auto"/>
        <w:ind w:firstLine="491"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1.10.4</w:t>
      </w:r>
      <w:r>
        <w:rPr>
          <w:rFonts w:hint="eastAsia" w:asciiTheme="minorEastAsia" w:hAnsiTheme="minorEastAsia" w:eastAsiaTheme="minorEastAsia" w:cstheme="minorEastAsia"/>
          <w:sz w:val="21"/>
          <w:szCs w:val="21"/>
        </w:rPr>
        <w:t xml:space="preserve">  1.10.3所列技术资料及物品作为需方所购产品不可或缺的一部分，供方应使用标准包装袋装好免费提供给需方。若供方没有按时将合同约定的资料提供给需方，需方有权拒绝接收货物。</w:t>
      </w:r>
    </w:p>
    <w:p>
      <w:pPr>
        <w:spacing w:line="288" w:lineRule="auto"/>
        <w:ind w:firstLine="491"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二、货物开箱、安装调试、培训与验收</w:t>
      </w:r>
    </w:p>
    <w:p>
      <w:pPr>
        <w:spacing w:line="288" w:lineRule="auto"/>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2.1货物抵达需方用户单位指定地点后，由供方与需方或需方用户单位于</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b/>
          <w:sz w:val="21"/>
          <w:szCs w:val="21"/>
          <w:u w:val="single"/>
        </w:rPr>
        <w:t>5</w:t>
      </w:r>
      <w:r>
        <w:rPr>
          <w:rFonts w:hint="eastAsia" w:asciiTheme="minorEastAsia" w:hAnsiTheme="minorEastAsia" w:eastAsiaTheme="minorEastAsia" w:cstheme="minorEastAsia"/>
          <w:sz w:val="21"/>
          <w:szCs w:val="21"/>
        </w:rPr>
        <w:t>个工作日内共同开箱，并填写开箱记录。在开箱验收中如发现货物不符合合同约定，需方有权拒绝接收货物、要求换货、退货、补货或解除合同。</w:t>
      </w:r>
    </w:p>
    <w:p>
      <w:pPr>
        <w:spacing w:line="40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需方指定收货人：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，电话:</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w:t>
      </w:r>
    </w:p>
    <w:p>
      <w:pPr>
        <w:spacing w:line="288" w:lineRule="auto"/>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2.2开箱后</w:t>
      </w:r>
      <w:r>
        <w:rPr>
          <w:rFonts w:asciiTheme="minorEastAsia" w:hAnsiTheme="minorEastAsia" w:eastAsiaTheme="minorEastAsia" w:cstheme="minorEastAsia"/>
          <w:b/>
          <w:bCs/>
          <w:sz w:val="21"/>
          <w:szCs w:val="21"/>
          <w:u w:val="single"/>
        </w:rPr>
        <w:t xml:space="preserve">    </w:t>
      </w:r>
      <w:r>
        <w:rPr>
          <w:rFonts w:hint="eastAsia" w:asciiTheme="minorEastAsia" w:hAnsiTheme="minorEastAsia" w:eastAsiaTheme="minorEastAsia" w:cstheme="minorEastAsia"/>
          <w:sz w:val="21"/>
          <w:szCs w:val="21"/>
        </w:rPr>
        <w:t>个工作日内供方完成安装调试。合同货物的安装、调试由供方负责，需方给予协调配合。</w:t>
      </w:r>
    </w:p>
    <w:p>
      <w:pPr>
        <w:spacing w:line="288" w:lineRule="auto"/>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2.3在安装调试完成后</w:t>
      </w:r>
      <w:r>
        <w:rPr>
          <w:rFonts w:hint="eastAsia" w:asciiTheme="minorEastAsia" w:hAnsiTheme="minorEastAsia" w:eastAsiaTheme="minorEastAsia" w:cstheme="minorEastAsia"/>
          <w:b/>
          <w:bCs/>
          <w:sz w:val="21"/>
          <w:szCs w:val="21"/>
          <w:u w:val="single"/>
        </w:rPr>
        <w:t>10</w:t>
      </w:r>
      <w:r>
        <w:rPr>
          <w:rFonts w:hint="eastAsia" w:asciiTheme="minorEastAsia" w:hAnsiTheme="minorEastAsia" w:eastAsiaTheme="minorEastAsia" w:cstheme="minorEastAsia"/>
          <w:sz w:val="21"/>
          <w:szCs w:val="21"/>
        </w:rPr>
        <w:t>日内，供方负责对需方指定的技术人员和操作人员在需方处进行免费培训，内容包括合同货物的安全事项、工作原理、操作技能、日常维护和常规故障检修等，确保培训结束后需方技术人员和操作人员能独立进行操作、维护和常规故障的检修。</w:t>
      </w:r>
    </w:p>
    <w:p>
      <w:pPr>
        <w:spacing w:line="288" w:lineRule="auto"/>
        <w:ind w:firstLine="489" w:firstLineChars="233"/>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2.4在合同约定的全部货物、相关技术资料及物品到齐（包括试剂耗材），供方安装、调试合格且完成培训后,供方向需方提出验收申请，需方受理申请且资料完整后</w:t>
      </w:r>
      <w:r>
        <w:rPr>
          <w:rFonts w:hint="eastAsia" w:asciiTheme="minorEastAsia" w:hAnsiTheme="minorEastAsia" w:eastAsiaTheme="minorEastAsia" w:cstheme="minorEastAsia"/>
          <w:b/>
          <w:bCs/>
          <w:sz w:val="21"/>
          <w:szCs w:val="21"/>
          <w:u w:val="single"/>
        </w:rPr>
        <w:t xml:space="preserve"> 15 </w:t>
      </w:r>
      <w:r>
        <w:rPr>
          <w:rFonts w:hint="eastAsia" w:asciiTheme="minorEastAsia" w:hAnsiTheme="minorEastAsia" w:eastAsiaTheme="minorEastAsia" w:cstheme="minorEastAsia"/>
          <w:sz w:val="21"/>
          <w:szCs w:val="21"/>
        </w:rPr>
        <w:t>日内组织对货物进行验收。在约定验收的日期前供方必须协助需方用户完成各项指标和功能的测试，现场验收时供方提供必要的技术支持，否则验收延误由供方负责。通过技术性能验收后，需方出具验收合格证明，视为验收合格。</w:t>
      </w:r>
    </w:p>
    <w:p>
      <w:pPr>
        <w:spacing w:line="288" w:lineRule="auto"/>
        <w:ind w:firstLine="491" w:firstLineChars="233"/>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*三、售后服务及维修</w:t>
      </w:r>
    </w:p>
    <w:p>
      <w:pPr>
        <w:spacing w:line="288" w:lineRule="auto"/>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3.1</w:t>
      </w:r>
      <w:r>
        <w:rPr>
          <w:rFonts w:hint="eastAsia" w:asciiTheme="minorEastAsia" w:hAnsiTheme="minorEastAsia" w:eastAsiaTheme="minorEastAsia" w:cstheme="minorEastAsia"/>
          <w:sz w:val="21"/>
          <w:szCs w:val="21"/>
        </w:rPr>
        <w:t>由供方承担售后服务及维修。</w:t>
      </w:r>
    </w:p>
    <w:p>
      <w:pPr>
        <w:spacing w:line="288" w:lineRule="auto"/>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，联系电话：</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b/>
          <w:bCs/>
          <w:sz w:val="21"/>
          <w:szCs w:val="21"/>
          <w:u w:val="single"/>
        </w:rPr>
        <w:t xml:space="preserve">     </w:t>
      </w:r>
      <w:r>
        <w:rPr>
          <w:rFonts w:hint="eastAsia" w:asciiTheme="minorEastAsia" w:hAnsiTheme="minorEastAsia" w:eastAsiaTheme="minorEastAsia" w:cstheme="minorEastAsia"/>
          <w:sz w:val="21"/>
          <w:szCs w:val="21"/>
        </w:rPr>
        <w:t>。</w:t>
      </w:r>
    </w:p>
    <w:p>
      <w:pPr>
        <w:spacing w:line="288" w:lineRule="auto"/>
        <w:ind w:firstLine="489" w:firstLineChars="233"/>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3.2保修期限：供方承诺本合同项下货物自验收合格之日起，由供方提供</w:t>
      </w:r>
      <w:r>
        <w:rPr>
          <w:rFonts w:hint="eastAsia" w:asciiTheme="minorEastAsia" w:hAnsiTheme="minorEastAsia" w:eastAsiaTheme="minorEastAsia" w:cstheme="minorEastAsia"/>
          <w:b/>
          <w:bCs/>
          <w:sz w:val="21"/>
          <w:szCs w:val="21"/>
          <w:u w:val="single"/>
        </w:rPr>
        <w:t xml:space="preserve">   </w:t>
      </w:r>
      <w:r>
        <w:rPr>
          <w:rFonts w:hint="eastAsia" w:asciiTheme="minorEastAsia" w:hAnsiTheme="minorEastAsia" w:eastAsiaTheme="minorEastAsia" w:cstheme="minorEastAsia"/>
          <w:sz w:val="21"/>
          <w:szCs w:val="21"/>
        </w:rPr>
        <w:t>年免费保修服务。若保修期内出现故障，故障件的质保期从故障排除之日起重新起计；故障时间累计超过</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b/>
          <w:bCs/>
          <w:sz w:val="21"/>
          <w:szCs w:val="21"/>
          <w:u w:val="single"/>
        </w:rPr>
        <w:t xml:space="preserve">壹 </w:t>
      </w:r>
      <w:r>
        <w:rPr>
          <w:rFonts w:hint="eastAsia" w:asciiTheme="minorEastAsia" w:hAnsiTheme="minorEastAsia" w:eastAsiaTheme="minorEastAsia" w:cstheme="minorEastAsia"/>
          <w:sz w:val="21"/>
          <w:szCs w:val="21"/>
        </w:rPr>
        <w:t>个月，整机保修期顺延</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b/>
          <w:bCs/>
          <w:sz w:val="21"/>
          <w:szCs w:val="21"/>
          <w:u w:val="single"/>
        </w:rPr>
        <w:t xml:space="preserve">叁 </w:t>
      </w:r>
      <w:r>
        <w:rPr>
          <w:rFonts w:hint="eastAsia" w:asciiTheme="minorEastAsia" w:hAnsiTheme="minorEastAsia" w:eastAsiaTheme="minorEastAsia" w:cstheme="minorEastAsia"/>
          <w:sz w:val="21"/>
          <w:szCs w:val="21"/>
        </w:rPr>
        <w:t>个月。</w:t>
      </w:r>
    </w:p>
    <w:p>
      <w:pPr>
        <w:spacing w:line="288" w:lineRule="auto"/>
        <w:ind w:firstLine="489" w:firstLineChars="233"/>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3.3保修期内，供方接到维修通知，供方人员应于</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小时内到达现场处理，如货物在检修</w:t>
      </w:r>
      <w:r>
        <w:rPr>
          <w:rFonts w:hint="eastAsia" w:asciiTheme="minorEastAsia" w:hAnsiTheme="minorEastAsia" w:eastAsiaTheme="minorEastAsia" w:cstheme="minorEastAsia"/>
          <w:b/>
          <w:bCs/>
          <w:sz w:val="21"/>
          <w:szCs w:val="21"/>
          <w:u w:val="single"/>
        </w:rPr>
        <w:t xml:space="preserve"> 8 </w:t>
      </w:r>
      <w:r>
        <w:rPr>
          <w:rFonts w:hint="eastAsia" w:asciiTheme="minorEastAsia" w:hAnsiTheme="minorEastAsia" w:eastAsiaTheme="minorEastAsia" w:cstheme="minorEastAsia"/>
          <w:sz w:val="21"/>
          <w:szCs w:val="21"/>
        </w:rPr>
        <w:t>小时后故障仍无法排除，供方应在最短</w:t>
      </w:r>
      <w:r>
        <w:rPr>
          <w:rFonts w:hint="eastAsia" w:asciiTheme="minorEastAsia" w:hAnsiTheme="minorEastAsia" w:eastAsiaTheme="minorEastAsia" w:cstheme="minorEastAsia"/>
          <w:b/>
          <w:bCs/>
          <w:sz w:val="21"/>
          <w:szCs w:val="21"/>
          <w:u w:val="single"/>
        </w:rPr>
        <w:t xml:space="preserve"> 72 </w:t>
      </w:r>
      <w:r>
        <w:rPr>
          <w:rFonts w:hint="eastAsia" w:asciiTheme="minorEastAsia" w:hAnsiTheme="minorEastAsia" w:eastAsiaTheme="minorEastAsia" w:cstheme="minorEastAsia"/>
          <w:sz w:val="21"/>
          <w:szCs w:val="21"/>
        </w:rPr>
        <w:t>小时内更换零配件，修复故障货物。若</w:t>
      </w:r>
      <w:r>
        <w:rPr>
          <w:rFonts w:hint="eastAsia" w:asciiTheme="minorEastAsia" w:hAnsiTheme="minorEastAsia" w:eastAsiaTheme="minorEastAsia" w:cstheme="minorEastAsia"/>
          <w:b/>
          <w:bCs/>
          <w:sz w:val="21"/>
          <w:szCs w:val="21"/>
          <w:u w:val="single"/>
        </w:rPr>
        <w:t xml:space="preserve">   </w:t>
      </w:r>
      <w:r>
        <w:rPr>
          <w:rFonts w:hint="eastAsia" w:asciiTheme="minorEastAsia" w:hAnsiTheme="minorEastAsia" w:eastAsiaTheme="minorEastAsia" w:cstheme="minorEastAsia"/>
          <w:sz w:val="21"/>
          <w:szCs w:val="21"/>
        </w:rPr>
        <w:t>小时不能到达现场，视为供方拒绝维修，需方可自行联系维修并由供方承担所有维修费用和承担带来的扩大损失。</w:t>
      </w:r>
    </w:p>
    <w:p>
      <w:pPr>
        <w:spacing w:line="288" w:lineRule="auto"/>
        <w:ind w:firstLine="489" w:firstLineChars="233"/>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3.4所有货物保修服务方式均为供方派员到用户货物使用现场进行保修，保修期内产生的一切费用均由</w:t>
      </w:r>
      <w:r>
        <w:rPr>
          <w:rFonts w:hint="eastAsia" w:asciiTheme="minorEastAsia" w:hAnsiTheme="minorEastAsia" w:eastAsiaTheme="minorEastAsia" w:cstheme="minorEastAsia"/>
          <w:bCs/>
          <w:sz w:val="21"/>
          <w:szCs w:val="21"/>
        </w:rPr>
        <w:t>供方</w:t>
      </w:r>
      <w:r>
        <w:rPr>
          <w:rFonts w:hint="eastAsia" w:asciiTheme="minorEastAsia" w:hAnsiTheme="minorEastAsia" w:eastAsiaTheme="minorEastAsia" w:cstheme="minorEastAsia"/>
          <w:sz w:val="21"/>
          <w:szCs w:val="21"/>
        </w:rPr>
        <w:t>承担。</w:t>
      </w:r>
    </w:p>
    <w:p>
      <w:pPr>
        <w:spacing w:line="288" w:lineRule="auto"/>
        <w:ind w:firstLine="489" w:firstLineChars="233"/>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3.5质保期内货物不能及时维修时，供方应向需方提供相同的货物，以保证需方的正常使用。</w:t>
      </w:r>
    </w:p>
    <w:p>
      <w:pPr>
        <w:spacing w:line="288" w:lineRule="auto"/>
        <w:ind w:firstLine="489" w:firstLineChars="233"/>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3.6质保期满后，供方以最优惠的价格（即不高于成本价及对其他客户的供应价格，定价原则以合同签订时的价格为标准，就低不就高）向需方提供零部件材料费和终身技术服务（含维修）及其它选加附件、易损耗件，以保障合同货物正常运行。</w:t>
      </w:r>
    </w:p>
    <w:p>
      <w:pPr>
        <w:spacing w:line="288" w:lineRule="auto"/>
        <w:ind w:firstLine="489" w:firstLineChars="233"/>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b/>
          <w:bCs/>
          <w:sz w:val="21"/>
          <w:szCs w:val="21"/>
        </w:rPr>
        <w:t>四、违约与索赔条款</w:t>
      </w:r>
    </w:p>
    <w:p>
      <w:pPr>
        <w:spacing w:line="288" w:lineRule="auto"/>
        <w:ind w:firstLine="489" w:firstLineChars="233"/>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4.1供需双方均应全面履行本合同，任何一方未能按照本合同的约定履行自己的义务，应当承担违约责任。违约方应当赔偿守约方因此遭受的损失，包括但不限于守约方的直接经济损失、间接经济损失、守约方为追究违约责任所发生的律师费、差旅费、交通费等。</w:t>
      </w:r>
    </w:p>
    <w:p>
      <w:pPr>
        <w:spacing w:line="288" w:lineRule="auto"/>
        <w:ind w:firstLine="489" w:firstLineChars="233"/>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4.2供方逾期交付货物或随货相关的技术资料及物品的，则每逾期一天，按合同总额的</w:t>
      </w:r>
      <w:r>
        <w:rPr>
          <w:rFonts w:hint="eastAsia" w:asciiTheme="minorEastAsia" w:hAnsiTheme="minorEastAsia" w:eastAsiaTheme="minorEastAsia" w:cstheme="minorEastAsia"/>
          <w:b/>
          <w:sz w:val="21"/>
          <w:szCs w:val="21"/>
        </w:rPr>
        <w:t xml:space="preserve"> </w:t>
      </w:r>
      <w:r>
        <w:rPr>
          <w:rFonts w:hint="eastAsia" w:asciiTheme="minorEastAsia" w:hAnsiTheme="minorEastAsia" w:eastAsiaTheme="minorEastAsia" w:cstheme="minorEastAsia"/>
          <w:b/>
          <w:bCs/>
          <w:sz w:val="21"/>
          <w:szCs w:val="21"/>
          <w:u w:val="single"/>
        </w:rPr>
        <w:t xml:space="preserve">3‰ </w:t>
      </w:r>
      <w:r>
        <w:rPr>
          <w:rFonts w:hint="eastAsia" w:asciiTheme="minorEastAsia" w:hAnsiTheme="minorEastAsia" w:eastAsiaTheme="minorEastAsia" w:cstheme="minorEastAsia"/>
          <w:sz w:val="21"/>
          <w:szCs w:val="21"/>
        </w:rPr>
        <w:t xml:space="preserve">向需方支付违约金，违约金累计不超过合同总价的 </w:t>
      </w:r>
      <w:r>
        <w:rPr>
          <w:rFonts w:hint="eastAsia" w:asciiTheme="minorEastAsia" w:hAnsiTheme="minorEastAsia" w:eastAsiaTheme="minorEastAsia" w:cstheme="minorEastAsia"/>
          <w:b/>
          <w:bCs/>
          <w:sz w:val="21"/>
          <w:szCs w:val="21"/>
          <w:u w:val="single"/>
        </w:rPr>
        <w:t xml:space="preserve">10% </w:t>
      </w:r>
      <w:r>
        <w:rPr>
          <w:rFonts w:hint="eastAsia" w:asciiTheme="minorEastAsia" w:hAnsiTheme="minorEastAsia" w:eastAsiaTheme="minorEastAsia" w:cstheme="minorEastAsia"/>
          <w:sz w:val="21"/>
          <w:szCs w:val="21"/>
        </w:rPr>
        <w:t xml:space="preserve">，并承担因此给需方造成的实际损失。逾期交付超过 </w:t>
      </w:r>
      <w:r>
        <w:rPr>
          <w:rFonts w:hint="eastAsia" w:asciiTheme="minorEastAsia" w:hAnsiTheme="minorEastAsia" w:eastAsiaTheme="minorEastAsia" w:cstheme="minorEastAsia"/>
          <w:b/>
          <w:bCs/>
          <w:sz w:val="21"/>
          <w:szCs w:val="21"/>
          <w:u w:val="single"/>
        </w:rPr>
        <w:t>30</w:t>
      </w:r>
      <w:r>
        <w:rPr>
          <w:rFonts w:hint="eastAsia" w:asciiTheme="minorEastAsia" w:hAnsiTheme="minorEastAsia" w:eastAsiaTheme="minorEastAsia" w:cstheme="minorEastAsia"/>
          <w:sz w:val="21"/>
          <w:szCs w:val="21"/>
        </w:rPr>
        <w:t xml:space="preserve"> 日的，需方有权单方解除合同，并要求供方支付合同总金额 </w:t>
      </w:r>
      <w:r>
        <w:rPr>
          <w:rFonts w:hint="eastAsia" w:asciiTheme="minorEastAsia" w:hAnsiTheme="minorEastAsia" w:eastAsiaTheme="minorEastAsia" w:cstheme="minorEastAsia"/>
          <w:b/>
          <w:bCs/>
          <w:sz w:val="21"/>
          <w:szCs w:val="21"/>
          <w:u w:val="single"/>
        </w:rPr>
        <w:t>20%</w:t>
      </w:r>
      <w:r>
        <w:rPr>
          <w:rFonts w:hint="eastAsia" w:asciiTheme="minorEastAsia" w:hAnsiTheme="minorEastAsia" w:eastAsiaTheme="minorEastAsia" w:cstheme="minorEastAsia"/>
          <w:sz w:val="21"/>
          <w:szCs w:val="21"/>
        </w:rPr>
        <w:t xml:space="preserve"> 的违约金。</w:t>
      </w:r>
    </w:p>
    <w:p>
      <w:pPr>
        <w:spacing w:line="288" w:lineRule="auto"/>
        <w:ind w:firstLine="489" w:firstLineChars="233"/>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4.3若供方提供的货物、货物包装或相关的技术资料及物品不符合合同约定的，或验收不合格的，需方有权要求换货、退货、补货、折价、提供符合合同约定的相关的技术资料及物品或解除合同。如需方选择解除合同，则供方支付合同总金额 </w:t>
      </w:r>
      <w:r>
        <w:rPr>
          <w:rFonts w:hint="eastAsia" w:asciiTheme="minorEastAsia" w:hAnsiTheme="minorEastAsia" w:eastAsiaTheme="minorEastAsia" w:cstheme="minorEastAsia"/>
          <w:b/>
          <w:bCs/>
          <w:sz w:val="21"/>
          <w:szCs w:val="21"/>
          <w:u w:val="single"/>
        </w:rPr>
        <w:t>20%</w:t>
      </w:r>
      <w:r>
        <w:rPr>
          <w:rFonts w:hint="eastAsia" w:asciiTheme="minorEastAsia" w:hAnsiTheme="minorEastAsia" w:eastAsiaTheme="minorEastAsia" w:cstheme="minorEastAsia"/>
          <w:sz w:val="21"/>
          <w:szCs w:val="21"/>
        </w:rPr>
        <w:t xml:space="preserve"> 的违约金给需方，如需方选择退货，则供方支付退货货物金额 </w:t>
      </w:r>
      <w:r>
        <w:rPr>
          <w:rFonts w:hint="eastAsia" w:asciiTheme="minorEastAsia" w:hAnsiTheme="minorEastAsia" w:eastAsiaTheme="minorEastAsia" w:cstheme="minorEastAsia"/>
          <w:b/>
          <w:bCs/>
          <w:sz w:val="21"/>
          <w:szCs w:val="21"/>
          <w:u w:val="single"/>
        </w:rPr>
        <w:t>20%</w:t>
      </w:r>
      <w:r>
        <w:rPr>
          <w:rFonts w:hint="eastAsia" w:asciiTheme="minorEastAsia" w:hAnsiTheme="minorEastAsia" w:eastAsiaTheme="minorEastAsia" w:cstheme="minorEastAsia"/>
          <w:sz w:val="21"/>
          <w:szCs w:val="21"/>
        </w:rPr>
        <w:t xml:space="preserve"> 的违约金给需方，供方在</w:t>
      </w:r>
      <w:r>
        <w:rPr>
          <w:rFonts w:hint="eastAsia" w:asciiTheme="minorEastAsia" w:hAnsiTheme="minorEastAsia" w:eastAsiaTheme="minorEastAsia" w:cstheme="minorEastAsia"/>
          <w:b/>
          <w:bCs/>
          <w:sz w:val="21"/>
          <w:szCs w:val="21"/>
          <w:u w:val="single"/>
        </w:rPr>
        <w:t>15</w:t>
      </w:r>
      <w:r>
        <w:rPr>
          <w:rFonts w:hint="eastAsia" w:asciiTheme="minorEastAsia" w:hAnsiTheme="minorEastAsia" w:eastAsiaTheme="minorEastAsia" w:cstheme="minorEastAsia"/>
          <w:sz w:val="21"/>
          <w:szCs w:val="21"/>
        </w:rPr>
        <w:t xml:space="preserve">日内退还需方相应货款及缴纳相应的违约金后，凭交款单据拉走货物，同时自行承担由此产生的装卸费、运输费等相关费用；如选择换货、补货、折价、提供符合合同约定的相关的技术资料及物品，则供方首先支付合同总金额 </w:t>
      </w:r>
      <w:r>
        <w:rPr>
          <w:rFonts w:hint="eastAsia" w:asciiTheme="minorEastAsia" w:hAnsiTheme="minorEastAsia" w:eastAsiaTheme="minorEastAsia" w:cstheme="minorEastAsia"/>
          <w:b/>
          <w:bCs/>
          <w:sz w:val="21"/>
          <w:szCs w:val="21"/>
          <w:u w:val="single"/>
        </w:rPr>
        <w:t>5%</w:t>
      </w:r>
      <w:r>
        <w:rPr>
          <w:rFonts w:hint="eastAsia" w:asciiTheme="minorEastAsia" w:hAnsiTheme="minorEastAsia" w:eastAsiaTheme="minorEastAsia" w:cstheme="minorEastAsia"/>
          <w:sz w:val="21"/>
          <w:szCs w:val="21"/>
        </w:rPr>
        <w:t xml:space="preserve"> 的违约金给需方，然后需方选择折价的，由双方共同协商定价，供方应在重新定价后</w:t>
      </w:r>
      <w:r>
        <w:rPr>
          <w:rFonts w:hint="eastAsia" w:asciiTheme="minorEastAsia" w:hAnsiTheme="minorEastAsia" w:eastAsiaTheme="minorEastAsia" w:cstheme="minorEastAsia"/>
          <w:b/>
          <w:bCs/>
          <w:sz w:val="21"/>
          <w:szCs w:val="21"/>
          <w:u w:val="single"/>
        </w:rPr>
        <w:t>10</w:t>
      </w:r>
      <w:r>
        <w:rPr>
          <w:rFonts w:hint="eastAsia" w:asciiTheme="minorEastAsia" w:hAnsiTheme="minorEastAsia" w:eastAsiaTheme="minorEastAsia" w:cstheme="minorEastAsia"/>
          <w:sz w:val="21"/>
          <w:szCs w:val="21"/>
        </w:rPr>
        <w:t>日内退还需方货物差价，需方选择补货、换货、提供符合合同约定的相关的技术资料及物品的，供方在</w:t>
      </w:r>
      <w:r>
        <w:rPr>
          <w:rFonts w:hint="eastAsia" w:asciiTheme="minorEastAsia" w:hAnsiTheme="minorEastAsia" w:eastAsiaTheme="minorEastAsia" w:cstheme="minorEastAsia"/>
          <w:b/>
          <w:bCs/>
          <w:sz w:val="21"/>
          <w:szCs w:val="21"/>
          <w:u w:val="single"/>
        </w:rPr>
        <w:t xml:space="preserve"> 40 </w:t>
      </w:r>
      <w:r>
        <w:rPr>
          <w:rFonts w:hint="eastAsia" w:asciiTheme="minorEastAsia" w:hAnsiTheme="minorEastAsia" w:eastAsiaTheme="minorEastAsia" w:cstheme="minorEastAsia"/>
          <w:sz w:val="21"/>
          <w:szCs w:val="21"/>
        </w:rPr>
        <w:t>日内重新换货或补充提供符合合同约定的货物，未能提供的，按</w:t>
      </w:r>
      <w:r>
        <w:rPr>
          <w:rFonts w:hint="eastAsia" w:asciiTheme="minorEastAsia" w:hAnsiTheme="minorEastAsia" w:eastAsiaTheme="minorEastAsia" w:cstheme="minorEastAsia"/>
          <w:b/>
          <w:sz w:val="21"/>
          <w:szCs w:val="21"/>
        </w:rPr>
        <w:t>4.2</w:t>
      </w:r>
      <w:r>
        <w:rPr>
          <w:rFonts w:hint="eastAsia" w:asciiTheme="minorEastAsia" w:hAnsiTheme="minorEastAsia" w:eastAsiaTheme="minorEastAsia" w:cstheme="minorEastAsia"/>
          <w:sz w:val="21"/>
          <w:szCs w:val="21"/>
        </w:rPr>
        <w:t>约定的违约责任处理，需方给予的宽限期内不免除供方逾期交货或随货物品的违约责任。</w:t>
      </w:r>
    </w:p>
    <w:p>
      <w:pPr>
        <w:spacing w:line="288" w:lineRule="auto"/>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4.4凡因供方原因造成解除合同的，需方已支付的费用由供方返还。</w:t>
      </w:r>
    </w:p>
    <w:p>
      <w:pPr>
        <w:spacing w:line="288" w:lineRule="auto"/>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4.5若供方未按本合同的约定提供保修服务或在货物发生故障后</w:t>
      </w:r>
      <w:r>
        <w:rPr>
          <w:rFonts w:hint="eastAsia" w:asciiTheme="minorEastAsia" w:hAnsiTheme="minorEastAsia" w:eastAsiaTheme="minorEastAsia" w:cstheme="minorEastAsia"/>
          <w:b/>
          <w:bCs/>
          <w:sz w:val="21"/>
          <w:szCs w:val="21"/>
          <w:u w:val="single"/>
        </w:rPr>
        <w:t xml:space="preserve"> 30 </w:t>
      </w:r>
      <w:r>
        <w:rPr>
          <w:rFonts w:hint="eastAsia" w:asciiTheme="minorEastAsia" w:hAnsiTheme="minorEastAsia" w:eastAsiaTheme="minorEastAsia" w:cstheme="minorEastAsia"/>
          <w:sz w:val="21"/>
          <w:szCs w:val="21"/>
        </w:rPr>
        <w:t>日内无法修复货物使之正常运行的，需方有权要求供方按本合同约定价格全额退还损坏货物的货款，如因此造成需方损失的，供方应承担赔偿责任。</w:t>
      </w:r>
    </w:p>
    <w:p>
      <w:pPr>
        <w:spacing w:line="288" w:lineRule="auto"/>
        <w:ind w:firstLine="489" w:firstLineChars="233"/>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4.6因货物质量问题造成需方或者任何第三人伤亡或财产损失的，由供方承担全部赔偿责任，需方先行垫付费用的，有权向供方追偿。</w:t>
      </w:r>
    </w:p>
    <w:p>
      <w:pPr>
        <w:spacing w:line="288" w:lineRule="auto"/>
        <w:ind w:firstLine="489" w:firstLineChars="233"/>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4.7供方保证本合同货物的权利无瑕疵，包括货物知识产权、使用权等权利无瑕疵。如任何第三方对本合同货物全部或部分主张权利，或国家机关依法对本合同货物全部或部分没收、查封、扣押或采取其他措施，供方除应向需方返还全部已收货款外，还应按合同总价的</w:t>
      </w:r>
      <w:r>
        <w:rPr>
          <w:rFonts w:hint="eastAsia" w:asciiTheme="minorEastAsia" w:hAnsiTheme="minorEastAsia" w:eastAsiaTheme="minorEastAsia" w:cstheme="minorEastAsia"/>
          <w:b/>
          <w:sz w:val="21"/>
          <w:szCs w:val="21"/>
          <w:u w:val="single"/>
        </w:rPr>
        <w:t>20%</w:t>
      </w:r>
      <w:r>
        <w:rPr>
          <w:rFonts w:hint="eastAsia" w:asciiTheme="minorEastAsia" w:hAnsiTheme="minorEastAsia" w:eastAsiaTheme="minorEastAsia" w:cstheme="minorEastAsia"/>
          <w:sz w:val="21"/>
          <w:szCs w:val="21"/>
        </w:rPr>
        <w:t>向需方支付违约金。给需方造成罚款、诉讼费、律师费等损失的，由供方承担全部责任，需方先行垫付费用的，有权向供方追偿。</w:t>
      </w:r>
    </w:p>
    <w:p>
      <w:pPr>
        <w:spacing w:line="288" w:lineRule="auto"/>
        <w:ind w:firstLine="489" w:firstLineChars="233"/>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4.8需方有权直接从货款、履约保证金中扣除供方应承担的维修费、罚款、违约金、赔偿金及损失。但这并不意味着对供方违约责任、赔偿责任全部或部分的豁免或解除。需方根据合同约定使用或扣除履约保证金的，供方应在需方指定的限期内补足履约保证金，限期内未补足的，每逾期一日按应补足金额的</w:t>
      </w:r>
      <w:r>
        <w:rPr>
          <w:rFonts w:hint="eastAsia" w:asciiTheme="minorEastAsia" w:hAnsiTheme="minorEastAsia" w:eastAsiaTheme="minorEastAsia" w:cstheme="minorEastAsia"/>
          <w:sz w:val="21"/>
          <w:szCs w:val="21"/>
          <w:u w:val="single"/>
        </w:rPr>
        <w:t xml:space="preserve"> 5% </w:t>
      </w:r>
      <w:r>
        <w:rPr>
          <w:rFonts w:hint="eastAsia" w:asciiTheme="minorEastAsia" w:hAnsiTheme="minorEastAsia" w:eastAsiaTheme="minorEastAsia" w:cstheme="minorEastAsia"/>
          <w:sz w:val="21"/>
          <w:szCs w:val="21"/>
        </w:rPr>
        <w:t>承担违约金。</w:t>
      </w:r>
    </w:p>
    <w:p>
      <w:pPr>
        <w:spacing w:line="288" w:lineRule="auto"/>
        <w:ind w:firstLine="489" w:firstLineChars="233"/>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4.9未经需方书面同意，供方不得在市场宣传中使用与需方的合作案列，不得将需方作为业务伙伴进行宣传，不得使用需方的校名、校徽、商标、标志语等；若违反上述约定，应按合同总价的</w:t>
      </w:r>
      <w:r>
        <w:rPr>
          <w:rFonts w:hint="eastAsia" w:asciiTheme="minorEastAsia" w:hAnsiTheme="minorEastAsia" w:eastAsiaTheme="minorEastAsia" w:cstheme="minorEastAsia"/>
          <w:sz w:val="21"/>
          <w:szCs w:val="21"/>
          <w:u w:val="single"/>
        </w:rPr>
        <w:t xml:space="preserve"> 20 </w:t>
      </w:r>
      <w:r>
        <w:rPr>
          <w:rFonts w:hint="eastAsia" w:asciiTheme="minorEastAsia" w:hAnsiTheme="minorEastAsia" w:eastAsiaTheme="minorEastAsia" w:cstheme="minorEastAsia"/>
          <w:sz w:val="21"/>
          <w:szCs w:val="21"/>
        </w:rPr>
        <w:t>%向需方支付违约金。</w:t>
      </w:r>
    </w:p>
    <w:p>
      <w:pPr>
        <w:spacing w:line="288" w:lineRule="auto"/>
        <w:ind w:firstLine="489" w:firstLineChars="233"/>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4.10供需双方的任何一方遇法定不可抗因素，造成合同履行不能或延时，由双方协商解决。</w:t>
      </w:r>
    </w:p>
    <w:p>
      <w:pPr>
        <w:spacing w:line="288" w:lineRule="auto"/>
        <w:ind w:firstLine="491" w:firstLineChars="233"/>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五、变更</w:t>
      </w:r>
    </w:p>
    <w:p>
      <w:pPr>
        <w:spacing w:line="288" w:lineRule="auto"/>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本合同任何条款的变更及修改须经双方同意，采用书面形式改动，包括但不限于直接修改合同、重签合同、签订补充合同等形式。</w:t>
      </w:r>
    </w:p>
    <w:p>
      <w:pPr>
        <w:spacing w:line="288" w:lineRule="auto"/>
        <w:ind w:firstLine="491" w:firstLineChars="233"/>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六、关于法律适用和争议解决</w:t>
      </w:r>
    </w:p>
    <w:p>
      <w:pPr>
        <w:spacing w:line="288" w:lineRule="auto"/>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6.1 本合同的执行和争议的解决应适用中华人民共和国的法律并按照中华人民共和国的法律进行解释。</w:t>
      </w:r>
    </w:p>
    <w:p>
      <w:pPr>
        <w:spacing w:line="288" w:lineRule="auto"/>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6.2 因本合同而产生的或与本合同有关的任何争议由双方协商解决，协商不成，应提交需方所在地法院起诉。</w:t>
      </w:r>
    </w:p>
    <w:p>
      <w:pPr>
        <w:spacing w:line="288"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七、送达地址确认</w:t>
      </w:r>
    </w:p>
    <w:p>
      <w:pPr>
        <w:spacing w:line="288" w:lineRule="auto"/>
        <w:ind w:firstLine="489" w:firstLineChars="233"/>
        <w:jc w:val="both"/>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供方确定下列地址为文书送达地址，按照下列任一地址送达诉讼文书、供货订单、通知等其他各类文书的，视为供方签收；供方拒收或其他原因送达不到的，则发出诉讼文书、供货订单、通知等其他各类文书之日起的第</w:t>
      </w:r>
      <w:r>
        <w:rPr>
          <w:rFonts w:hint="eastAsia" w:asciiTheme="minorEastAsia" w:hAnsiTheme="minorEastAsia" w:eastAsiaTheme="minorEastAsia" w:cstheme="minorEastAsia"/>
          <w:bCs/>
          <w:sz w:val="21"/>
          <w:szCs w:val="21"/>
          <w:u w:val="single"/>
        </w:rPr>
        <w:t>10</w:t>
      </w:r>
      <w:r>
        <w:rPr>
          <w:rFonts w:hint="eastAsia" w:asciiTheme="minorEastAsia" w:hAnsiTheme="minorEastAsia" w:eastAsiaTheme="minorEastAsia" w:cstheme="minorEastAsia"/>
          <w:bCs/>
          <w:sz w:val="21"/>
          <w:szCs w:val="21"/>
        </w:rPr>
        <w:t>日视为送达对方之日。</w:t>
      </w:r>
    </w:p>
    <w:p>
      <w:pPr>
        <w:spacing w:line="288" w:lineRule="auto"/>
        <w:ind w:firstLine="489" w:firstLineChars="233"/>
        <w:jc w:val="both"/>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供方如需变更约定送达地址，应将变更后的送达地址通知需方；未通知需方变更的，原约定送达地址仍为有效送达地址。</w:t>
      </w:r>
    </w:p>
    <w:tbl>
      <w:tblPr>
        <w:tblStyle w:val="24"/>
        <w:tblW w:w="0" w:type="auto"/>
        <w:tblInd w:w="7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60"/>
        <w:gridCol w:w="5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0" w:type="dxa"/>
            <w:tcBorders>
              <w:top w:val="nil"/>
              <w:left w:val="nil"/>
              <w:bottom w:val="nil"/>
              <w:right w:val="nil"/>
            </w:tcBorders>
          </w:tcPr>
          <w:p>
            <w:pPr>
              <w:spacing w:line="288" w:lineRule="auto"/>
              <w:jc w:val="righ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供方经营地址：</w:t>
            </w:r>
          </w:p>
        </w:tc>
        <w:tc>
          <w:tcPr>
            <w:tcW w:w="5080" w:type="dxa"/>
            <w:tcBorders>
              <w:top w:val="nil"/>
              <w:left w:val="nil"/>
              <w:right w:val="nil"/>
            </w:tcBorders>
          </w:tcPr>
          <w:p>
            <w:pPr>
              <w:spacing w:line="288" w:lineRule="auto"/>
              <w:rPr>
                <w:rFonts w:asciiTheme="minorEastAsia" w:hAnsiTheme="minorEastAsia" w:eastAsiaTheme="minorEastAsia" w:cstheme="minorEastAsia"/>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0" w:type="dxa"/>
            <w:tcBorders>
              <w:top w:val="nil"/>
              <w:left w:val="nil"/>
              <w:bottom w:val="nil"/>
              <w:right w:val="nil"/>
            </w:tcBorders>
          </w:tcPr>
          <w:p>
            <w:pPr>
              <w:spacing w:line="288" w:lineRule="auto"/>
              <w:jc w:val="righ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供方传真号码：</w:t>
            </w:r>
          </w:p>
        </w:tc>
        <w:tc>
          <w:tcPr>
            <w:tcW w:w="5080" w:type="dxa"/>
            <w:tcBorders>
              <w:left w:val="nil"/>
              <w:right w:val="nil"/>
            </w:tcBorders>
          </w:tcPr>
          <w:p>
            <w:pPr>
              <w:spacing w:line="288" w:lineRule="auto"/>
              <w:rPr>
                <w:rFonts w:asciiTheme="minorEastAsia" w:hAnsiTheme="minorEastAsia" w:eastAsiaTheme="minorEastAsia" w:cstheme="minorEastAsia"/>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0" w:type="dxa"/>
            <w:tcBorders>
              <w:top w:val="nil"/>
              <w:left w:val="nil"/>
              <w:bottom w:val="nil"/>
              <w:right w:val="nil"/>
            </w:tcBorders>
          </w:tcPr>
          <w:p>
            <w:pPr>
              <w:spacing w:line="288" w:lineRule="auto"/>
              <w:jc w:val="righ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供方邮箱地址：</w:t>
            </w:r>
          </w:p>
        </w:tc>
        <w:tc>
          <w:tcPr>
            <w:tcW w:w="5080" w:type="dxa"/>
            <w:tcBorders>
              <w:left w:val="nil"/>
              <w:right w:val="nil"/>
            </w:tcBorders>
          </w:tcPr>
          <w:p>
            <w:pPr>
              <w:spacing w:line="288" w:lineRule="auto"/>
              <w:rPr>
                <w:rFonts w:asciiTheme="minorEastAsia" w:hAnsiTheme="minorEastAsia" w:eastAsiaTheme="minorEastAsia" w:cstheme="minorEastAsia"/>
                <w:bCs/>
                <w:sz w:val="21"/>
                <w:szCs w:val="21"/>
              </w:rPr>
            </w:pPr>
          </w:p>
        </w:tc>
      </w:tr>
    </w:tbl>
    <w:p>
      <w:pPr>
        <w:spacing w:line="288"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八、其他</w:t>
      </w:r>
    </w:p>
    <w:p>
      <w:pPr>
        <w:spacing w:line="288" w:lineRule="auto"/>
        <w:ind w:firstLine="489" w:firstLineChars="233"/>
        <w:jc w:val="both"/>
        <w:rPr>
          <w:rFonts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8.1本合同中“项目其他文件”系指本合同首部载明的采购项目的招标（采购）文件、澄清表（函）、投标（响应）文件（含特殊承诺）、中标（成交）通知书等，这些文件均为本合同不可分割的部分。前述文件之间若发生抵触，应以以下优先顺序为准：</w:t>
      </w:r>
      <w:r>
        <w:rPr>
          <w:rFonts w:hint="eastAsia" w:asciiTheme="minorEastAsia" w:hAnsiTheme="minorEastAsia" w:eastAsiaTheme="minorEastAsia" w:cstheme="minorEastAsia"/>
          <w:sz w:val="21"/>
          <w:szCs w:val="21"/>
          <w:u w:val="single"/>
        </w:rPr>
        <w:t>本合同签订后双方拟定的书面补充合同、本合同、投标时的特殊承诺函、澄清文件、投标（响应）文件、招标（采购）文件。</w:t>
      </w:r>
    </w:p>
    <w:p>
      <w:pPr>
        <w:spacing w:line="288" w:lineRule="auto"/>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8.2 如有未尽事宜，由双方依法订立书面补充合同。</w:t>
      </w:r>
    </w:p>
    <w:p>
      <w:pPr>
        <w:spacing w:line="288" w:lineRule="auto"/>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8.3本合同一式七份，供方一份，需方六份（采招中心一份，设备处三份，用户单位两份），自双方法定代表人或授权代表人签字或盖章并加盖合同专用章后生效，每份具有同等法律效力。</w:t>
      </w:r>
    </w:p>
    <w:p>
      <w:pPr>
        <w:spacing w:line="288" w:lineRule="auto"/>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-----------------------------以下无正文--------------------------------</w:t>
      </w:r>
    </w:p>
    <w:p>
      <w:pPr>
        <w:spacing w:line="288" w:lineRule="auto"/>
        <w:jc w:val="center"/>
        <w:rPr>
          <w:rFonts w:asciiTheme="minorEastAsia" w:hAnsiTheme="minorEastAsia" w:eastAsiaTheme="minorEastAsia" w:cstheme="minorEastAsia"/>
          <w:sz w:val="21"/>
          <w:szCs w:val="21"/>
        </w:rPr>
      </w:pPr>
    </w:p>
    <w:tbl>
      <w:tblPr>
        <w:tblStyle w:val="24"/>
        <w:tblW w:w="0" w:type="auto"/>
        <w:jc w:val="center"/>
        <w:tblLayout w:type="fixed"/>
        <w:tblCellMar>
          <w:top w:w="0" w:type="dxa"/>
          <w:left w:w="108" w:type="dxa"/>
          <w:bottom w:w="0" w:type="dxa"/>
          <w:right w:w="108" w:type="dxa"/>
        </w:tblCellMar>
      </w:tblPr>
      <w:tblGrid>
        <w:gridCol w:w="1520"/>
        <w:gridCol w:w="3461"/>
        <w:gridCol w:w="4981"/>
      </w:tblGrid>
      <w:tr>
        <w:tblPrEx>
          <w:tblCellMar>
            <w:top w:w="0" w:type="dxa"/>
            <w:left w:w="108" w:type="dxa"/>
            <w:bottom w:w="0" w:type="dxa"/>
            <w:right w:w="108" w:type="dxa"/>
          </w:tblCellMar>
        </w:tblPrEx>
        <w:trPr>
          <w:cantSplit/>
          <w:jc w:val="center"/>
        </w:trPr>
        <w:tc>
          <w:tcPr>
            <w:tcW w:w="4981" w:type="dxa"/>
            <w:gridSpan w:val="2"/>
          </w:tcPr>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供方（盖章）：</w:t>
            </w:r>
          </w:p>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w:t>
            </w:r>
          </w:p>
        </w:tc>
        <w:tc>
          <w:tcPr>
            <w:tcW w:w="4981" w:type="dxa"/>
          </w:tcPr>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需方（盖章）：西南大学</w:t>
            </w:r>
          </w:p>
          <w:p>
            <w:pPr>
              <w:rPr>
                <w:rFonts w:asciiTheme="minorEastAsia" w:hAnsiTheme="minorEastAsia" w:eastAsiaTheme="minorEastAsia" w:cstheme="minorEastAsia"/>
                <w:sz w:val="21"/>
                <w:szCs w:val="21"/>
              </w:rPr>
            </w:pPr>
          </w:p>
        </w:tc>
      </w:tr>
      <w:tr>
        <w:tblPrEx>
          <w:tblCellMar>
            <w:top w:w="0" w:type="dxa"/>
            <w:left w:w="108" w:type="dxa"/>
            <w:bottom w:w="0" w:type="dxa"/>
            <w:right w:w="108" w:type="dxa"/>
          </w:tblCellMar>
        </w:tblPrEx>
        <w:trPr>
          <w:cantSplit/>
          <w:jc w:val="center"/>
        </w:trPr>
        <w:tc>
          <w:tcPr>
            <w:tcW w:w="4981" w:type="dxa"/>
            <w:gridSpan w:val="2"/>
          </w:tcPr>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统一社会信用代码：</w:t>
            </w:r>
          </w:p>
        </w:tc>
        <w:tc>
          <w:tcPr>
            <w:tcW w:w="4981" w:type="dxa"/>
          </w:tcPr>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法定代表人：张卫国</w:t>
            </w:r>
          </w:p>
        </w:tc>
      </w:tr>
      <w:tr>
        <w:tblPrEx>
          <w:tblCellMar>
            <w:top w:w="0" w:type="dxa"/>
            <w:left w:w="108" w:type="dxa"/>
            <w:bottom w:w="0" w:type="dxa"/>
            <w:right w:w="108" w:type="dxa"/>
          </w:tblCellMar>
        </w:tblPrEx>
        <w:trPr>
          <w:cantSplit/>
          <w:jc w:val="center"/>
        </w:trPr>
        <w:tc>
          <w:tcPr>
            <w:tcW w:w="4981" w:type="dxa"/>
            <w:gridSpan w:val="2"/>
          </w:tcPr>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银行账号：</w:t>
            </w:r>
          </w:p>
        </w:tc>
        <w:tc>
          <w:tcPr>
            <w:tcW w:w="4981" w:type="dxa"/>
          </w:tcPr>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地址：重庆市北碚区天生路2号</w:t>
            </w:r>
          </w:p>
        </w:tc>
      </w:tr>
      <w:tr>
        <w:tblPrEx>
          <w:tblCellMar>
            <w:top w:w="0" w:type="dxa"/>
            <w:left w:w="108" w:type="dxa"/>
            <w:bottom w:w="0" w:type="dxa"/>
            <w:right w:w="108" w:type="dxa"/>
          </w:tblCellMar>
        </w:tblPrEx>
        <w:trPr>
          <w:cantSplit/>
          <w:jc w:val="center"/>
        </w:trPr>
        <w:tc>
          <w:tcPr>
            <w:tcW w:w="4981" w:type="dxa"/>
            <w:gridSpan w:val="2"/>
          </w:tcPr>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注册地址：</w:t>
            </w:r>
          </w:p>
        </w:tc>
        <w:tc>
          <w:tcPr>
            <w:tcW w:w="4981" w:type="dxa"/>
          </w:tcPr>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邮编:400715</w:t>
            </w:r>
          </w:p>
        </w:tc>
      </w:tr>
      <w:tr>
        <w:tblPrEx>
          <w:tblCellMar>
            <w:top w:w="0" w:type="dxa"/>
            <w:left w:w="108" w:type="dxa"/>
            <w:bottom w:w="0" w:type="dxa"/>
            <w:right w:w="108" w:type="dxa"/>
          </w:tblCellMar>
        </w:tblPrEx>
        <w:trPr>
          <w:cantSplit/>
          <w:jc w:val="center"/>
        </w:trPr>
        <w:tc>
          <w:tcPr>
            <w:tcW w:w="4981" w:type="dxa"/>
            <w:gridSpan w:val="2"/>
          </w:tcPr>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公司电话：</w:t>
            </w:r>
          </w:p>
        </w:tc>
        <w:tc>
          <w:tcPr>
            <w:tcW w:w="4981" w:type="dxa"/>
          </w:tcPr>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授权代表人（签字）：</w:t>
            </w:r>
            <w:r>
              <w:rPr>
                <w:rFonts w:hint="eastAsia" w:asciiTheme="minorEastAsia" w:hAnsiTheme="minorEastAsia" w:eastAsiaTheme="minorEastAsia" w:cstheme="minorEastAsia"/>
                <w:vanish/>
                <w:sz w:val="21"/>
                <w:szCs w:val="21"/>
              </w:rPr>
              <w:t>(二级单位主要负责人)</w:t>
            </w:r>
          </w:p>
        </w:tc>
      </w:tr>
      <w:tr>
        <w:tblPrEx>
          <w:tblCellMar>
            <w:top w:w="0" w:type="dxa"/>
            <w:left w:w="108" w:type="dxa"/>
            <w:bottom w:w="0" w:type="dxa"/>
            <w:right w:w="108" w:type="dxa"/>
          </w:tblCellMar>
        </w:tblPrEx>
        <w:trPr>
          <w:cantSplit/>
          <w:jc w:val="center"/>
          <w:hidden/>
        </w:trPr>
        <w:tc>
          <w:tcPr>
            <w:tcW w:w="1520" w:type="dxa"/>
          </w:tcPr>
          <w:p>
            <w:pPr>
              <w:wordWrap w:val="0"/>
              <w:spacing w:line="440" w:lineRule="exact"/>
              <w:ind w:right="-120" w:rightChars="-50"/>
              <w:rPr>
                <w:rFonts w:asciiTheme="minorEastAsia" w:hAnsiTheme="minorEastAsia" w:eastAsiaTheme="minorEastAsia" w:cstheme="minorEastAsia"/>
                <w:vanish/>
                <w:sz w:val="21"/>
                <w:szCs w:val="21"/>
              </w:rPr>
            </w:pPr>
            <w:r>
              <w:rPr>
                <w:rFonts w:hint="eastAsia" w:asciiTheme="minorEastAsia" w:hAnsiTheme="minorEastAsia" w:eastAsiaTheme="minorEastAsia" w:cstheme="minorEastAsia"/>
                <w:vanish/>
                <w:sz w:val="21"/>
                <w:szCs w:val="21"/>
              </w:rPr>
              <w:t>授权代表人</w:t>
            </w:r>
          </w:p>
        </w:tc>
        <w:tc>
          <w:tcPr>
            <w:tcW w:w="3461" w:type="dxa"/>
            <w:vAlign w:val="center"/>
          </w:tcPr>
          <w:p>
            <w:pPr>
              <w:spacing w:line="440" w:lineRule="exact"/>
              <w:ind w:left="-120" w:leftChars="-50"/>
              <w:rPr>
                <w:rFonts w:asciiTheme="minorEastAsia" w:hAnsiTheme="minorEastAsia" w:eastAsiaTheme="minorEastAsia" w:cstheme="minorEastAsia"/>
                <w:vanish/>
                <w:sz w:val="21"/>
                <w:szCs w:val="21"/>
              </w:rPr>
            </w:pPr>
            <w:r>
              <w:rPr>
                <w:rFonts w:hint="eastAsia" w:asciiTheme="minorEastAsia" w:hAnsiTheme="minorEastAsia" w:eastAsiaTheme="minorEastAsia" w:cstheme="minorEastAsia"/>
                <w:vanish/>
                <w:sz w:val="21"/>
                <w:szCs w:val="21"/>
              </w:rPr>
              <w:t>（签字）：</w:t>
            </w:r>
          </w:p>
        </w:tc>
        <w:tc>
          <w:tcPr>
            <w:tcW w:w="4981" w:type="dxa"/>
            <w:vAlign w:val="center"/>
          </w:tcPr>
          <w:p>
            <w:pPr>
              <w:spacing w:line="440" w:lineRule="exact"/>
              <w:rPr>
                <w:rFonts w:asciiTheme="minorEastAsia" w:hAnsiTheme="minorEastAsia" w:eastAsiaTheme="minorEastAsia" w:cstheme="minorEastAsia"/>
                <w:sz w:val="21"/>
                <w:szCs w:val="21"/>
              </w:rPr>
            </w:pPr>
          </w:p>
        </w:tc>
      </w:tr>
      <w:tr>
        <w:tblPrEx>
          <w:tblCellMar>
            <w:top w:w="0" w:type="dxa"/>
            <w:left w:w="108" w:type="dxa"/>
            <w:bottom w:w="0" w:type="dxa"/>
            <w:right w:w="108" w:type="dxa"/>
          </w:tblCellMar>
        </w:tblPrEx>
        <w:trPr>
          <w:cantSplit/>
          <w:jc w:val="center"/>
        </w:trPr>
        <w:tc>
          <w:tcPr>
            <w:tcW w:w="4981" w:type="dxa"/>
            <w:gridSpan w:val="2"/>
          </w:tcPr>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签约日期：      年     月     日</w:t>
            </w:r>
          </w:p>
        </w:tc>
        <w:tc>
          <w:tcPr>
            <w:tcW w:w="4981" w:type="dxa"/>
          </w:tcPr>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签约日期：      年     月     日</w:t>
            </w:r>
          </w:p>
        </w:tc>
      </w:tr>
    </w:tbl>
    <w:p>
      <w:pPr>
        <w:spacing w:line="288" w:lineRule="auto"/>
        <w:rPr>
          <w:rFonts w:asciiTheme="minorEastAsia" w:hAnsiTheme="minorEastAsia" w:eastAsiaTheme="minorEastAsia" w:cstheme="minorEastAsia"/>
          <w:sz w:val="21"/>
          <w:szCs w:val="21"/>
        </w:rPr>
      </w:pPr>
    </w:p>
    <w:p>
      <w:pPr>
        <w:spacing w:line="360" w:lineRule="auto"/>
        <w:rPr>
          <w:rFonts w:asciiTheme="minorEastAsia" w:hAnsiTheme="minorEastAsia" w:eastAsiaTheme="minorEastAsia" w:cstheme="minorEastAsia"/>
        </w:rPr>
      </w:pPr>
    </w:p>
    <w:p>
      <w:pPr>
        <w:spacing w:line="460" w:lineRule="exact"/>
        <w:ind w:firstLine="482" w:firstLineChars="200"/>
        <w:rPr>
          <w:rFonts w:asciiTheme="minorEastAsia" w:hAnsiTheme="minorEastAsia" w:eastAsiaTheme="minorEastAsia" w:cstheme="minorEastAsia"/>
          <w:b/>
        </w:rPr>
      </w:pPr>
      <w:r>
        <w:rPr>
          <w:rFonts w:hint="eastAsia" w:asciiTheme="minorEastAsia" w:hAnsiTheme="minorEastAsia" w:eastAsiaTheme="minorEastAsia" w:cstheme="minorEastAsia"/>
          <w:b/>
        </w:rPr>
        <w:t>注：合同签订流程详见</w:t>
      </w:r>
      <w:r>
        <w:fldChar w:fldCharType="begin"/>
      </w:r>
      <w:r>
        <w:instrText xml:space="preserve"> HYPERLINK "http://sysbc.swu.edu.cn/s/sbc/sbgl/20171011/1983989.html" </w:instrText>
      </w:r>
      <w:r>
        <w:fldChar w:fldCharType="separate"/>
      </w:r>
      <w:r>
        <w:rPr>
          <w:rStyle w:val="29"/>
          <w:rFonts w:hint="eastAsia" w:asciiTheme="minorEastAsia" w:hAnsiTheme="minorEastAsia" w:eastAsiaTheme="minorEastAsia" w:cstheme="minorEastAsia"/>
          <w:b/>
          <w:color w:val="auto"/>
        </w:rPr>
        <w:t>http://sysbc.swu.edu.cn/s/sbc/sbgl/20171011/1983989.html</w:t>
      </w:r>
      <w:r>
        <w:rPr>
          <w:rStyle w:val="29"/>
          <w:rFonts w:hint="eastAsia" w:asciiTheme="minorEastAsia" w:hAnsiTheme="minorEastAsia" w:eastAsiaTheme="minorEastAsia" w:cstheme="minorEastAsia"/>
          <w:b/>
          <w:color w:val="auto"/>
        </w:rPr>
        <w:fldChar w:fldCharType="end"/>
      </w:r>
    </w:p>
    <w:p>
      <w:pPr>
        <w:spacing w:line="360" w:lineRule="auto"/>
        <w:jc w:val="center"/>
        <w:rPr>
          <w:rFonts w:asciiTheme="minorEastAsia" w:hAnsiTheme="minorEastAsia" w:eastAsiaTheme="minorEastAsia" w:cstheme="minorEastAsia"/>
          <w:sz w:val="44"/>
          <w:szCs w:val="44"/>
        </w:rPr>
      </w:pPr>
    </w:p>
    <w:p>
      <w:pPr>
        <w:spacing w:line="360" w:lineRule="auto"/>
        <w:jc w:val="center"/>
        <w:rPr>
          <w:rFonts w:asciiTheme="minorEastAsia" w:hAnsiTheme="minorEastAsia" w:eastAsiaTheme="minorEastAsia" w:cstheme="minorEastAsia"/>
          <w:sz w:val="44"/>
          <w:szCs w:val="44"/>
        </w:rPr>
      </w:pPr>
    </w:p>
    <w:p>
      <w:pPr>
        <w:spacing w:line="360" w:lineRule="auto"/>
        <w:jc w:val="center"/>
        <w:rPr>
          <w:rFonts w:asciiTheme="minorEastAsia" w:hAnsiTheme="minorEastAsia" w:eastAsiaTheme="minorEastAsia" w:cstheme="minorEastAsia"/>
          <w:sz w:val="44"/>
          <w:szCs w:val="44"/>
        </w:rPr>
      </w:pPr>
    </w:p>
    <w:p>
      <w:pPr>
        <w:spacing w:line="360" w:lineRule="auto"/>
        <w:jc w:val="center"/>
        <w:rPr>
          <w:rFonts w:asciiTheme="minorEastAsia" w:hAnsiTheme="minorEastAsia" w:eastAsiaTheme="minorEastAsia" w:cstheme="minorEastAsia"/>
          <w:sz w:val="44"/>
          <w:szCs w:val="44"/>
        </w:rPr>
      </w:pPr>
    </w:p>
    <w:p>
      <w:pPr>
        <w:spacing w:line="360" w:lineRule="auto"/>
        <w:jc w:val="center"/>
        <w:rPr>
          <w:rFonts w:asciiTheme="minorEastAsia" w:hAnsiTheme="minorEastAsia" w:eastAsiaTheme="minorEastAsia" w:cstheme="minorEastAsia"/>
          <w:sz w:val="44"/>
          <w:szCs w:val="44"/>
        </w:rPr>
      </w:pPr>
    </w:p>
    <w:p>
      <w:pPr>
        <w:spacing w:line="360" w:lineRule="auto"/>
        <w:jc w:val="center"/>
        <w:rPr>
          <w:rFonts w:asciiTheme="minorEastAsia" w:hAnsiTheme="minorEastAsia" w:eastAsiaTheme="minorEastAsia" w:cstheme="minorEastAsia"/>
          <w:sz w:val="44"/>
          <w:szCs w:val="44"/>
        </w:rPr>
      </w:pPr>
    </w:p>
    <w:p>
      <w:pPr>
        <w:spacing w:line="360" w:lineRule="auto"/>
        <w:jc w:val="center"/>
        <w:rPr>
          <w:rFonts w:asciiTheme="minorEastAsia" w:hAnsiTheme="minorEastAsia" w:eastAsiaTheme="minorEastAsia" w:cstheme="minorEastAsia"/>
          <w:sz w:val="44"/>
          <w:szCs w:val="44"/>
        </w:rPr>
      </w:pPr>
    </w:p>
    <w:p>
      <w:pPr>
        <w:spacing w:line="360" w:lineRule="auto"/>
        <w:jc w:val="center"/>
        <w:rPr>
          <w:rFonts w:asciiTheme="minorEastAsia" w:hAnsiTheme="minorEastAsia" w:eastAsiaTheme="minorEastAsia" w:cstheme="minorEastAsia"/>
          <w:sz w:val="44"/>
          <w:szCs w:val="44"/>
        </w:rPr>
      </w:pPr>
    </w:p>
    <w:p>
      <w:pPr>
        <w:spacing w:line="360" w:lineRule="auto"/>
        <w:jc w:val="center"/>
        <w:rPr>
          <w:rFonts w:asciiTheme="minorEastAsia" w:hAnsiTheme="minorEastAsia" w:eastAsiaTheme="minorEastAsia" w:cstheme="minorEastAsia"/>
          <w:sz w:val="44"/>
          <w:szCs w:val="44"/>
        </w:rPr>
      </w:pPr>
    </w:p>
    <w:p>
      <w:pPr>
        <w:spacing w:line="360" w:lineRule="auto"/>
        <w:jc w:val="center"/>
        <w:rPr>
          <w:rFonts w:asciiTheme="minorEastAsia" w:hAnsiTheme="minorEastAsia" w:eastAsiaTheme="minorEastAsia" w:cstheme="minorEastAsia"/>
          <w:sz w:val="44"/>
          <w:szCs w:val="44"/>
        </w:rPr>
      </w:pPr>
    </w:p>
    <w:p>
      <w:pPr>
        <w:spacing w:line="360" w:lineRule="auto"/>
        <w:jc w:val="center"/>
        <w:rPr>
          <w:rFonts w:asciiTheme="minorEastAsia" w:hAnsiTheme="minorEastAsia" w:eastAsiaTheme="minorEastAsia" w:cstheme="minorEastAsia"/>
          <w:sz w:val="44"/>
          <w:szCs w:val="44"/>
        </w:rPr>
      </w:pPr>
    </w:p>
    <w:p>
      <w:pPr>
        <w:spacing w:line="360" w:lineRule="auto"/>
        <w:jc w:val="center"/>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异地清关风险提示及承诺书</w:t>
      </w:r>
    </w:p>
    <w:p>
      <w:pPr>
        <w:spacing w:line="360" w:lineRule="auto"/>
        <w:ind w:firstLine="482" w:firstLineChars="200"/>
        <w:rPr>
          <w:rFonts w:asciiTheme="minorEastAsia" w:hAnsiTheme="minorEastAsia" w:eastAsiaTheme="minorEastAsia" w:cstheme="minorEastAsia"/>
          <w:b/>
        </w:rPr>
      </w:pPr>
      <w:r>
        <w:rPr>
          <w:rFonts w:hint="eastAsia" w:asciiTheme="minorEastAsia" w:hAnsiTheme="minorEastAsia" w:eastAsiaTheme="minorEastAsia" w:cstheme="minorEastAsia"/>
          <w:b/>
        </w:rPr>
        <w:t>货物异地（ 异地保税区 ）清关可能造成的风险 ：</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1、异地清关可能导致不同海关对同一商品的认定存在差异，即异地海关不认同我校所在地海关对商品的认定和归类，从而导致货物没办法清关；</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2、如在保税区特别是异地保税区清关，供应商可能在向海关申报时，把走私货物夹带到我校申报的货物中，该行为一经海关查出，我校和外贸公司可能被追究相关刑事责任，并取消我校申请免税的资格。</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3、货物异地清关，货物从异地到重庆用户处运输和保险均由供应商负责，外贸公司无法监督发货时间和保证货物的安全性。</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4、异地清关需要在重庆办好免税证后再邮寄单证至异地，常常导致无法及时清出货物和造成时间的拖延，产生滞报、仓储等相关费用。</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5、异地保税区进货均为大批量货物，而我校采购的货物为小额数量，即供应商有可能无法提供货物入境海关备案清单（清单上有供应商对外采购货物底价），导致外贸公司无法进行付汇核销，进而无法（或在规定期限内）跟用户老师进行结算。</w:t>
      </w:r>
    </w:p>
    <w:p>
      <w:pPr>
        <w:spacing w:line="360" w:lineRule="auto"/>
        <w:ind w:firstLine="600" w:firstLineChars="250"/>
        <w:jc w:val="both"/>
        <w:rPr>
          <w:rFonts w:asciiTheme="minorEastAsia" w:hAnsiTheme="minorEastAsia" w:eastAsiaTheme="minorEastAsia" w:cstheme="minorEastAsia"/>
        </w:rPr>
      </w:pPr>
      <w:r>
        <w:rPr>
          <w:rFonts w:hint="eastAsia" w:asciiTheme="minorEastAsia" w:hAnsiTheme="minorEastAsia" w:eastAsiaTheme="minorEastAsia" w:cstheme="minorEastAsia"/>
        </w:rPr>
        <w:t>6、保税区内可以对货物进行组装加工，用户采购的货物可能被供应商在异地保税区内进行重组加工再发出（非保税区内禁止对货物进行拆箱，海关查货除外）。</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甲方：本人已经知悉上述异地清关的风险，有意外情况及时报告学校职能部门，并接受由于异地清关可能造成的到货时间延误、结算拖延，接受重庆海关已批准的免税而异地海关有可能不认可而导致的征税进口的情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甲方用户代表签名：</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（用户单位盖章）</w:t>
      </w:r>
    </w:p>
    <w:p>
      <w:pPr>
        <w:spacing w:line="360" w:lineRule="auto"/>
        <w:rPr>
          <w:rFonts w:asciiTheme="minorEastAsia" w:hAnsiTheme="minorEastAsia" w:eastAsiaTheme="minorEastAsia" w:cstheme="minorEastAsia"/>
        </w:rPr>
      </w:pPr>
    </w:p>
    <w:p>
      <w:pPr>
        <w:spacing w:line="360" w:lineRule="auto"/>
        <w:ind w:firstLine="600" w:firstLineChars="250"/>
        <w:jc w:val="both"/>
        <w:rPr>
          <w:rFonts w:asciiTheme="minorEastAsia" w:hAnsiTheme="minorEastAsia" w:eastAsiaTheme="minorEastAsia" w:cstheme="minorEastAsia"/>
        </w:rPr>
      </w:pPr>
      <w:r>
        <w:rPr>
          <w:rFonts w:hint="eastAsia" w:asciiTheme="minorEastAsia" w:hAnsiTheme="minorEastAsia" w:eastAsiaTheme="minorEastAsia" w:cstheme="minorEastAsia"/>
        </w:rPr>
        <w:t>乙方：乙方已经知悉上述异地清关可能造成的风险，保证不发生上述第 2、6 条的情况，对上述第 1、3、4、5 条愿意承担由于异地（异地保税区）清关可能造成的货物无法清关、清关延误、海关查处等相关责任，并负责由此产生的相关费用。</w:t>
      </w:r>
    </w:p>
    <w:p>
      <w:pPr>
        <w:spacing w:line="360" w:lineRule="auto"/>
        <w:ind w:firstLine="600" w:firstLineChars="250"/>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乙方法定代表人（授权代表）签名：</w:t>
      </w:r>
    </w:p>
    <w:p>
      <w:pPr>
        <w:spacing w:line="360" w:lineRule="auto"/>
        <w:jc w:val="center"/>
        <w:rPr>
          <w:rFonts w:asciiTheme="minorEastAsia" w:hAnsiTheme="minorEastAsia" w:eastAsiaTheme="minorEastAsia" w:cstheme="minorEastAsia"/>
          <w:b/>
          <w:sz w:val="44"/>
          <w:szCs w:val="44"/>
        </w:rPr>
      </w:pPr>
    </w:p>
    <w:p>
      <w:pPr>
        <w:spacing w:line="360" w:lineRule="auto"/>
        <w:jc w:val="center"/>
        <w:rPr>
          <w:rFonts w:asciiTheme="minorEastAsia" w:hAnsiTheme="minorEastAsia" w:eastAsiaTheme="minorEastAsia" w:cstheme="minorEastAsia"/>
          <w:b/>
          <w:sz w:val="44"/>
          <w:szCs w:val="44"/>
        </w:rPr>
      </w:pPr>
      <w:r>
        <w:rPr>
          <w:rFonts w:hint="eastAsia" w:asciiTheme="minorEastAsia" w:hAnsiTheme="minorEastAsia" w:eastAsiaTheme="minorEastAsia" w:cstheme="minorEastAsia"/>
          <w:b/>
          <w:sz w:val="44"/>
          <w:szCs w:val="44"/>
        </w:rPr>
        <w:t>签订协议书注意事项</w:t>
      </w:r>
    </w:p>
    <w:p>
      <w:pPr>
        <w:spacing w:line="360" w:lineRule="auto"/>
        <w:jc w:val="center"/>
        <w:rPr>
          <w:rFonts w:asciiTheme="minorEastAsia" w:hAnsiTheme="minorEastAsia" w:eastAsiaTheme="minorEastAsia" w:cstheme="minorEastAsia"/>
        </w:rPr>
      </w:pP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1、学校指定的外贸代理公司将参照本协议书签订外贸合同，协议书中的条款与外贸合同的相关条款严格一致（详见外贸合同模版），请仔细阅读具体条款。</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2、招标采购的中标公司在签订协议书时应提供中文产品说明彩页一式三份。</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3、提供的三份中文产品说明书主要用于办理免税及清关，说明书与协议书上首页及配置清单中的货物</w:t>
      </w:r>
      <w:r>
        <w:rPr>
          <w:rFonts w:hint="eastAsia" w:asciiTheme="minorEastAsia" w:hAnsiTheme="minorEastAsia" w:eastAsiaTheme="minorEastAsia" w:cstheme="minorEastAsia"/>
          <w:b/>
        </w:rPr>
        <w:t>名称</w:t>
      </w:r>
      <w:r>
        <w:rPr>
          <w:rFonts w:hint="eastAsia" w:asciiTheme="minorEastAsia" w:hAnsiTheme="minorEastAsia" w:eastAsiaTheme="minorEastAsia" w:cstheme="minorEastAsia"/>
        </w:rPr>
        <w:t>和</w:t>
      </w:r>
      <w:r>
        <w:rPr>
          <w:rFonts w:hint="eastAsia" w:asciiTheme="minorEastAsia" w:hAnsiTheme="minorEastAsia" w:eastAsiaTheme="minorEastAsia" w:cstheme="minorEastAsia"/>
          <w:b/>
        </w:rPr>
        <w:t>型号</w:t>
      </w:r>
      <w:r>
        <w:rPr>
          <w:rFonts w:hint="eastAsia" w:asciiTheme="minorEastAsia" w:hAnsiTheme="minorEastAsia" w:eastAsiaTheme="minorEastAsia" w:cstheme="minorEastAsia"/>
        </w:rPr>
        <w:t xml:space="preserve">必须一致，并含有该产品彩色外观图片(需√出)，如只有外文的，应附中文翻译。若说明书为供应商自行制作的彩色打印版，需要加盖供应商骑缝章并交学校用户每一页签名。 </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4、随同购置的附件或配件应列入清单中，不要列在第一页表格中。货物名称及清单应有中文，并且须列明具体数量和单位，国内交货部分要注明。配置清单中货物数量单位为“套”时，应列明“套”内具体货物清单。清单须按照招标结果核对确认并签名。</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5、办理软件免税进口必须含有该软件的安装介质。</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6、甲方“ 用户单位负责人”是指专项经费负责人；学院主管该经费、项目的院长；科研经费的经费负责人。</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甲方联系人 ：是指后续合同跟进、办理免税等工作的单位办事人员。</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7、编号由甲方职能部门编写。“□”代表选择项，选定后删掉其它项。</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8、正式协议书签字盖章前，须先将双方拟定的电子版本发给职能部门初审。</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联系人及电话: 李老师  023-68366150</w:t>
      </w:r>
    </w:p>
    <w:p>
      <w:pPr>
        <w:spacing w:line="360" w:lineRule="auto"/>
        <w:ind w:firstLine="480" w:firstLineChars="200"/>
        <w:jc w:val="both"/>
        <w:rPr>
          <w:rFonts w:asciiTheme="minorEastAsia" w:hAnsiTheme="minorEastAsia" w:eastAsiaTheme="minorEastAsia" w:cstheme="minorEastAsia"/>
        </w:rPr>
      </w:pPr>
    </w:p>
    <w:p>
      <w:pPr>
        <w:spacing w:line="360" w:lineRule="auto"/>
        <w:ind w:firstLine="480" w:firstLineChars="200"/>
        <w:rPr>
          <w:rFonts w:asciiTheme="minorEastAsia" w:hAnsiTheme="minorEastAsia" w:eastAsiaTheme="minorEastAsia" w:cstheme="minorEastAsia"/>
        </w:rPr>
      </w:pPr>
    </w:p>
    <w:p>
      <w:pPr>
        <w:rPr>
          <w:rFonts w:asciiTheme="minorEastAsia" w:hAnsiTheme="minorEastAsia" w:eastAsiaTheme="minorEastAsia" w:cstheme="minorEastAsia"/>
        </w:rPr>
      </w:pPr>
      <w:bookmarkStart w:id="135" w:name="_Toc138929560"/>
      <w:bookmarkStart w:id="136" w:name="_Toc497729856"/>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3"/>
        <w:spacing w:before="120" w:after="120"/>
        <w:ind w:left="0" w:firstLine="2209" w:firstLineChars="500"/>
        <w:rPr>
          <w:rFonts w:asciiTheme="minorEastAsia" w:hAnsiTheme="minorEastAsia" w:eastAsiaTheme="minorEastAsia" w:cstheme="minorEastAsia"/>
        </w:rPr>
      </w:pPr>
      <w:r>
        <w:rPr>
          <w:rFonts w:hint="eastAsia" w:asciiTheme="minorEastAsia" w:hAnsiTheme="minorEastAsia" w:eastAsiaTheme="minorEastAsia" w:cstheme="minorEastAsia"/>
        </w:rPr>
        <w:t>第七篇  投标文件格式</w:t>
      </w:r>
      <w:bookmarkEnd w:id="135"/>
      <w:bookmarkEnd w:id="136"/>
    </w:p>
    <w:p>
      <w:pPr>
        <w:spacing w:line="360" w:lineRule="auto"/>
        <w:rPr>
          <w:rFonts w:asciiTheme="minorEastAsia" w:hAnsiTheme="minorEastAsia" w:eastAsiaTheme="minorEastAsia" w:cstheme="minorEastAsia"/>
          <w:sz w:val="28"/>
          <w:szCs w:val="28"/>
        </w:rPr>
      </w:pPr>
    </w:p>
    <w:p>
      <w:pPr>
        <w:spacing w:line="360" w:lineRule="auto"/>
        <w:jc w:val="center"/>
        <w:rPr>
          <w:rFonts w:asciiTheme="minorEastAsia" w:hAnsiTheme="minorEastAsia" w:eastAsiaTheme="minorEastAsia" w:cstheme="minorEastAsia"/>
          <w:sz w:val="28"/>
          <w:szCs w:val="28"/>
        </w:rPr>
      </w:pPr>
      <w:r>
        <w:rPr>
          <w:rFonts w:hint="eastAsia" w:ascii="宋体" w:hAnsi="宋体"/>
          <w:sz w:val="30"/>
          <w:szCs w:val="30"/>
        </w:rPr>
        <w:t>（未规定格式的，由投标人自定）</w:t>
      </w:r>
    </w:p>
    <w:p>
      <w:pPr>
        <w:spacing w:line="360" w:lineRule="auto"/>
        <w:ind w:firstLine="480" w:firstLineChars="200"/>
        <w:rPr>
          <w:rFonts w:asciiTheme="minorEastAsia" w:hAnsiTheme="minorEastAsia" w:eastAsiaTheme="minorEastAsia" w:cstheme="minorEastAsia"/>
        </w:rPr>
      </w:pPr>
    </w:p>
    <w:p>
      <w:pPr>
        <w:spacing w:line="360" w:lineRule="auto"/>
        <w:ind w:firstLine="480" w:firstLineChars="200"/>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adjustRightInd/>
        <w:snapToGrid w:val="0"/>
        <w:spacing w:line="360" w:lineRule="auto"/>
        <w:ind w:firstLine="482" w:firstLineChars="200"/>
        <w:textAlignment w:val="auto"/>
        <w:rPr>
          <w:rFonts w:ascii="宋体" w:hAnsi="宋体"/>
          <w:b/>
          <w:kern w:val="2"/>
        </w:rPr>
      </w:pPr>
      <w:bookmarkStart w:id="137" w:name="_Toc465269277"/>
    </w:p>
    <w:p>
      <w:pPr>
        <w:keepNext/>
        <w:keepLines/>
        <w:pageBreakBefore/>
        <w:snapToGrid w:val="0"/>
        <w:spacing w:line="560" w:lineRule="exact"/>
        <w:jc w:val="center"/>
        <w:textAlignment w:val="auto"/>
        <w:outlineLvl w:val="1"/>
        <w:rPr>
          <w:rFonts w:ascii="宋体" w:hAnsi="宋体"/>
          <w:b/>
          <w:kern w:val="2"/>
          <w:sz w:val="36"/>
          <w:szCs w:val="36"/>
        </w:rPr>
      </w:pPr>
      <w:bookmarkStart w:id="138" w:name="_Toc322965783"/>
      <w:bookmarkStart w:id="139" w:name="_Toc370305019"/>
      <w:bookmarkStart w:id="140" w:name="_Toc418512143"/>
      <w:bookmarkStart w:id="141" w:name="_Toc313883490"/>
      <w:bookmarkStart w:id="142" w:name="_Toc316479515"/>
      <w:r>
        <w:rPr>
          <w:rFonts w:hint="eastAsia" w:ascii="宋体" w:hAnsi="宋体"/>
          <w:b/>
          <w:kern w:val="2"/>
          <w:sz w:val="36"/>
          <w:szCs w:val="36"/>
        </w:rPr>
        <w:t>第</w:t>
      </w:r>
      <w:r>
        <w:rPr>
          <w:rFonts w:ascii="宋体" w:hAnsi="宋体"/>
          <w:b/>
          <w:kern w:val="2"/>
          <w:sz w:val="36"/>
          <w:szCs w:val="36"/>
        </w:rPr>
        <w:t xml:space="preserve">一部分  </w:t>
      </w:r>
      <w:r>
        <w:rPr>
          <w:rFonts w:hint="eastAsia" w:ascii="宋体" w:hAnsi="宋体"/>
          <w:b/>
          <w:kern w:val="2"/>
          <w:sz w:val="36"/>
          <w:szCs w:val="36"/>
        </w:rPr>
        <w:t>资格文件</w:t>
      </w:r>
      <w:bookmarkEnd w:id="138"/>
      <w:bookmarkEnd w:id="139"/>
      <w:bookmarkEnd w:id="140"/>
      <w:bookmarkEnd w:id="141"/>
      <w:bookmarkEnd w:id="142"/>
    </w:p>
    <w:p>
      <w:pPr>
        <w:tabs>
          <w:tab w:val="left" w:pos="7445"/>
        </w:tabs>
        <w:autoSpaceDE w:val="0"/>
        <w:autoSpaceDN w:val="0"/>
        <w:snapToGrid w:val="0"/>
        <w:spacing w:line="360" w:lineRule="auto"/>
        <w:rPr>
          <w:rFonts w:ascii="宋体" w:hAnsi="宋体"/>
          <w:b/>
          <w:szCs w:val="28"/>
          <w:u w:val="single"/>
        </w:rPr>
      </w:pPr>
    </w:p>
    <w:p>
      <w:pPr>
        <w:tabs>
          <w:tab w:val="left" w:pos="7445"/>
        </w:tabs>
        <w:autoSpaceDE w:val="0"/>
        <w:autoSpaceDN w:val="0"/>
        <w:snapToGrid w:val="0"/>
        <w:spacing w:line="480" w:lineRule="auto"/>
        <w:jc w:val="right"/>
        <w:rPr>
          <w:rFonts w:cs="微软雅黑"/>
          <w:b/>
          <w:sz w:val="44"/>
          <w:szCs w:val="44"/>
        </w:rPr>
        <w:sectPr>
          <w:headerReference r:id="rId17" w:type="default"/>
          <w:footerReference r:id="rId18" w:type="default"/>
          <w:pgSz w:w="11906" w:h="16838"/>
          <w:pgMar w:top="1418" w:right="1247" w:bottom="1247" w:left="1418" w:header="851" w:footer="851" w:gutter="0"/>
          <w:cols w:space="720" w:num="1"/>
          <w:docGrid w:linePitch="326" w:charSpace="0"/>
        </w:sectPr>
      </w:pP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资格投标文件封面格式</w:t>
      </w:r>
    </w:p>
    <w:p>
      <w:pPr>
        <w:spacing w:line="360" w:lineRule="auto"/>
        <w:jc w:val="center"/>
        <w:rPr>
          <w:rFonts w:asciiTheme="minorEastAsia" w:hAnsiTheme="minorEastAsia" w:eastAsiaTheme="minorEastAsia" w:cstheme="minorEastAsia"/>
          <w:b/>
          <w:sz w:val="44"/>
          <w:szCs w:val="44"/>
        </w:rPr>
      </w:pPr>
    </w:p>
    <w:p>
      <w:pPr>
        <w:spacing w:line="360" w:lineRule="auto"/>
        <w:jc w:val="center"/>
        <w:rPr>
          <w:rFonts w:asciiTheme="minorEastAsia" w:hAnsiTheme="minorEastAsia" w:eastAsiaTheme="minorEastAsia" w:cstheme="minorEastAsia"/>
          <w:b/>
          <w:sz w:val="52"/>
          <w:szCs w:val="52"/>
        </w:rPr>
      </w:pPr>
      <w:r>
        <w:rPr>
          <w:rFonts w:hint="eastAsia" w:asciiTheme="minorEastAsia" w:hAnsiTheme="minorEastAsia" w:eastAsiaTheme="minorEastAsia" w:cstheme="minorEastAsia"/>
          <w:b/>
          <w:sz w:val="52"/>
          <w:szCs w:val="52"/>
        </w:rPr>
        <w:t>投 标 文 件</w:t>
      </w:r>
    </w:p>
    <w:p>
      <w:pPr>
        <w:spacing w:line="360" w:lineRule="auto"/>
        <w:jc w:val="center"/>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（封面）</w:t>
      </w:r>
    </w:p>
    <w:p>
      <w:pPr>
        <w:spacing w:line="360" w:lineRule="auto"/>
        <w:jc w:val="center"/>
        <w:rPr>
          <w:rFonts w:asciiTheme="minorEastAsia" w:hAnsiTheme="minorEastAsia" w:eastAsiaTheme="minorEastAsia" w:cstheme="minorEastAsia"/>
          <w:sz w:val="28"/>
          <w:szCs w:val="28"/>
        </w:rPr>
      </w:pPr>
    </w:p>
    <w:p>
      <w:pPr>
        <w:spacing w:line="360" w:lineRule="auto"/>
        <w:jc w:val="center"/>
        <w:rPr>
          <w:rFonts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资格文件</w:t>
      </w:r>
    </w:p>
    <w:p>
      <w:pPr>
        <w:spacing w:line="360" w:lineRule="auto"/>
        <w:jc w:val="center"/>
        <w:rPr>
          <w:rFonts w:asciiTheme="minorEastAsia" w:hAnsiTheme="minorEastAsia" w:eastAsiaTheme="minorEastAsia" w:cstheme="minorEastAsia"/>
          <w:sz w:val="28"/>
          <w:szCs w:val="28"/>
        </w:rPr>
      </w:pPr>
    </w:p>
    <w:p>
      <w:pPr>
        <w:spacing w:line="360" w:lineRule="auto"/>
        <w:ind w:firstLine="1820" w:firstLineChars="65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项目名称： </w:t>
      </w:r>
    </w:p>
    <w:p>
      <w:pPr>
        <w:spacing w:line="360" w:lineRule="auto"/>
        <w:ind w:firstLine="1820" w:firstLineChars="650"/>
        <w:rPr>
          <w:rFonts w:asciiTheme="minorEastAsia" w:hAnsiTheme="minorEastAsia" w:eastAsiaTheme="minorEastAsia" w:cstheme="minorEastAsia"/>
          <w:sz w:val="28"/>
          <w:szCs w:val="28"/>
        </w:rPr>
      </w:pPr>
    </w:p>
    <w:p>
      <w:pPr>
        <w:spacing w:line="360" w:lineRule="auto"/>
        <w:ind w:firstLine="1820" w:firstLineChars="650"/>
        <w:rPr>
          <w:rFonts w:asciiTheme="minorEastAsia" w:hAnsiTheme="minorEastAsia" w:eastAsiaTheme="minorEastAsia" w:cstheme="minorEastAsia"/>
        </w:rPr>
      </w:pPr>
      <w:r>
        <w:rPr>
          <w:rFonts w:hint="eastAsia" w:asciiTheme="minorEastAsia" w:hAnsiTheme="minorEastAsia" w:eastAsiaTheme="minorEastAsia" w:cstheme="minorEastAsia"/>
          <w:sz w:val="28"/>
          <w:szCs w:val="28"/>
        </w:rPr>
        <w:t>招标编号：</w:t>
      </w:r>
    </w:p>
    <w:p>
      <w:pPr>
        <w:spacing w:line="360" w:lineRule="auto"/>
        <w:jc w:val="center"/>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（正本/ 副本）</w:t>
      </w:r>
    </w:p>
    <w:p>
      <w:pPr>
        <w:spacing w:line="360" w:lineRule="auto"/>
        <w:jc w:val="center"/>
        <w:rPr>
          <w:rFonts w:asciiTheme="minorEastAsia" w:hAnsiTheme="minorEastAsia" w:eastAsiaTheme="minorEastAsia" w:cstheme="minorEastAsia"/>
          <w:sz w:val="28"/>
          <w:szCs w:val="28"/>
        </w:rPr>
      </w:pP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投标人名称  ：</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法定代表人姓名：                    手机：</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地址：                              邮编：</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电话：                              传真：</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网址：</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电子邮箱：</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投标代表（印刷体）：                签字：</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手机：                              日期  ：  年  月  日</w:t>
      </w:r>
    </w:p>
    <w:p>
      <w:pPr>
        <w:spacing w:line="360" w:lineRule="auto"/>
        <w:rPr>
          <w:rFonts w:asciiTheme="minorEastAsia" w:hAnsiTheme="minorEastAsia" w:eastAsiaTheme="minorEastAsia" w:cstheme="minorEastAsia"/>
        </w:rPr>
      </w:pPr>
    </w:p>
    <w:p>
      <w:pPr>
        <w:pStyle w:val="4"/>
        <w:spacing w:line="360" w:lineRule="auto"/>
        <w:ind w:left="0"/>
        <w:rPr>
          <w:rFonts w:asciiTheme="minorEastAsia" w:hAnsiTheme="minorEastAsia" w:eastAsiaTheme="minorEastAsia" w:cstheme="minorEastAsia"/>
          <w:b w:val="0"/>
        </w:rPr>
      </w:pPr>
      <w:r>
        <w:rPr>
          <w:rFonts w:ascii="宋体" w:hAnsi="宋体"/>
          <w:kern w:val="2"/>
          <w:sz w:val="36"/>
          <w:szCs w:val="36"/>
        </w:rPr>
        <w:br w:type="page"/>
      </w: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资格投标文件目录格式</w:t>
      </w:r>
    </w:p>
    <w:p>
      <w:pPr>
        <w:spacing w:line="360" w:lineRule="auto"/>
        <w:jc w:val="center"/>
        <w:rPr>
          <w:rFonts w:asciiTheme="minorEastAsia" w:hAnsiTheme="minorEastAsia" w:eastAsiaTheme="minorEastAsia" w:cstheme="minorEastAsia"/>
          <w:sz w:val="40"/>
          <w:szCs w:val="40"/>
        </w:rPr>
      </w:pPr>
      <w:r>
        <w:rPr>
          <w:rFonts w:hint="eastAsia" w:asciiTheme="minorEastAsia" w:hAnsiTheme="minorEastAsia" w:eastAsiaTheme="minorEastAsia" w:cstheme="minorEastAsia"/>
          <w:sz w:val="40"/>
          <w:szCs w:val="40"/>
        </w:rPr>
        <w:t>资格投标文件目录</w:t>
      </w:r>
    </w:p>
    <w:p>
      <w:pPr>
        <w:spacing w:line="360" w:lineRule="auto"/>
        <w:jc w:val="center"/>
        <w:rPr>
          <w:rFonts w:asciiTheme="minorEastAsia" w:hAnsiTheme="minorEastAsia" w:eastAsiaTheme="minorEastAsia" w:cstheme="minorEastAsia"/>
          <w:sz w:val="40"/>
          <w:szCs w:val="40"/>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一、法定代表人（单位负责人）身份证明……………………… 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二、法定代表人（单位负责人）授权书…………………………… 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三、 关于资格的声明函…………………………………………… 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四、投标人的资格声明……………………………………… 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五、 单位营业执照等资格证明文件…………………………… 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六、制造厂商出具的授权函……………………………………… 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七、制造商资格声明………………………………………页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八、其它材料……………………………………………………… 页</w:t>
      </w:r>
    </w:p>
    <w:p>
      <w:pPr>
        <w:pStyle w:val="4"/>
        <w:spacing w:line="360" w:lineRule="auto"/>
        <w:ind w:left="0"/>
        <w:rPr>
          <w:rFonts w:asciiTheme="minorEastAsia" w:hAnsiTheme="minorEastAsia" w:eastAsiaTheme="minorEastAsia" w:cstheme="minorEastAsia"/>
          <w:b w:val="0"/>
        </w:rPr>
        <w:sectPr>
          <w:pgSz w:w="11906" w:h="16838"/>
          <w:pgMar w:top="1418" w:right="1247" w:bottom="1247" w:left="1418" w:header="851" w:footer="851" w:gutter="0"/>
          <w:cols w:space="720" w:num="1"/>
          <w:docGrid w:linePitch="326" w:charSpace="0"/>
        </w:sectPr>
      </w:pPr>
    </w:p>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一、法定代表人（单位负责人）身份证明格式</w:t>
      </w:r>
    </w:p>
    <w:p>
      <w:pPr>
        <w:spacing w:line="360" w:lineRule="auto"/>
        <w:rPr>
          <w:rFonts w:asciiTheme="minorEastAsia" w:hAnsiTheme="minorEastAsia" w:eastAsiaTheme="minorEastAsia" w:cstheme="minorEastAsia"/>
        </w:rPr>
      </w:pPr>
    </w:p>
    <w:p>
      <w:pPr>
        <w:spacing w:line="360" w:lineRule="auto"/>
        <w:jc w:val="center"/>
        <w:rPr>
          <w:rFonts w:asciiTheme="minorEastAsia" w:hAnsiTheme="minorEastAsia" w:eastAsiaTheme="minorEastAsia" w:cstheme="minorEastAsia"/>
          <w:sz w:val="40"/>
          <w:szCs w:val="40"/>
        </w:rPr>
      </w:pPr>
      <w:r>
        <w:rPr>
          <w:rFonts w:hint="eastAsia" w:asciiTheme="minorEastAsia" w:hAnsiTheme="minorEastAsia" w:eastAsiaTheme="minorEastAsia" w:cstheme="minorEastAsia"/>
          <w:sz w:val="40"/>
          <w:szCs w:val="40"/>
        </w:rPr>
        <w:t>法定代表人（单位负责人）身份证明</w:t>
      </w:r>
    </w:p>
    <w:p>
      <w:pPr>
        <w:spacing w:line="360" w:lineRule="auto"/>
        <w:jc w:val="center"/>
        <w:rPr>
          <w:rFonts w:asciiTheme="minorEastAsia" w:hAnsiTheme="minorEastAsia" w:eastAsiaTheme="minorEastAsia" w:cstheme="minorEastAsia"/>
          <w:sz w:val="40"/>
          <w:szCs w:val="40"/>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投标人名称：</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单位性质：</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地址：</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成立时间：          年    月   日</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经营期限：</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姓名：           性别：           年龄：           职务： </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系                        （投标人名称）的法定代表人（单位负责人）。</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特此证明。</w:t>
      </w:r>
    </w:p>
    <w:p>
      <w:pPr>
        <w:spacing w:line="360" w:lineRule="auto"/>
        <w:rPr>
          <w:rFonts w:asciiTheme="minorEastAsia" w:hAnsiTheme="minorEastAsia" w:eastAsiaTheme="minorEastAsia" w:cstheme="minorEastAsia"/>
        </w:rPr>
      </w:pPr>
    </w:p>
    <w:p>
      <w:pPr>
        <w:spacing w:line="360" w:lineRule="auto"/>
        <w:jc w:val="right"/>
        <w:rPr>
          <w:rFonts w:asciiTheme="minorEastAsia" w:hAnsiTheme="minorEastAsia" w:eastAsiaTheme="minorEastAsia" w:cstheme="minorEastAsia"/>
        </w:rPr>
      </w:pPr>
      <w:r>
        <w:rPr>
          <w:rFonts w:hint="eastAsia" w:asciiTheme="minorEastAsia" w:hAnsiTheme="minorEastAsia" w:eastAsiaTheme="minorEastAsia" w:cstheme="minorEastAsia"/>
        </w:rPr>
        <w:t>投标人：                 （盖单位章）</w:t>
      </w:r>
    </w:p>
    <w:p>
      <w:pPr>
        <w:spacing w:line="360" w:lineRule="auto"/>
        <w:jc w:val="right"/>
        <w:rPr>
          <w:rFonts w:asciiTheme="minorEastAsia" w:hAnsiTheme="minorEastAsia" w:eastAsiaTheme="minorEastAsia" w:cstheme="minorEastAsia"/>
        </w:rPr>
      </w:pPr>
    </w:p>
    <w:p>
      <w:pPr>
        <w:spacing w:line="360" w:lineRule="auto"/>
        <w:ind w:right="560" w:firstLine="5160" w:firstLineChars="2150"/>
        <w:rPr>
          <w:rFonts w:asciiTheme="minorEastAsia" w:hAnsiTheme="minorEastAsia" w:eastAsiaTheme="minorEastAsia" w:cstheme="minorEastAsia"/>
        </w:rPr>
      </w:pPr>
      <w:r>
        <w:rPr>
          <w:rFonts w:hint="eastAsia" w:asciiTheme="minorEastAsia" w:hAnsiTheme="minorEastAsia" w:eastAsiaTheme="minorEastAsia" w:cstheme="minorEastAsia"/>
        </w:rPr>
        <w:t>年    月   日</w:t>
      </w:r>
    </w:p>
    <w:p>
      <w:pPr>
        <w:spacing w:line="360" w:lineRule="auto"/>
        <w:ind w:right="560"/>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注：此处所述“法定代表人（单位负责人）”须与投标人“营业执照”上的内容一致。</w:t>
      </w: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b/>
          <w:bCs/>
        </w:rPr>
      </w:pPr>
      <w:r>
        <w:rPr>
          <w:rFonts w:hint="eastAsia" w:asciiTheme="minorEastAsia" w:hAnsiTheme="minorEastAsia" w:eastAsiaTheme="minorEastAsia" w:cstheme="minorEastAsia"/>
          <w:b/>
          <w:bCs/>
        </w:rPr>
        <w:t>[附：法定代表人（单位负责人）身份证正反面复印件]</w:t>
      </w:r>
    </w:p>
    <w:p/>
    <w:p/>
    <w:p/>
    <w:p/>
    <w:p>
      <w:pPr>
        <w:sectPr>
          <w:pgSz w:w="11906" w:h="16838"/>
          <w:pgMar w:top="1418" w:right="1247" w:bottom="1247" w:left="1418" w:header="851" w:footer="851" w:gutter="0"/>
          <w:cols w:space="720" w:num="1"/>
          <w:docGrid w:linePitch="326" w:charSpace="0"/>
        </w:sectPr>
      </w:pPr>
    </w:p>
    <w:p>
      <w:pPr>
        <w:pStyle w:val="16"/>
        <w:rPr>
          <w:color w:val="auto"/>
        </w:rPr>
      </w:pP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二、法定代表人（单位负责人）授权书格式</w:t>
      </w:r>
    </w:p>
    <w:p>
      <w:pPr>
        <w:spacing w:line="360" w:lineRule="auto"/>
        <w:jc w:val="center"/>
        <w:rPr>
          <w:rFonts w:asciiTheme="minorEastAsia" w:hAnsiTheme="minorEastAsia" w:eastAsiaTheme="minorEastAsia" w:cstheme="minorEastAsia"/>
          <w:sz w:val="40"/>
          <w:szCs w:val="40"/>
        </w:rPr>
      </w:pPr>
      <w:r>
        <w:rPr>
          <w:rFonts w:hint="eastAsia" w:asciiTheme="minorEastAsia" w:hAnsiTheme="minorEastAsia" w:eastAsiaTheme="minorEastAsia" w:cstheme="minorEastAsia"/>
          <w:sz w:val="40"/>
          <w:szCs w:val="40"/>
        </w:rPr>
        <w:t>法定代表人（单位负责人）授权书</w:t>
      </w:r>
    </w:p>
    <w:p>
      <w:pPr>
        <w:spacing w:line="360" w:lineRule="auto"/>
        <w:jc w:val="center"/>
        <w:rPr>
          <w:rFonts w:asciiTheme="minorEastAsia" w:hAnsiTheme="minorEastAsia" w:eastAsiaTheme="minorEastAsia" w:cstheme="minorEastAsia"/>
          <w:sz w:val="40"/>
          <w:szCs w:val="40"/>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致：西南大学</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u w:val="single"/>
        </w:rPr>
        <w:t>（投标人全称）</w:t>
      </w:r>
      <w:r>
        <w:rPr>
          <w:rFonts w:hint="eastAsia" w:asciiTheme="minorEastAsia" w:hAnsiTheme="minorEastAsia" w:eastAsiaTheme="minorEastAsia" w:cstheme="minorEastAsia"/>
        </w:rPr>
        <w:t xml:space="preserve">的法定代表人（单位负责人） </w:t>
      </w:r>
      <w:r>
        <w:rPr>
          <w:rFonts w:hint="eastAsia" w:asciiTheme="minorEastAsia" w:hAnsiTheme="minorEastAsia" w:eastAsiaTheme="minorEastAsia" w:cstheme="minorEastAsia"/>
          <w:u w:val="single"/>
        </w:rPr>
        <w:t>（姓名、职务）</w:t>
      </w:r>
      <w:r>
        <w:rPr>
          <w:rFonts w:hint="eastAsia" w:asciiTheme="minorEastAsia" w:hAnsiTheme="minorEastAsia" w:eastAsiaTheme="minorEastAsia" w:cstheme="minorEastAsia"/>
        </w:rPr>
        <w:t>现授权本单位职工</w:t>
      </w:r>
      <w:r>
        <w:rPr>
          <w:rFonts w:hint="eastAsia" w:asciiTheme="minorEastAsia" w:hAnsiTheme="minorEastAsia" w:eastAsiaTheme="minorEastAsia" w:cstheme="minorEastAsia"/>
          <w:u w:val="single"/>
        </w:rPr>
        <w:t>（投标代表姓名）</w:t>
      </w:r>
      <w:r>
        <w:rPr>
          <w:rFonts w:hint="eastAsia" w:asciiTheme="minorEastAsia" w:hAnsiTheme="minorEastAsia" w:eastAsiaTheme="minorEastAsia" w:cstheme="minorEastAsia"/>
        </w:rPr>
        <w:t>为投标代表，代表本公司参加贵单位组织的</w:t>
      </w:r>
      <w:r>
        <w:rPr>
          <w:rFonts w:hint="eastAsia" w:asciiTheme="minorEastAsia" w:hAnsiTheme="minorEastAsia" w:eastAsiaTheme="minorEastAsia" w:cstheme="minorEastAsia"/>
          <w:u w:val="single"/>
        </w:rPr>
        <w:t xml:space="preserve">         项</w:t>
      </w:r>
      <w:r>
        <w:rPr>
          <w:rFonts w:hint="eastAsia" w:asciiTheme="minorEastAsia" w:hAnsiTheme="minorEastAsia" w:eastAsiaTheme="minorEastAsia" w:cstheme="minorEastAsia"/>
        </w:rPr>
        <w:t>目（招标编号：</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招标活动，全权代表本公司处理投标过程的一切事宜，包括但不限于签署、澄清、说明、补正、递交、撤回、修改投标文件及谈判、签约等。该投标代表在投标过程中所签署的一切文件和处理与之有关的一切事务，本公司均予以认可并对此承担责任。</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特此授权！本授权书自出具之日起生效。</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（盖单位章）</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法定代表人（单位负责人）姓名：</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（签字）</w:t>
      </w:r>
    </w:p>
    <w:p>
      <w:pPr>
        <w:spacing w:line="360" w:lineRule="auto"/>
        <w:rPr>
          <w:rFonts w:asciiTheme="minorEastAsia" w:hAnsiTheme="minorEastAsia" w:eastAsiaTheme="minorEastAsia" w:cstheme="minorEastAsia"/>
          <w:u w:val="single"/>
        </w:rPr>
      </w:pPr>
      <w:r>
        <w:rPr>
          <w:rFonts w:hint="eastAsia" w:asciiTheme="minorEastAsia" w:hAnsiTheme="minorEastAsia" w:eastAsiaTheme="minorEastAsia" w:cstheme="minorEastAsia"/>
        </w:rPr>
        <w:t>法定代表人（单位负责人）身份证号码：</w:t>
      </w:r>
      <w:r>
        <w:rPr>
          <w:rFonts w:hint="eastAsia" w:asciiTheme="minorEastAsia" w:hAnsiTheme="minorEastAsia" w:eastAsiaTheme="minorEastAsia" w:cstheme="minorEastAsia"/>
          <w:u w:val="single"/>
        </w:rPr>
        <w:t xml:space="preserve">                          </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被授权人姓名：</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（签字）</w:t>
      </w:r>
    </w:p>
    <w:p>
      <w:pPr>
        <w:spacing w:line="360" w:lineRule="auto"/>
        <w:rPr>
          <w:rFonts w:asciiTheme="minorEastAsia" w:hAnsiTheme="minorEastAsia" w:eastAsiaTheme="minorEastAsia" w:cstheme="minorEastAsia"/>
          <w:u w:val="single"/>
        </w:rPr>
      </w:pPr>
      <w:r>
        <w:rPr>
          <w:rFonts w:hint="eastAsia" w:asciiTheme="minorEastAsia" w:hAnsiTheme="minorEastAsia" w:eastAsiaTheme="minorEastAsia" w:cstheme="minorEastAsia"/>
        </w:rPr>
        <w:t>被授权人身份证号码：</w:t>
      </w:r>
      <w:r>
        <w:rPr>
          <w:rFonts w:hint="eastAsia" w:asciiTheme="minorEastAsia" w:hAnsiTheme="minorEastAsia" w:eastAsiaTheme="minorEastAsia" w:cstheme="minorEastAsia"/>
          <w:u w:val="single"/>
        </w:rPr>
        <w:t xml:space="preserve">                          </w:t>
      </w:r>
    </w:p>
    <w:p>
      <w:pPr>
        <w:spacing w:line="360" w:lineRule="auto"/>
        <w:ind w:firstLine="600" w:firstLineChars="250"/>
        <w:rPr>
          <w:rFonts w:asciiTheme="minorEastAsia" w:hAnsiTheme="minorEastAsia" w:eastAsiaTheme="minorEastAsia" w:cstheme="minorEastAsia"/>
        </w:rPr>
      </w:pP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年</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月</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日</w:t>
      </w:r>
    </w:p>
    <w:p>
      <w:pPr>
        <w:spacing w:line="360" w:lineRule="auto"/>
        <w:ind w:firstLine="1200" w:firstLineChars="500"/>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附：法定代表人（单位负责人）和被授权人身份证复印件</w:t>
      </w:r>
    </w:p>
    <w:tbl>
      <w:tblPr>
        <w:tblStyle w:val="25"/>
        <w:tblW w:w="9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0"/>
        <w:gridCol w:w="4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6" w:hRule="atLeast"/>
        </w:trPr>
        <w:tc>
          <w:tcPr>
            <w:tcW w:w="4810" w:type="dxa"/>
            <w:vAlign w:val="center"/>
          </w:tcPr>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法定代表人（单位负责人）</w:t>
            </w:r>
          </w:p>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身份证粘贴处</w:t>
            </w:r>
          </w:p>
        </w:tc>
        <w:tc>
          <w:tcPr>
            <w:tcW w:w="4810" w:type="dxa"/>
            <w:vAlign w:val="center"/>
          </w:tcPr>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被授权人身份证件粘贴处</w:t>
            </w:r>
          </w:p>
        </w:tc>
      </w:tr>
    </w:tbl>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三、关于资格的声明函格式</w:t>
      </w:r>
    </w:p>
    <w:p>
      <w:pPr>
        <w:spacing w:line="360" w:lineRule="auto"/>
        <w:jc w:val="center"/>
        <w:rPr>
          <w:rFonts w:asciiTheme="minorEastAsia" w:hAnsiTheme="minorEastAsia" w:eastAsiaTheme="minorEastAsia" w:cstheme="minorEastAsia"/>
          <w:sz w:val="40"/>
          <w:szCs w:val="40"/>
        </w:rPr>
      </w:pPr>
    </w:p>
    <w:p>
      <w:pPr>
        <w:spacing w:line="360" w:lineRule="auto"/>
        <w:jc w:val="center"/>
        <w:rPr>
          <w:rFonts w:asciiTheme="minorEastAsia" w:hAnsiTheme="minorEastAsia" w:eastAsiaTheme="minorEastAsia" w:cstheme="minorEastAsia"/>
          <w:sz w:val="40"/>
          <w:szCs w:val="40"/>
        </w:rPr>
      </w:pPr>
      <w:r>
        <w:rPr>
          <w:rFonts w:hint="eastAsia" w:asciiTheme="minorEastAsia" w:hAnsiTheme="minorEastAsia" w:eastAsiaTheme="minorEastAsia" w:cstheme="minorEastAsia"/>
          <w:sz w:val="40"/>
          <w:szCs w:val="40"/>
        </w:rPr>
        <w:t>关于资格的声明函</w:t>
      </w:r>
    </w:p>
    <w:p>
      <w:pPr>
        <w:spacing w:line="360" w:lineRule="auto"/>
        <w:jc w:val="center"/>
        <w:rPr>
          <w:rFonts w:asciiTheme="minorEastAsia" w:hAnsiTheme="minorEastAsia" w:eastAsiaTheme="minorEastAsia" w:cstheme="minorEastAsia"/>
          <w:sz w:val="40"/>
          <w:szCs w:val="40"/>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u w:val="single"/>
        </w:rPr>
        <w:t>西南大学</w:t>
      </w:r>
      <w:r>
        <w:rPr>
          <w:rFonts w:hint="eastAsia" w:asciiTheme="minorEastAsia" w:hAnsiTheme="minorEastAsia" w:eastAsiaTheme="minorEastAsia" w:cstheme="minorEastAsia"/>
        </w:rPr>
        <w:t>：</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关于贵方</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年</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月</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日第</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（招标编号）投标邀请，本签字人愿意参加投标，提供招标文件“采购需求”中规定的</w:t>
      </w:r>
      <w:r>
        <w:rPr>
          <w:rFonts w:hint="eastAsia" w:asciiTheme="minorEastAsia" w:hAnsiTheme="minorEastAsia" w:eastAsiaTheme="minorEastAsia" w:cstheme="minorEastAsia"/>
          <w:u w:val="single"/>
        </w:rPr>
        <w:t xml:space="preserve"> （货物名称）</w:t>
      </w:r>
      <w:r>
        <w:rPr>
          <w:rFonts w:hint="eastAsia" w:asciiTheme="minorEastAsia" w:hAnsiTheme="minorEastAsia" w:eastAsiaTheme="minorEastAsia" w:cstheme="minorEastAsia"/>
        </w:rPr>
        <w:t>，并证明提交的下列文件和说明是准确的和真实的。</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1.本签字人确认资格文件中的说明以及投标文件中所有提交的文件和材料是真实的、准确的。</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2.我方的资格声明随投标文件一同递交。</w:t>
      </w: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投标人（全称并加盖公章）：</w:t>
      </w: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地 址：</w:t>
      </w: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邮 编：</w:t>
      </w: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电 话/传真：</w:t>
      </w: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投标人代表签字：</w:t>
      </w:r>
    </w:p>
    <w:p>
      <w:pPr>
        <w:spacing w:line="360" w:lineRule="auto"/>
        <w:rPr>
          <w:rFonts w:asciiTheme="minorEastAsia" w:hAnsiTheme="minorEastAsia" w:eastAsiaTheme="minorEastAsia" w:cstheme="minorEastAsia"/>
          <w:sz w:val="20"/>
          <w:szCs w:val="20"/>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sz w:val="20"/>
          <w:szCs w:val="20"/>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四、投标人的资格声明格式</w:t>
      </w:r>
    </w:p>
    <w:p>
      <w:pPr>
        <w:spacing w:line="360" w:lineRule="auto"/>
        <w:jc w:val="center"/>
        <w:rPr>
          <w:rFonts w:asciiTheme="minorEastAsia" w:hAnsiTheme="minorEastAsia" w:eastAsiaTheme="minorEastAsia" w:cstheme="minorEastAsia"/>
          <w:sz w:val="40"/>
          <w:szCs w:val="40"/>
        </w:rPr>
      </w:pPr>
      <w:r>
        <w:rPr>
          <w:rFonts w:hint="eastAsia" w:asciiTheme="minorEastAsia" w:hAnsiTheme="minorEastAsia" w:eastAsiaTheme="minorEastAsia" w:cstheme="minorEastAsia"/>
          <w:sz w:val="40"/>
          <w:szCs w:val="40"/>
        </w:rPr>
        <w:t>投标人的资格声明</w:t>
      </w:r>
    </w:p>
    <w:p>
      <w:pPr>
        <w:spacing w:line="3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1．投标人概况：</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Ａ．投标人名称：</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Ｂ．注册地址：</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Ｃ．成立或注册日期：</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Ｄ．法定代表人： （姓名、职务）</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实收资本：</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其中 国家资本： 法人资本：</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个人资本： 外商资本：</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Ｅ．最近资产负债表（到    年   月  日为止）。</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(1)固定资产合计:</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(2)流动资产合计:</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(3)长期负债合计:</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(4)流动负债合计:</w:t>
      </w:r>
    </w:p>
    <w:p>
      <w:pPr>
        <w:spacing w:line="3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Ｆ．最近损益表（到    年    月    日为止）。</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(1)本年（期）利润总额累计：</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(2)本年（期）净利润累计：</w:t>
      </w:r>
    </w:p>
    <w:p>
      <w:pPr>
        <w:spacing w:line="36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2．我方在此声明，我方具备并满足下列各项条款的规定。本声明如有虚假或不实之处，我方将失去合格投标人资格并承担法律责任。</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（1）具有独立承担民事责任的能力；</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（2）具有良好的商业信誉和健全的财务会计制度；</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（3）具有履行合同所必需的货物和专业技术能力；</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（4）有依法缴纳税收和社会保障资金的良好记录；</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（5）近三年内，在经营活动中没有重大违法记录。</w:t>
      </w:r>
    </w:p>
    <w:p>
      <w:pPr>
        <w:spacing w:line="360" w:lineRule="exact"/>
        <w:ind w:firstLine="360" w:firstLineChars="150"/>
        <w:jc w:val="both"/>
        <w:rPr>
          <w:rFonts w:asciiTheme="minorEastAsia" w:hAnsiTheme="minorEastAsia" w:eastAsiaTheme="minorEastAsia" w:cstheme="minorEastAsia"/>
        </w:rPr>
      </w:pPr>
      <w:r>
        <w:rPr>
          <w:rFonts w:hint="eastAsia" w:asciiTheme="minorEastAsia" w:hAnsiTheme="minorEastAsia" w:eastAsiaTheme="minorEastAsia" w:cstheme="minorEastAsia"/>
        </w:rPr>
        <w:t>（6）我方未列入在信用中国网站（www.creditchina.gov.cn）“失信被执行人”、“重大税收违法失信主体”中，也未列入中国政府采购网（www.ccgp.gov.cn）“政府采购严重违法失信行为记录名单”中。</w:t>
      </w:r>
    </w:p>
    <w:p>
      <w:pPr>
        <w:spacing w:line="36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3．我方在采购项目评审（评标）环节结束后，随时接受采购人、采购组织机构、采购代理机构的检查验证，配合提供相关证明材料，证明我方符合《中华人民共和国政府采购法》规定的投标人基本资格条件。</w:t>
      </w:r>
    </w:p>
    <w:p>
      <w:pPr>
        <w:spacing w:line="3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 xml:space="preserve">4．投标货物近三年以来的主要用户的情况（另见附表） </w:t>
      </w:r>
    </w:p>
    <w:p>
      <w:pPr>
        <w:spacing w:line="3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5．法人营业执照、税务登记证和组织机构代码证见以下附件。</w:t>
      </w:r>
    </w:p>
    <w:p>
      <w:pPr>
        <w:spacing w:line="360" w:lineRule="exact"/>
        <w:ind w:firstLine="480" w:firstLineChars="200"/>
        <w:rPr>
          <w:rFonts w:asciiTheme="minorEastAsia" w:hAnsiTheme="minorEastAsia" w:eastAsiaTheme="minorEastAsia" w:cstheme="minorEastAsia"/>
          <w:b/>
        </w:rPr>
      </w:pPr>
      <w:r>
        <w:rPr>
          <w:rFonts w:hint="eastAsia" w:asciiTheme="minorEastAsia" w:hAnsiTheme="minorEastAsia" w:eastAsiaTheme="minorEastAsia" w:cstheme="minorEastAsia"/>
        </w:rPr>
        <w:t>6．制造商或授权方出具的授权函等招标文件中要求提供的其他资格证明文件见以下附件。</w:t>
      </w:r>
    </w:p>
    <w:p>
      <w:pPr>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就我方全部所知，兹证明上述声明是真实、正确的， 并已提供了全部现有资料和数据，我方同意根据贵方要求出示文件予以证实。</w:t>
      </w:r>
    </w:p>
    <w:p>
      <w:pPr>
        <w:spacing w:line="700" w:lineRule="exact"/>
        <w:rPr>
          <w:rFonts w:asciiTheme="minorEastAsia" w:hAnsiTheme="minorEastAsia" w:eastAsiaTheme="minorEastAsia" w:cstheme="minorEastAsia"/>
        </w:rPr>
      </w:pPr>
    </w:p>
    <w:p>
      <w:pPr>
        <w:spacing w:line="700" w:lineRule="exact"/>
        <w:rPr>
          <w:rFonts w:asciiTheme="minorEastAsia" w:hAnsiTheme="minorEastAsia" w:eastAsiaTheme="minorEastAsia" w:cstheme="minorEastAsia"/>
        </w:rPr>
      </w:pPr>
      <w:r>
        <w:rPr>
          <w:rFonts w:hint="eastAsia" w:asciiTheme="minorEastAsia" w:hAnsiTheme="minorEastAsia" w:eastAsiaTheme="minorEastAsia" w:cstheme="minorEastAsia"/>
        </w:rPr>
        <w:t>投标人（全称并加盖公章）：</w:t>
      </w:r>
    </w:p>
    <w:p>
      <w:pPr>
        <w:spacing w:line="700" w:lineRule="exact"/>
        <w:rPr>
          <w:rFonts w:asciiTheme="minorEastAsia" w:hAnsiTheme="minorEastAsia" w:eastAsiaTheme="minorEastAsia" w:cstheme="minorEastAsia"/>
        </w:rPr>
      </w:pPr>
      <w:r>
        <w:rPr>
          <w:rFonts w:hint="eastAsia" w:asciiTheme="minorEastAsia" w:hAnsiTheme="minorEastAsia" w:eastAsiaTheme="minorEastAsia" w:cstheme="minorEastAsia"/>
        </w:rPr>
        <w:t>投标代表签字：</w:t>
      </w:r>
    </w:p>
    <w:p>
      <w:pPr>
        <w:spacing w:line="700" w:lineRule="exact"/>
        <w:rPr>
          <w:rFonts w:asciiTheme="minorEastAsia" w:hAnsiTheme="minorEastAsia" w:eastAsiaTheme="minorEastAsia" w:cstheme="minorEastAsia"/>
        </w:rPr>
      </w:pPr>
      <w:r>
        <w:rPr>
          <w:rFonts w:hint="eastAsia" w:asciiTheme="minorEastAsia" w:hAnsiTheme="minorEastAsia" w:eastAsiaTheme="minorEastAsia" w:cstheme="minorEastAsia"/>
        </w:rPr>
        <w:t>日 期：    年   月   日</w:t>
      </w:r>
    </w:p>
    <w:p>
      <w:pPr>
        <w:rPr>
          <w:rFonts w:asciiTheme="minorEastAsia" w:hAnsiTheme="minorEastAsia" w:eastAsiaTheme="minorEastAsia" w:cstheme="minorEastAsia"/>
        </w:rPr>
      </w:pPr>
    </w:p>
    <w:p>
      <w:pPr>
        <w:rPr>
          <w:rFonts w:asciiTheme="minorEastAsia" w:hAnsiTheme="minorEastAsia" w:eastAsiaTheme="minorEastAsia" w:cstheme="minorEastAsia"/>
        </w:rPr>
        <w:sectPr>
          <w:pgSz w:w="11906" w:h="16838"/>
          <w:pgMar w:top="1418" w:right="1247" w:bottom="1247" w:left="1418" w:header="851" w:footer="851" w:gutter="0"/>
          <w:cols w:space="720" w:num="1"/>
          <w:docGrid w:linePitch="326" w:charSpace="0"/>
        </w:sectPr>
      </w:pPr>
    </w:p>
    <w:p>
      <w:pPr>
        <w:pStyle w:val="16"/>
        <w:rPr>
          <w:color w:val="auto"/>
        </w:rPr>
      </w:pP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五、单位营业执照等资格证明文件格式</w:t>
      </w:r>
    </w:p>
    <w:p>
      <w:pPr>
        <w:spacing w:line="360" w:lineRule="auto"/>
        <w:jc w:val="both"/>
        <w:rPr>
          <w:rFonts w:asciiTheme="minorEastAsia" w:hAnsiTheme="minorEastAsia" w:eastAsiaTheme="minorEastAsia" w:cstheme="minorEastAsia"/>
          <w:sz w:val="40"/>
          <w:szCs w:val="40"/>
        </w:rPr>
      </w:pPr>
    </w:p>
    <w:p>
      <w:pPr>
        <w:spacing w:line="360" w:lineRule="auto"/>
        <w:jc w:val="center"/>
        <w:rPr>
          <w:rFonts w:asciiTheme="minorEastAsia" w:hAnsiTheme="minorEastAsia" w:eastAsiaTheme="minorEastAsia" w:cstheme="minorEastAsia"/>
          <w:sz w:val="40"/>
          <w:szCs w:val="40"/>
        </w:rPr>
      </w:pPr>
      <w:r>
        <w:rPr>
          <w:rFonts w:hint="eastAsia" w:asciiTheme="minorEastAsia" w:hAnsiTheme="minorEastAsia" w:eastAsiaTheme="minorEastAsia" w:cstheme="minorEastAsia"/>
          <w:sz w:val="40"/>
          <w:szCs w:val="40"/>
        </w:rPr>
        <w:t>单位营业执照等资格证明文件</w:t>
      </w:r>
    </w:p>
    <w:p>
      <w:pPr>
        <w:spacing w:line="360" w:lineRule="auto"/>
        <w:jc w:val="center"/>
        <w:rPr>
          <w:rFonts w:asciiTheme="minorEastAsia" w:hAnsiTheme="minorEastAsia" w:eastAsiaTheme="minorEastAsia" w:cstheme="minorEastAsia"/>
          <w:sz w:val="40"/>
          <w:szCs w:val="40"/>
        </w:rPr>
      </w:pP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致：西南大学</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现附上由 ******（签发机关名称）签发的我方法人（或其他组织）营业执照副本复印件，该执照已经年检，真实有效。</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现附上由******（签发机关名称）签发的我方税务登记证副本复印件，该证件已经年检，真实有效。</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现附上由******（签发机关名称）签发的我方组织机构代码证副本复印件，该证件已经年检，真实有效。</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现附上由******（签发机关名称）签发的我方证件副本复印件，该证件已经年检，真实有效。</w:t>
      </w:r>
    </w:p>
    <w:p>
      <w:pPr>
        <w:spacing w:line="360" w:lineRule="auto"/>
        <w:ind w:firstLine="480" w:firstLineChars="200"/>
        <w:rPr>
          <w:rFonts w:asciiTheme="minorEastAsia" w:hAnsiTheme="minorEastAsia" w:eastAsiaTheme="minorEastAsia" w:cstheme="minorEastAsia"/>
        </w:rPr>
      </w:pPr>
    </w:p>
    <w:p>
      <w:pPr>
        <w:spacing w:line="48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[注：法人（或其他组织）营业执照、税务登记证、组织机构代码证等相关证明需复印包括能说明经年检合格的内容，并加盖公章，复印件必须</w:t>
      </w:r>
      <w:r>
        <w:rPr>
          <w:rFonts w:hint="eastAsia" w:asciiTheme="minorEastAsia" w:hAnsiTheme="minorEastAsia" w:eastAsiaTheme="minorEastAsia" w:cstheme="minorEastAsia"/>
          <w:b/>
        </w:rPr>
        <w:t>与原件一致</w:t>
      </w:r>
      <w:r>
        <w:rPr>
          <w:rFonts w:hint="eastAsia" w:asciiTheme="minorEastAsia" w:hAnsiTheme="minorEastAsia" w:eastAsiaTheme="minorEastAsia" w:cstheme="minorEastAsia"/>
        </w:rPr>
        <w:t>]。</w:t>
      </w:r>
    </w:p>
    <w:p>
      <w:pPr>
        <w:spacing w:line="360" w:lineRule="auto"/>
        <w:ind w:firstLine="480" w:firstLineChars="200"/>
        <w:rPr>
          <w:rFonts w:asciiTheme="minorEastAsia" w:hAnsiTheme="minorEastAsia" w:eastAsiaTheme="minorEastAsia" w:cstheme="minorEastAsia"/>
        </w:rPr>
      </w:pPr>
    </w:p>
    <w:p>
      <w:pPr>
        <w:spacing w:line="70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投 标 人（全称并加盖公章）：</w:t>
      </w:r>
    </w:p>
    <w:p>
      <w:pPr>
        <w:spacing w:line="70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投标代表签字：</w:t>
      </w:r>
    </w:p>
    <w:p>
      <w:pPr>
        <w:spacing w:line="70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日 期：</w:t>
      </w:r>
    </w:p>
    <w:p>
      <w:pPr>
        <w:spacing w:line="360" w:lineRule="auto"/>
        <w:ind w:firstLine="560" w:firstLineChars="200"/>
        <w:rPr>
          <w:rFonts w:asciiTheme="minorEastAsia" w:hAnsiTheme="minorEastAsia" w:eastAsiaTheme="minorEastAsia" w:cstheme="minorEastAsia"/>
          <w:sz w:val="28"/>
          <w:szCs w:val="28"/>
        </w:rPr>
      </w:pPr>
    </w:p>
    <w:p>
      <w:pPr>
        <w:spacing w:line="360" w:lineRule="auto"/>
        <w:ind w:firstLine="560" w:firstLineChars="200"/>
        <w:rPr>
          <w:rFonts w:asciiTheme="minorEastAsia" w:hAnsiTheme="minorEastAsia" w:eastAsiaTheme="minorEastAsia" w:cstheme="minorEastAsia"/>
          <w:sz w:val="28"/>
          <w:szCs w:val="28"/>
        </w:rPr>
      </w:pPr>
    </w:p>
    <w:p>
      <w:pPr>
        <w:pStyle w:val="2"/>
        <w:rPr>
          <w:rFonts w:asciiTheme="minorEastAsia" w:hAnsiTheme="minorEastAsia" w:eastAsiaTheme="minorEastAsia" w:cstheme="minorEastAsia"/>
          <w:sz w:val="28"/>
          <w:szCs w:val="28"/>
        </w:rPr>
      </w:pPr>
    </w:p>
    <w:p>
      <w:pPr>
        <w:rPr>
          <w:rFonts w:asciiTheme="minorEastAsia" w:hAnsiTheme="minorEastAsia" w:eastAsiaTheme="minorEastAsia" w:cstheme="minorEastAsia"/>
          <w:sz w:val="28"/>
          <w:szCs w:val="28"/>
        </w:rPr>
      </w:pPr>
    </w:p>
    <w:p>
      <w:pPr>
        <w:rPr>
          <w:rFonts w:asciiTheme="minorEastAsia" w:hAnsiTheme="minorEastAsia" w:eastAsiaTheme="minorEastAsia" w:cstheme="minorEastAsia"/>
          <w:sz w:val="28"/>
          <w:szCs w:val="28"/>
        </w:rPr>
      </w:pP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六、制造厂商出具的授权函格式</w:t>
      </w:r>
    </w:p>
    <w:p>
      <w:pPr>
        <w:spacing w:line="360" w:lineRule="auto"/>
        <w:rPr>
          <w:rFonts w:asciiTheme="minorEastAsia" w:hAnsiTheme="minorEastAsia" w:eastAsiaTheme="minorEastAsia" w:cstheme="minorEastAsia"/>
        </w:rPr>
      </w:pPr>
    </w:p>
    <w:p>
      <w:pPr>
        <w:spacing w:line="360" w:lineRule="auto"/>
        <w:jc w:val="center"/>
        <w:rPr>
          <w:rFonts w:asciiTheme="minorEastAsia" w:hAnsiTheme="minorEastAsia" w:eastAsiaTheme="minorEastAsia" w:cstheme="minorEastAsia"/>
          <w:sz w:val="40"/>
          <w:szCs w:val="40"/>
        </w:rPr>
      </w:pPr>
      <w:r>
        <w:rPr>
          <w:rFonts w:hint="eastAsia" w:asciiTheme="minorEastAsia" w:hAnsiTheme="minorEastAsia" w:eastAsiaTheme="minorEastAsia" w:cstheme="minorEastAsia"/>
          <w:sz w:val="40"/>
          <w:szCs w:val="40"/>
        </w:rPr>
        <w:t>制造厂商出具的授权函</w:t>
      </w:r>
    </w:p>
    <w:p>
      <w:pPr>
        <w:spacing w:line="360" w:lineRule="auto"/>
        <w:jc w:val="center"/>
        <w:rPr>
          <w:rFonts w:asciiTheme="minorEastAsia" w:hAnsiTheme="minorEastAsia" w:eastAsiaTheme="minorEastAsia" w:cstheme="minorEastAsia"/>
          <w:sz w:val="21"/>
          <w:szCs w:val="21"/>
        </w:rPr>
      </w:pP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致：西南大学</w:t>
      </w:r>
    </w:p>
    <w:p>
      <w:pPr>
        <w:spacing w:line="360" w:lineRule="auto"/>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我们</w:t>
      </w:r>
      <w:r>
        <w:rPr>
          <w:rFonts w:hint="eastAsia" w:asciiTheme="minorEastAsia" w:hAnsiTheme="minorEastAsia" w:eastAsiaTheme="minorEastAsia" w:cstheme="minorEastAsia"/>
          <w:sz w:val="22"/>
          <w:szCs w:val="22"/>
          <w:u w:val="single"/>
        </w:rPr>
        <w:t>（ 制造厂商名称）</w:t>
      </w:r>
      <w:r>
        <w:rPr>
          <w:rFonts w:hint="eastAsia" w:asciiTheme="minorEastAsia" w:hAnsiTheme="minorEastAsia" w:eastAsiaTheme="minorEastAsia" w:cstheme="minorEastAsia"/>
          <w:sz w:val="22"/>
          <w:szCs w:val="22"/>
        </w:rPr>
        <w:t>是按</w:t>
      </w:r>
      <w:r>
        <w:rPr>
          <w:rFonts w:hint="eastAsia" w:asciiTheme="minorEastAsia" w:hAnsiTheme="minorEastAsia" w:eastAsiaTheme="minorEastAsia" w:cstheme="minorEastAsia"/>
          <w:sz w:val="22"/>
          <w:szCs w:val="22"/>
          <w:u w:val="single"/>
        </w:rPr>
        <w:t xml:space="preserve"> （ 国家名称 ）</w:t>
      </w:r>
      <w:r>
        <w:rPr>
          <w:rFonts w:hint="eastAsia" w:asciiTheme="minorEastAsia" w:hAnsiTheme="minorEastAsia" w:eastAsiaTheme="minorEastAsia" w:cstheme="minorEastAsia"/>
          <w:sz w:val="22"/>
          <w:szCs w:val="22"/>
        </w:rPr>
        <w:t>法律成立的一家制造商，主要营业地点设在</w:t>
      </w:r>
      <w:r>
        <w:rPr>
          <w:rFonts w:hint="eastAsia" w:asciiTheme="minorEastAsia" w:hAnsiTheme="minorEastAsia" w:eastAsiaTheme="minorEastAsia" w:cstheme="minorEastAsia"/>
          <w:sz w:val="22"/>
          <w:szCs w:val="22"/>
          <w:u w:val="single"/>
        </w:rPr>
        <w:t>（ 制造厂商地址 ）</w:t>
      </w:r>
      <w:r>
        <w:rPr>
          <w:rFonts w:hint="eastAsia" w:asciiTheme="minorEastAsia" w:hAnsiTheme="minorEastAsia" w:eastAsiaTheme="minorEastAsia" w:cstheme="minorEastAsia"/>
          <w:sz w:val="22"/>
          <w:szCs w:val="22"/>
        </w:rPr>
        <w:t>。兹指派按</w:t>
      </w:r>
      <w:r>
        <w:rPr>
          <w:rFonts w:hint="eastAsia" w:asciiTheme="minorEastAsia" w:hAnsiTheme="minorEastAsia" w:eastAsiaTheme="minorEastAsia" w:cstheme="minorEastAsia"/>
          <w:sz w:val="22"/>
          <w:szCs w:val="22"/>
          <w:u w:val="single"/>
        </w:rPr>
        <w:t>（国家名称）</w:t>
      </w:r>
      <w:r>
        <w:rPr>
          <w:rFonts w:hint="eastAsia" w:asciiTheme="minorEastAsia" w:hAnsiTheme="minorEastAsia" w:eastAsiaTheme="minorEastAsia" w:cstheme="minorEastAsia"/>
          <w:sz w:val="22"/>
          <w:szCs w:val="22"/>
        </w:rPr>
        <w:t>的法律正式成立的，主要营业地点设在</w:t>
      </w:r>
      <w:r>
        <w:rPr>
          <w:rFonts w:hint="eastAsia" w:asciiTheme="minorEastAsia" w:hAnsiTheme="minorEastAsia" w:eastAsiaTheme="minorEastAsia" w:cstheme="minorEastAsia"/>
          <w:sz w:val="22"/>
          <w:szCs w:val="22"/>
          <w:u w:val="single"/>
        </w:rPr>
        <w:t>（投标人地址）</w:t>
      </w:r>
      <w:r>
        <w:rPr>
          <w:rFonts w:hint="eastAsia" w:asciiTheme="minorEastAsia" w:hAnsiTheme="minorEastAsia" w:eastAsiaTheme="minorEastAsia" w:cstheme="minorEastAsia"/>
          <w:sz w:val="22"/>
          <w:szCs w:val="22"/>
        </w:rPr>
        <w:t>的</w:t>
      </w:r>
      <w:r>
        <w:rPr>
          <w:rFonts w:hint="eastAsia" w:asciiTheme="minorEastAsia" w:hAnsiTheme="minorEastAsia" w:eastAsiaTheme="minorEastAsia" w:cstheme="minorEastAsia"/>
          <w:sz w:val="22"/>
          <w:szCs w:val="22"/>
          <w:u w:val="single"/>
        </w:rPr>
        <w:t xml:space="preserve"> （投标人名称 ）</w:t>
      </w:r>
      <w:r>
        <w:rPr>
          <w:rFonts w:hint="eastAsia" w:asciiTheme="minorEastAsia" w:hAnsiTheme="minorEastAsia" w:eastAsiaTheme="minorEastAsia" w:cstheme="minorEastAsia"/>
          <w:sz w:val="22"/>
          <w:szCs w:val="22"/>
        </w:rPr>
        <w:t>作为我方真正的和合法的代理人进行下列有效的活动：</w:t>
      </w:r>
    </w:p>
    <w:p>
      <w:pPr>
        <w:spacing w:line="360" w:lineRule="auto"/>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 代表我方在中华人民共和国办理贵方第</w:t>
      </w:r>
      <w:r>
        <w:rPr>
          <w:rFonts w:hint="eastAsia" w:asciiTheme="minorEastAsia" w:hAnsiTheme="minorEastAsia" w:eastAsiaTheme="minorEastAsia" w:cstheme="minorEastAsia"/>
          <w:sz w:val="22"/>
          <w:szCs w:val="22"/>
          <w:u w:val="single"/>
        </w:rPr>
        <w:t xml:space="preserve"> （招标编号）</w:t>
      </w:r>
      <w:r>
        <w:rPr>
          <w:rFonts w:hint="eastAsia" w:asciiTheme="minorEastAsia" w:hAnsiTheme="minorEastAsia" w:eastAsiaTheme="minorEastAsia" w:cstheme="minorEastAsia"/>
          <w:sz w:val="22"/>
          <w:szCs w:val="22"/>
        </w:rPr>
        <w:t>号投标邀请要求提供的由我方制造的货物之有关事宜，并对我方有约束力。</w:t>
      </w:r>
    </w:p>
    <w:p>
      <w:pPr>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 作为制造商，我方保证以投标合作者来约束自己，并对该投标共同和分别承担招标文件中规定的义务。</w:t>
      </w:r>
    </w:p>
    <w:p>
      <w:pPr>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 我方兹授予</w:t>
      </w:r>
      <w:r>
        <w:rPr>
          <w:rFonts w:hint="eastAsia" w:asciiTheme="minorEastAsia" w:hAnsiTheme="minorEastAsia" w:eastAsiaTheme="minorEastAsia" w:cstheme="minorEastAsia"/>
          <w:sz w:val="22"/>
          <w:szCs w:val="22"/>
          <w:u w:val="single"/>
        </w:rPr>
        <w:t xml:space="preserve"> （投标人名称）</w:t>
      </w:r>
      <w:r>
        <w:rPr>
          <w:rFonts w:hint="eastAsia" w:asciiTheme="minorEastAsia" w:hAnsiTheme="minorEastAsia" w:eastAsiaTheme="minorEastAsia" w:cstheme="minorEastAsia"/>
          <w:sz w:val="22"/>
          <w:szCs w:val="22"/>
        </w:rPr>
        <w:t xml:space="preserve"> 全权办理和履行上述我方为完成上述各点所必须的事宜，具有替换和撤销的全权。兹确认</w:t>
      </w:r>
      <w:r>
        <w:rPr>
          <w:rFonts w:hint="eastAsia" w:asciiTheme="minorEastAsia" w:hAnsiTheme="minorEastAsia" w:eastAsiaTheme="minorEastAsia" w:cstheme="minorEastAsia"/>
          <w:sz w:val="22"/>
          <w:szCs w:val="22"/>
          <w:u w:val="single"/>
        </w:rPr>
        <w:t>（投标人名称）</w:t>
      </w:r>
      <w:r>
        <w:rPr>
          <w:rFonts w:hint="eastAsia" w:asciiTheme="minorEastAsia" w:hAnsiTheme="minorEastAsia" w:eastAsiaTheme="minorEastAsia" w:cstheme="minorEastAsia"/>
          <w:sz w:val="22"/>
          <w:szCs w:val="22"/>
        </w:rPr>
        <w:t>或其正式授权代表依此合法地办理一切事宜。</w:t>
      </w:r>
    </w:p>
    <w:p>
      <w:pPr>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（4）我方于</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年</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月</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日签署本文件，</w:t>
      </w:r>
      <w:r>
        <w:rPr>
          <w:rFonts w:hint="eastAsia" w:asciiTheme="minorEastAsia" w:hAnsiTheme="minorEastAsia" w:eastAsiaTheme="minorEastAsia" w:cstheme="minorEastAsia"/>
          <w:sz w:val="22"/>
          <w:szCs w:val="22"/>
          <w:u w:val="single"/>
        </w:rPr>
        <w:t>（投标人名称）</w:t>
      </w:r>
      <w:r>
        <w:rPr>
          <w:rFonts w:hint="eastAsia" w:asciiTheme="minorEastAsia" w:hAnsiTheme="minorEastAsia" w:eastAsiaTheme="minorEastAsia" w:cstheme="minorEastAsia"/>
          <w:sz w:val="22"/>
          <w:szCs w:val="22"/>
        </w:rPr>
        <w:t>于</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年</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月</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日接受此件，以此为证。</w:t>
      </w:r>
    </w:p>
    <w:p>
      <w:pPr>
        <w:spacing w:line="360" w:lineRule="auto"/>
        <w:ind w:firstLine="440" w:firstLineChars="200"/>
        <w:rPr>
          <w:rFonts w:asciiTheme="minorEastAsia" w:hAnsiTheme="minorEastAsia" w:eastAsiaTheme="minorEastAsia" w:cstheme="minorEastAsia"/>
          <w:sz w:val="22"/>
          <w:szCs w:val="22"/>
        </w:rPr>
      </w:pPr>
    </w:p>
    <w:p>
      <w:pPr>
        <w:spacing w:line="360" w:lineRule="auto"/>
        <w:ind w:firstLine="440" w:firstLineChars="200"/>
        <w:rPr>
          <w:rFonts w:asciiTheme="minorEastAsia" w:hAnsiTheme="minorEastAsia" w:eastAsiaTheme="minorEastAsia" w:cstheme="minorEastAsia"/>
          <w:sz w:val="22"/>
          <w:szCs w:val="22"/>
        </w:rPr>
      </w:pP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投标人名称：                                  出具授权书的制造厂商名称：</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（投标人印章）                                   （制造商印章）</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签字人职务和部门：                            签字人职务和部门：</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签字人姓名：                                  签字人姓名：</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移动电话：                                    移动电话：</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联系电话：                                    联系电话：</w:t>
      </w:r>
    </w:p>
    <w:p>
      <w:pPr>
        <w:spacing w:line="500" w:lineRule="exact"/>
        <w:rPr>
          <w:rFonts w:asciiTheme="minorEastAsia" w:hAnsiTheme="minorEastAsia" w:eastAsiaTheme="minorEastAsia" w:cstheme="minorEastAsia"/>
          <w:sz w:val="22"/>
          <w:szCs w:val="22"/>
        </w:rPr>
      </w:pPr>
    </w:p>
    <w:p>
      <w:pPr>
        <w:widowControl/>
        <w:spacing w:line="500" w:lineRule="exact"/>
        <w:rPr>
          <w:rFonts w:asciiTheme="minorEastAsia" w:hAnsiTheme="minorEastAsia" w:eastAsiaTheme="minorEastAsia" w:cstheme="minorEastAsia"/>
          <w:b/>
        </w:rPr>
      </w:pPr>
      <w:r>
        <w:rPr>
          <w:rFonts w:hint="eastAsia" w:asciiTheme="minorEastAsia" w:hAnsiTheme="minorEastAsia" w:eastAsiaTheme="minorEastAsia" w:cstheme="minorEastAsia"/>
          <w:b/>
          <w:spacing w:val="-4"/>
        </w:rPr>
        <w:t>注：进口货物若非制造商参与竞标的，须提供该授权函。若由代理商对投标产品授权的，需提供代理商具有有效授权权限的相关证明文件，证明文件需能显示产品制造厂家对竞标产品授权链条的完整性。</w:t>
      </w:r>
    </w:p>
    <w:p>
      <w:pPr>
        <w:pStyle w:val="4"/>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七、制造商资格声明</w:t>
      </w:r>
    </w:p>
    <w:p>
      <w:pPr>
        <w:spacing w:line="360" w:lineRule="exact"/>
        <w:jc w:val="center"/>
        <w:rPr>
          <w:rFonts w:asciiTheme="minorEastAsia" w:hAnsiTheme="minorEastAsia" w:eastAsiaTheme="minorEastAsia" w:cstheme="minorEastAsia"/>
        </w:rPr>
      </w:pPr>
      <w:r>
        <w:rPr>
          <w:rFonts w:hint="eastAsia" w:asciiTheme="minorEastAsia" w:hAnsiTheme="minorEastAsia" w:eastAsiaTheme="minorEastAsia" w:cstheme="minorEastAsia"/>
        </w:rPr>
        <w:t>制造商资格声明（如适用）</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1．名称及概况：</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(1)制造商名称：</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(2)总部地址：</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电传/传真/电话号码：</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(3)成立和/或注册日期：</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(4)实收资本：</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(5)近期资产负债表(到</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年</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月</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日止)</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①固定资产：</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②流动资产：</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③长期负债：</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④流动负债：</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⑤净值：</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(6)主要负责人姓名(可选填)：</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(7)制造商在中国的代表的姓名和地址(如有的话)：</w:t>
      </w:r>
    </w:p>
    <w:p>
      <w:pPr>
        <w:spacing w:line="36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                                                                                  </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2．(1)关于制造投标货物的设施及其它情况</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工厂名称地址         生产的项目       年生产能力         职工人数</w:t>
      </w:r>
    </w:p>
    <w:p>
      <w:pPr>
        <w:spacing w:line="36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p>
    <w:p>
      <w:pPr>
        <w:spacing w:line="360" w:lineRule="exact"/>
        <w:rPr>
          <w:rFonts w:asciiTheme="minorEastAsia" w:hAnsiTheme="minorEastAsia" w:eastAsiaTheme="minorEastAsia" w:cstheme="minorEastAsia"/>
          <w:u w:val="single"/>
        </w:rPr>
      </w:pP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(2)本制造厂不生产，而须从其它制造厂购买的主要零部件：</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制造商名称和地址                    主要零部件名称</w:t>
      </w:r>
    </w:p>
    <w:p>
      <w:pPr>
        <w:spacing w:line="36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p>
    <w:p>
      <w:pPr>
        <w:spacing w:line="360" w:lineRule="exact"/>
        <w:rPr>
          <w:rFonts w:asciiTheme="minorEastAsia" w:hAnsiTheme="minorEastAsia" w:eastAsiaTheme="minorEastAsia" w:cstheme="minorEastAsia"/>
          <w:u w:val="single"/>
        </w:rPr>
      </w:pPr>
    </w:p>
    <w:p>
      <w:pPr>
        <w:spacing w:line="360" w:lineRule="exact"/>
        <w:jc w:val="both"/>
        <w:rPr>
          <w:rFonts w:asciiTheme="minorEastAsia" w:hAnsiTheme="minorEastAsia" w:eastAsiaTheme="minorEastAsia" w:cstheme="minorEastAsia"/>
        </w:rPr>
      </w:pPr>
      <w:r>
        <w:rPr>
          <w:rFonts w:hint="eastAsia" w:asciiTheme="minorEastAsia" w:hAnsiTheme="minorEastAsia" w:eastAsiaTheme="minorEastAsia" w:cstheme="minorEastAsia"/>
        </w:rPr>
        <w:t>3．本制造商生产投标货物的经验(包括年限、项目业主、额定能力、商业运营的起始日期等)：</w:t>
      </w:r>
    </w:p>
    <w:p>
      <w:pPr>
        <w:spacing w:line="36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                                                                                  </w:t>
      </w:r>
    </w:p>
    <w:p>
      <w:pPr>
        <w:spacing w:line="360" w:lineRule="exact"/>
        <w:rPr>
          <w:rFonts w:asciiTheme="minorEastAsia" w:hAnsiTheme="minorEastAsia" w:eastAsiaTheme="minorEastAsia" w:cstheme="minorEastAsia"/>
        </w:rPr>
      </w:pP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4．近3年投标货物主要销售给国内、外主要客户的名称地址：</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(1)出口销售</w:t>
      </w:r>
    </w:p>
    <w:p>
      <w:pPr>
        <w:spacing w:line="36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(名称和地址)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(销售项目)               </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(2)国内销售</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u w:val="single"/>
        </w:rPr>
        <w:t xml:space="preserve">(名称和地址)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(销售项目)               </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5．近3年的年营业额：</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年份                   国内                 出口               总额</w:t>
      </w:r>
    </w:p>
    <w:p>
      <w:pPr>
        <w:spacing w:line="36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p>
    <w:p>
      <w:pPr>
        <w:spacing w:line="360" w:lineRule="exact"/>
        <w:rPr>
          <w:rFonts w:asciiTheme="minorEastAsia" w:hAnsiTheme="minorEastAsia" w:eastAsiaTheme="minorEastAsia" w:cstheme="minorEastAsia"/>
        </w:rPr>
      </w:pP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6．易损件供应商的名称和地址：</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部件名称                   供应商</w:t>
      </w:r>
    </w:p>
    <w:p>
      <w:pPr>
        <w:spacing w:line="36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7．最近3年直接或间接向中国提供的投标货物：</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合同编号：</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签字日期：</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项目名称：</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数量：</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合同金额：</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8．有关开户银行的名称和地址：</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p>
    <w:p>
      <w:pPr>
        <w:spacing w:line="36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9．制造商所属的集团公司（如有的话）：</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p>
    <w:p>
      <w:pPr>
        <w:spacing w:line="36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10．其他情况：</w:t>
      </w:r>
      <w:r>
        <w:rPr>
          <w:rFonts w:hint="eastAsia" w:asciiTheme="minorEastAsia" w:hAnsiTheme="minorEastAsia" w:eastAsiaTheme="minorEastAsia" w:cstheme="minorEastAsia"/>
          <w:u w:val="single"/>
        </w:rPr>
        <w:t xml:space="preserve">                                                                        </w:t>
      </w:r>
    </w:p>
    <w:p>
      <w:pPr>
        <w:spacing w:line="360" w:lineRule="exact"/>
        <w:rPr>
          <w:rFonts w:asciiTheme="minorEastAsia" w:hAnsiTheme="minorEastAsia" w:eastAsiaTheme="minorEastAsia" w:cstheme="minorEastAsia"/>
        </w:rPr>
      </w:pPr>
    </w:p>
    <w:p>
      <w:pPr>
        <w:spacing w:line="360" w:lineRule="exact"/>
        <w:jc w:val="both"/>
        <w:rPr>
          <w:rFonts w:asciiTheme="minorEastAsia" w:hAnsiTheme="minorEastAsia" w:eastAsiaTheme="minorEastAsia" w:cstheme="minorEastAsia"/>
        </w:rPr>
      </w:pPr>
      <w:r>
        <w:rPr>
          <w:rFonts w:hint="eastAsia" w:asciiTheme="minorEastAsia" w:hAnsiTheme="minorEastAsia" w:eastAsiaTheme="minorEastAsia" w:cstheme="minorEastAsia"/>
        </w:rPr>
        <w:t>兹证明上述声明是真实、正确的，并提供了全部能提供的资料和数据，我们同意遵照贵方要求出示有关证明文件。</w:t>
      </w:r>
    </w:p>
    <w:p>
      <w:pPr>
        <w:spacing w:line="360" w:lineRule="exact"/>
        <w:rPr>
          <w:rFonts w:asciiTheme="minorEastAsia" w:hAnsiTheme="minorEastAsia" w:eastAsiaTheme="minorEastAsia" w:cstheme="minorEastAsia"/>
        </w:rPr>
      </w:pPr>
    </w:p>
    <w:p>
      <w:pPr>
        <w:spacing w:line="360" w:lineRule="exact"/>
        <w:rPr>
          <w:rFonts w:asciiTheme="minorEastAsia" w:hAnsiTheme="minorEastAsia" w:eastAsiaTheme="minorEastAsia" w:cstheme="minorEastAsia"/>
        </w:rPr>
      </w:pPr>
    </w:p>
    <w:p>
      <w:pPr>
        <w:spacing w:line="360" w:lineRule="exact"/>
        <w:rPr>
          <w:rFonts w:asciiTheme="minorEastAsia" w:hAnsiTheme="minorEastAsia" w:eastAsiaTheme="minorEastAsia" w:cstheme="minorEastAsia"/>
        </w:rPr>
      </w:pPr>
    </w:p>
    <w:p>
      <w:pPr>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制造商名称：</w:t>
      </w:r>
    </w:p>
    <w:p>
      <w:pPr>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签字人姓名和职务：</w:t>
      </w:r>
    </w:p>
    <w:p>
      <w:pPr>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签字人签名：</w:t>
      </w:r>
    </w:p>
    <w:p>
      <w:pPr>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签字日期：</w:t>
      </w:r>
    </w:p>
    <w:p>
      <w:pPr>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传真：</w:t>
      </w:r>
    </w:p>
    <w:p>
      <w:pPr>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电话：</w:t>
      </w:r>
    </w:p>
    <w:p>
      <w:pPr>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电子邮件：</w:t>
      </w:r>
    </w:p>
    <w:p>
      <w:pPr>
        <w:pStyle w:val="6"/>
        <w:rPr>
          <w:rFonts w:asciiTheme="minorEastAsia" w:hAnsiTheme="minorEastAsia" w:eastAsiaTheme="minorEastAsia" w:cstheme="minorEastAsia"/>
        </w:rPr>
        <w:sectPr>
          <w:pgSz w:w="11906" w:h="16838"/>
          <w:pgMar w:top="1418" w:right="1247" w:bottom="1247" w:left="1418" w:header="851" w:footer="851" w:gutter="0"/>
          <w:cols w:space="720" w:num="1"/>
          <w:docGrid w:linePitch="326" w:charSpace="0"/>
        </w:sectPr>
      </w:pPr>
    </w:p>
    <w:p>
      <w:pPr>
        <w:pStyle w:val="6"/>
        <w:rPr>
          <w:rFonts w:asciiTheme="minorEastAsia" w:hAnsiTheme="minorEastAsia" w:eastAsiaTheme="minorEastAsia" w:cstheme="minorEastAsia"/>
        </w:rPr>
      </w:pPr>
    </w:p>
    <w:p>
      <w:pPr>
        <w:pStyle w:val="4"/>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八、其他</w:t>
      </w:r>
    </w:p>
    <w:p>
      <w:pPr>
        <w:pStyle w:val="6"/>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本项目所需或投标人认为应该提供的其他资格文件，格式可自拟</w:t>
      </w:r>
    </w:p>
    <w:p>
      <w:pPr>
        <w:pStyle w:val="6"/>
        <w:ind w:firstLine="0"/>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p>
    <w:p>
      <w:pPr>
        <w:rPr>
          <w:rFonts w:asciiTheme="minorEastAsia" w:hAnsiTheme="minorEastAsia" w:eastAsiaTheme="minorEastAsia" w:cstheme="minorEastAsia"/>
        </w:rPr>
      </w:pPr>
      <w:r>
        <w:rPr>
          <w:rFonts w:asciiTheme="minorEastAsia" w:hAnsiTheme="minorEastAsia" w:eastAsiaTheme="minorEastAsia" w:cstheme="minorEastAsia"/>
        </w:rPr>
        <w:br w:type="page"/>
      </w:r>
    </w:p>
    <w:p>
      <w:pPr>
        <w:pStyle w:val="6"/>
        <w:ind w:firstLine="0"/>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p>
    <w:p>
      <w:pPr>
        <w:keepNext/>
        <w:keepLines/>
        <w:snapToGrid w:val="0"/>
        <w:spacing w:line="560" w:lineRule="exact"/>
        <w:jc w:val="center"/>
        <w:textAlignment w:val="auto"/>
        <w:outlineLvl w:val="1"/>
        <w:rPr>
          <w:rFonts w:ascii="宋体" w:hAnsi="宋体"/>
          <w:b/>
          <w:kern w:val="2"/>
          <w:sz w:val="36"/>
          <w:szCs w:val="36"/>
        </w:rPr>
      </w:pPr>
      <w:bookmarkStart w:id="143" w:name="_Toc418512142"/>
      <w:bookmarkStart w:id="144" w:name="_Toc315942083"/>
      <w:bookmarkStart w:id="145" w:name="_Toc316375214"/>
      <w:bookmarkStart w:id="146" w:name="_Toc297020926"/>
      <w:bookmarkStart w:id="147" w:name="_Toc285722716"/>
      <w:bookmarkStart w:id="148" w:name="_Toc277084874"/>
      <w:bookmarkStart w:id="149" w:name="_Toc315941084"/>
      <w:bookmarkStart w:id="150" w:name="_Toc370305018"/>
      <w:r>
        <w:rPr>
          <w:rFonts w:hint="eastAsia" w:ascii="宋体" w:hAnsi="宋体"/>
          <w:b/>
          <w:kern w:val="2"/>
          <w:sz w:val="36"/>
          <w:szCs w:val="36"/>
        </w:rPr>
        <w:t>第</w:t>
      </w:r>
      <w:r>
        <w:rPr>
          <w:rFonts w:ascii="宋体" w:hAnsi="宋体"/>
          <w:b/>
          <w:kern w:val="2"/>
          <w:sz w:val="36"/>
          <w:szCs w:val="36"/>
        </w:rPr>
        <w:t>二部</w:t>
      </w:r>
      <w:r>
        <w:rPr>
          <w:rFonts w:hint="eastAsia" w:ascii="宋体" w:hAnsi="宋体"/>
          <w:b/>
          <w:kern w:val="2"/>
          <w:sz w:val="36"/>
          <w:szCs w:val="36"/>
        </w:rPr>
        <w:t>分  技术、经济、商务文件</w:t>
      </w:r>
      <w:bookmarkEnd w:id="143"/>
      <w:bookmarkEnd w:id="144"/>
      <w:bookmarkEnd w:id="145"/>
      <w:bookmarkEnd w:id="146"/>
      <w:bookmarkEnd w:id="147"/>
      <w:bookmarkEnd w:id="148"/>
      <w:bookmarkEnd w:id="149"/>
      <w:bookmarkEnd w:id="150"/>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bookmarkEnd w:id="137"/>
    <w:p>
      <w:pPr>
        <w:spacing w:line="360" w:lineRule="exact"/>
        <w:jc w:val="center"/>
        <w:rPr>
          <w:rFonts w:asciiTheme="minorEastAsia" w:hAnsiTheme="minorEastAsia" w:eastAsiaTheme="minorEastAsia" w:cstheme="minorEastAsia"/>
        </w:rPr>
      </w:pPr>
    </w:p>
    <w:p>
      <w:pPr>
        <w:spacing w:line="360" w:lineRule="exact"/>
        <w:jc w:val="center"/>
        <w:rPr>
          <w:rFonts w:asciiTheme="minorEastAsia" w:hAnsiTheme="minorEastAsia" w:eastAsiaTheme="minorEastAsia" w:cstheme="minorEastAsia"/>
        </w:rPr>
      </w:pPr>
    </w:p>
    <w:p>
      <w:pPr>
        <w:spacing w:line="360" w:lineRule="exact"/>
        <w:jc w:val="center"/>
        <w:rPr>
          <w:rFonts w:asciiTheme="minorEastAsia" w:hAnsiTheme="minorEastAsia" w:eastAsiaTheme="minorEastAsia" w:cstheme="minorEastAsia"/>
        </w:rPr>
      </w:pP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投标文件封面格式</w:t>
      </w:r>
    </w:p>
    <w:p>
      <w:pPr>
        <w:spacing w:line="360" w:lineRule="auto"/>
        <w:jc w:val="center"/>
        <w:rPr>
          <w:rFonts w:asciiTheme="minorEastAsia" w:hAnsiTheme="minorEastAsia" w:eastAsiaTheme="minorEastAsia" w:cstheme="minorEastAsia"/>
          <w:b/>
          <w:sz w:val="44"/>
          <w:szCs w:val="44"/>
        </w:rPr>
      </w:pPr>
    </w:p>
    <w:p>
      <w:pPr>
        <w:spacing w:line="360" w:lineRule="auto"/>
        <w:jc w:val="center"/>
        <w:rPr>
          <w:rFonts w:asciiTheme="minorEastAsia" w:hAnsiTheme="minorEastAsia" w:eastAsiaTheme="minorEastAsia" w:cstheme="minorEastAsia"/>
          <w:b/>
          <w:sz w:val="52"/>
          <w:szCs w:val="52"/>
        </w:rPr>
      </w:pPr>
      <w:r>
        <w:rPr>
          <w:rFonts w:hint="eastAsia" w:asciiTheme="minorEastAsia" w:hAnsiTheme="minorEastAsia" w:eastAsiaTheme="minorEastAsia" w:cstheme="minorEastAsia"/>
          <w:b/>
          <w:sz w:val="52"/>
          <w:szCs w:val="52"/>
        </w:rPr>
        <w:t>投 标 文 件</w:t>
      </w:r>
    </w:p>
    <w:p>
      <w:pPr>
        <w:spacing w:line="360" w:lineRule="auto"/>
        <w:jc w:val="center"/>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（封面）</w:t>
      </w:r>
    </w:p>
    <w:p>
      <w:pPr>
        <w:spacing w:line="360" w:lineRule="auto"/>
        <w:jc w:val="center"/>
        <w:rPr>
          <w:rFonts w:asciiTheme="minorEastAsia" w:hAnsiTheme="minorEastAsia" w:eastAsiaTheme="minorEastAsia" w:cstheme="minorEastAsia"/>
          <w:sz w:val="28"/>
          <w:szCs w:val="28"/>
        </w:rPr>
      </w:pPr>
    </w:p>
    <w:p>
      <w:pPr>
        <w:spacing w:line="360" w:lineRule="auto"/>
        <w:jc w:val="center"/>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技术、经济、商务文件</w:t>
      </w:r>
    </w:p>
    <w:p>
      <w:pPr>
        <w:spacing w:line="360" w:lineRule="auto"/>
        <w:jc w:val="center"/>
        <w:rPr>
          <w:rFonts w:asciiTheme="minorEastAsia" w:hAnsiTheme="minorEastAsia" w:eastAsiaTheme="minorEastAsia" w:cstheme="minorEastAsia"/>
          <w:sz w:val="28"/>
          <w:szCs w:val="28"/>
        </w:rPr>
      </w:pPr>
    </w:p>
    <w:p>
      <w:pPr>
        <w:spacing w:line="360" w:lineRule="auto"/>
        <w:ind w:firstLine="1820" w:firstLineChars="65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项目名称： </w:t>
      </w:r>
    </w:p>
    <w:p>
      <w:pPr>
        <w:spacing w:line="360" w:lineRule="auto"/>
        <w:ind w:firstLine="1820" w:firstLineChars="650"/>
        <w:rPr>
          <w:rFonts w:asciiTheme="minorEastAsia" w:hAnsiTheme="minorEastAsia" w:eastAsiaTheme="minorEastAsia" w:cstheme="minorEastAsia"/>
          <w:sz w:val="28"/>
          <w:szCs w:val="28"/>
        </w:rPr>
      </w:pPr>
    </w:p>
    <w:p>
      <w:pPr>
        <w:spacing w:line="360" w:lineRule="auto"/>
        <w:ind w:firstLine="1820" w:firstLineChars="650"/>
        <w:rPr>
          <w:rFonts w:asciiTheme="minorEastAsia" w:hAnsiTheme="minorEastAsia" w:eastAsiaTheme="minorEastAsia" w:cstheme="minorEastAsia"/>
        </w:rPr>
      </w:pPr>
      <w:r>
        <w:rPr>
          <w:rFonts w:hint="eastAsia" w:asciiTheme="minorEastAsia" w:hAnsiTheme="minorEastAsia" w:eastAsiaTheme="minorEastAsia" w:cstheme="minorEastAsia"/>
          <w:sz w:val="28"/>
          <w:szCs w:val="28"/>
        </w:rPr>
        <w:t>招标编号：</w:t>
      </w:r>
    </w:p>
    <w:p>
      <w:pPr>
        <w:spacing w:line="360" w:lineRule="auto"/>
        <w:jc w:val="center"/>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（正本/ 副本）</w:t>
      </w:r>
    </w:p>
    <w:p>
      <w:pPr>
        <w:spacing w:line="360" w:lineRule="auto"/>
        <w:jc w:val="center"/>
        <w:rPr>
          <w:rFonts w:asciiTheme="minorEastAsia" w:hAnsiTheme="minorEastAsia" w:eastAsiaTheme="minorEastAsia" w:cstheme="minorEastAsia"/>
          <w:sz w:val="28"/>
          <w:szCs w:val="28"/>
        </w:rPr>
      </w:pPr>
    </w:p>
    <w:p>
      <w:pPr>
        <w:spacing w:line="360" w:lineRule="auto"/>
        <w:ind w:firstLine="480" w:firstLineChars="200"/>
        <w:rPr>
          <w:rFonts w:asciiTheme="minorEastAsia" w:hAnsiTheme="minorEastAsia" w:eastAsiaTheme="minorEastAsia" w:cstheme="minorEastAsia"/>
        </w:rPr>
      </w:pP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投标人名称  ：</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法定代表人姓名：                 手机：</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地址：                           邮编：</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电话：                           传真：</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网址：</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电子邮箱：</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投标代表（印刷体）：              签字：</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手机：                            日期  ：  年  月  日</w:t>
      </w:r>
    </w:p>
    <w:p>
      <w:pPr>
        <w:spacing w:line="360" w:lineRule="auto"/>
        <w:rPr>
          <w:rFonts w:asciiTheme="minorEastAsia" w:hAnsiTheme="minorEastAsia" w:eastAsiaTheme="minorEastAsia" w:cstheme="minorEastAsia"/>
        </w:rPr>
      </w:pPr>
    </w:p>
    <w:p>
      <w:pPr>
        <w:pStyle w:val="2"/>
      </w:pPr>
    </w:p>
    <w:p>
      <w:pPr>
        <w:spacing w:line="360" w:lineRule="exact"/>
        <w:rPr>
          <w:rFonts w:asciiTheme="minorEastAsia" w:hAnsiTheme="minorEastAsia" w:eastAsiaTheme="minorEastAsia" w:cstheme="minorEastAsia"/>
        </w:rPr>
      </w:pPr>
      <w:bookmarkStart w:id="151" w:name="_Toc465269279"/>
    </w:p>
    <w:p>
      <w:pPr>
        <w:spacing w:line="360" w:lineRule="exact"/>
        <w:rPr>
          <w:rFonts w:asciiTheme="minorEastAsia" w:hAnsiTheme="minorEastAsia" w:eastAsiaTheme="minorEastAsia" w:cstheme="minorEastAsia"/>
        </w:rPr>
      </w:pP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投标文件目录格式</w:t>
      </w:r>
    </w:p>
    <w:p>
      <w:pPr>
        <w:spacing w:line="360" w:lineRule="auto"/>
        <w:jc w:val="center"/>
        <w:rPr>
          <w:rFonts w:asciiTheme="minorEastAsia" w:hAnsiTheme="minorEastAsia" w:eastAsiaTheme="minorEastAsia" w:cstheme="minorEastAsia"/>
          <w:sz w:val="40"/>
          <w:szCs w:val="40"/>
        </w:rPr>
      </w:pPr>
      <w:r>
        <w:rPr>
          <w:rFonts w:hint="eastAsia" w:asciiTheme="minorEastAsia" w:hAnsiTheme="minorEastAsia" w:eastAsiaTheme="minorEastAsia" w:cstheme="minorEastAsia"/>
          <w:sz w:val="40"/>
          <w:szCs w:val="40"/>
        </w:rPr>
        <w:t>投标文件目录</w:t>
      </w:r>
    </w:p>
    <w:p>
      <w:pPr>
        <w:spacing w:line="360" w:lineRule="auto"/>
        <w:jc w:val="center"/>
        <w:rPr>
          <w:rFonts w:asciiTheme="minorEastAsia" w:hAnsiTheme="minorEastAsia" w:eastAsiaTheme="minorEastAsia" w:cstheme="minorEastAsia"/>
          <w:sz w:val="40"/>
          <w:szCs w:val="40"/>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一、投标函……………………………………………………………………………… 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二、 廉洁投标承诺书……………………………………………………………………页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三、开标一览表…………………………………………………………………………页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四、投标分项报价表……………………………………………………………………页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五、配置清单……………………………………………………………………………页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六、法定代表人（单位负责人）身份证明及法定代表人（单位负责人）授权书… 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七、技术规格/要求偏离表……………………………………………………………… 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八、商务条款偏离表…………………………………………………………………… 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九、售后服务承诺书…………………………………………………………………… 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十、同类项目业绩……………………………………………………………………… 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十一、中小企业情况说明………………………………………………………………页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十二、承诺书…………………………………………………………………………… 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十三、其它材料………………………………………………………………………… 页</w:t>
      </w:r>
    </w:p>
    <w:p>
      <w:pPr>
        <w:pStyle w:val="6"/>
        <w:rPr>
          <w:rFonts w:asciiTheme="minorEastAsia" w:hAnsiTheme="minorEastAsia" w:eastAsiaTheme="minorEastAsia" w:cstheme="minorEastAsia"/>
        </w:rPr>
      </w:pPr>
    </w:p>
    <w:p>
      <w:pPr>
        <w:pStyle w:val="6"/>
        <w:rPr>
          <w:rFonts w:asciiTheme="minorEastAsia" w:hAnsiTheme="minorEastAsia" w:eastAsiaTheme="minorEastAsia" w:cstheme="minorEastAsia"/>
        </w:rPr>
      </w:pPr>
    </w:p>
    <w:p>
      <w:pPr>
        <w:pStyle w:val="6"/>
        <w:rPr>
          <w:rFonts w:asciiTheme="minorEastAsia" w:hAnsiTheme="minorEastAsia" w:eastAsiaTheme="minorEastAsia" w:cstheme="minorEastAsia"/>
        </w:rPr>
        <w:sectPr>
          <w:pgSz w:w="11906" w:h="16838"/>
          <w:pgMar w:top="1418" w:right="1247" w:bottom="1247" w:left="1418" w:header="851" w:footer="851" w:gutter="0"/>
          <w:cols w:space="720" w:num="1"/>
          <w:docGrid w:linePitch="326" w:charSpace="0"/>
        </w:sectPr>
      </w:pPr>
    </w:p>
    <w:bookmarkEnd w:id="151"/>
    <w:p>
      <w:pPr>
        <w:pStyle w:val="4"/>
        <w:spacing w:line="400" w:lineRule="exact"/>
        <w:ind w:left="0"/>
        <w:rPr>
          <w:rFonts w:asciiTheme="minorEastAsia" w:hAnsiTheme="minorEastAsia" w:eastAsiaTheme="minorEastAsia" w:cstheme="minorEastAsia"/>
          <w:b w:val="0"/>
        </w:rPr>
      </w:pPr>
      <w:bookmarkStart w:id="152" w:name="_Toc465269280"/>
      <w:r>
        <w:rPr>
          <w:rFonts w:hint="eastAsia" w:asciiTheme="minorEastAsia" w:hAnsiTheme="minorEastAsia" w:eastAsiaTheme="minorEastAsia" w:cstheme="minorEastAsia"/>
          <w:b w:val="0"/>
        </w:rPr>
        <w:t>一、投标函格式</w:t>
      </w:r>
    </w:p>
    <w:p>
      <w:pPr>
        <w:spacing w:line="400" w:lineRule="exact"/>
        <w:jc w:val="center"/>
        <w:rPr>
          <w:rFonts w:asciiTheme="minorEastAsia" w:hAnsiTheme="minorEastAsia" w:eastAsiaTheme="minorEastAsia" w:cstheme="minorEastAsia"/>
          <w:sz w:val="40"/>
          <w:szCs w:val="40"/>
        </w:rPr>
      </w:pPr>
      <w:r>
        <w:rPr>
          <w:rFonts w:hint="eastAsia" w:asciiTheme="minorEastAsia" w:hAnsiTheme="minorEastAsia" w:eastAsiaTheme="minorEastAsia" w:cstheme="minorEastAsia"/>
          <w:sz w:val="40"/>
          <w:szCs w:val="40"/>
        </w:rPr>
        <w:t>投 标 函</w:t>
      </w:r>
    </w:p>
    <w:p>
      <w:pPr>
        <w:spacing w:line="380" w:lineRule="exact"/>
        <w:rPr>
          <w:rFonts w:asciiTheme="minorEastAsia" w:hAnsiTheme="minorEastAsia" w:eastAsiaTheme="minorEastAsia" w:cstheme="minorEastAsia"/>
        </w:rPr>
      </w:pPr>
      <w:r>
        <w:rPr>
          <w:rFonts w:hint="eastAsia" w:asciiTheme="minorEastAsia" w:hAnsiTheme="minorEastAsia" w:eastAsiaTheme="minorEastAsia" w:cstheme="minorEastAsia"/>
        </w:rPr>
        <w:t>致：西南大学</w:t>
      </w:r>
    </w:p>
    <w:p>
      <w:pPr>
        <w:spacing w:line="38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 xml:space="preserve">根据贵方 </w:t>
      </w:r>
      <w:r>
        <w:rPr>
          <w:rFonts w:hint="eastAsia" w:asciiTheme="minorEastAsia" w:hAnsiTheme="minorEastAsia" w:eastAsiaTheme="minorEastAsia" w:cstheme="minorEastAsia"/>
          <w:u w:val="single"/>
        </w:rPr>
        <w:t>（项目名称 ）</w:t>
      </w:r>
      <w:r>
        <w:rPr>
          <w:rFonts w:hint="eastAsia" w:asciiTheme="minorEastAsia" w:hAnsiTheme="minorEastAsia" w:eastAsiaTheme="minorEastAsia" w:cstheme="minorEastAsia"/>
        </w:rPr>
        <w:t xml:space="preserve">项目招标采购货物及服务的投标邀请 </w:t>
      </w:r>
      <w:r>
        <w:rPr>
          <w:rFonts w:hint="eastAsia" w:asciiTheme="minorEastAsia" w:hAnsiTheme="minorEastAsia" w:eastAsiaTheme="minorEastAsia" w:cstheme="minorEastAsia"/>
          <w:u w:val="single"/>
        </w:rPr>
        <w:t>（招标编号 ）</w:t>
      </w:r>
      <w:r>
        <w:rPr>
          <w:rFonts w:hint="eastAsia" w:asciiTheme="minorEastAsia" w:hAnsiTheme="minorEastAsia" w:eastAsiaTheme="minorEastAsia" w:cstheme="minorEastAsia"/>
        </w:rPr>
        <w:t>，签字代表</w:t>
      </w:r>
      <w:r>
        <w:rPr>
          <w:rFonts w:hint="eastAsia" w:asciiTheme="minorEastAsia" w:hAnsiTheme="minorEastAsia" w:eastAsiaTheme="minorEastAsia" w:cstheme="minorEastAsia"/>
          <w:u w:val="single"/>
        </w:rPr>
        <w:t>（ 姓名， 职务 ）</w:t>
      </w:r>
      <w:r>
        <w:rPr>
          <w:rFonts w:hint="eastAsia" w:asciiTheme="minorEastAsia" w:hAnsiTheme="minorEastAsia" w:eastAsiaTheme="minorEastAsia" w:cstheme="minorEastAsia"/>
        </w:rPr>
        <w:t>经正式授权并代表投标人</w:t>
      </w:r>
      <w:r>
        <w:rPr>
          <w:rFonts w:hint="eastAsia" w:asciiTheme="minorEastAsia" w:hAnsiTheme="minorEastAsia" w:eastAsiaTheme="minorEastAsia" w:cstheme="minorEastAsia"/>
          <w:u w:val="single"/>
        </w:rPr>
        <w:t>( 投标人名称和地址)</w:t>
      </w:r>
      <w:r>
        <w:rPr>
          <w:rFonts w:hint="eastAsia" w:asciiTheme="minorEastAsia" w:hAnsiTheme="minorEastAsia" w:eastAsiaTheme="minorEastAsia" w:cstheme="minorEastAsia"/>
        </w:rPr>
        <w:t>提交投标文件</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资格文件正本</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份，副本</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份；经济商务技术文件正本</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份，副本</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份）。</w:t>
      </w:r>
    </w:p>
    <w:p>
      <w:pPr>
        <w:spacing w:line="38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签字人代表以此函申明并同意如下:</w:t>
      </w:r>
    </w:p>
    <w:p>
      <w:pPr>
        <w:spacing w:line="380" w:lineRule="exact"/>
        <w:ind w:firstLine="472" w:firstLineChars="200"/>
        <w:jc w:val="both"/>
        <w:rPr>
          <w:rFonts w:asciiTheme="minorEastAsia" w:hAnsiTheme="minorEastAsia" w:eastAsiaTheme="minorEastAsia" w:cstheme="minorEastAsia"/>
          <w:spacing w:val="-2"/>
        </w:rPr>
      </w:pPr>
      <w:r>
        <w:rPr>
          <w:rFonts w:hint="eastAsia" w:asciiTheme="minorEastAsia" w:hAnsiTheme="minorEastAsia" w:eastAsiaTheme="minorEastAsia" w:cstheme="minorEastAsia"/>
          <w:spacing w:val="-2"/>
        </w:rPr>
        <w:t>（1）所附投标报价表规定的应提交和交付的货物及服务的投标总价为货交采购人指定地点（包括安装调试）价格，其中国内货物总价为人民币</w:t>
      </w:r>
      <w:r>
        <w:rPr>
          <w:rFonts w:hint="eastAsia" w:asciiTheme="minorEastAsia" w:hAnsiTheme="minorEastAsia" w:eastAsiaTheme="minorEastAsia" w:cstheme="minorEastAsia"/>
          <w:spacing w:val="-2"/>
          <w:u w:val="single"/>
        </w:rPr>
        <w:t xml:space="preserve">              </w:t>
      </w:r>
      <w:r>
        <w:rPr>
          <w:rFonts w:hint="eastAsia" w:asciiTheme="minorEastAsia" w:hAnsiTheme="minorEastAsia" w:eastAsiaTheme="minorEastAsia" w:cstheme="minorEastAsia"/>
          <w:spacing w:val="-2"/>
        </w:rPr>
        <w:t>元（以大写和数字表示，国内货物报含税人民币价），进口货物的总价为</w:t>
      </w:r>
      <w:r>
        <w:rPr>
          <w:rFonts w:hint="eastAsia" w:asciiTheme="minorEastAsia" w:hAnsiTheme="minorEastAsia" w:eastAsiaTheme="minorEastAsia" w:cstheme="minorEastAsia"/>
          <w:spacing w:val="-2"/>
          <w:u w:val="single"/>
        </w:rPr>
        <w:t xml:space="preserve">              </w:t>
      </w:r>
      <w:r>
        <w:rPr>
          <w:rFonts w:hint="eastAsia" w:asciiTheme="minorEastAsia" w:hAnsiTheme="minorEastAsia" w:eastAsiaTheme="minorEastAsia" w:cstheme="minorEastAsia"/>
          <w:spacing w:val="-2"/>
        </w:rPr>
        <w:t>（以大写和数字表示，</w:t>
      </w:r>
      <w:r>
        <w:rPr>
          <w:rFonts w:hint="eastAsia" w:asciiTheme="minorEastAsia" w:hAnsiTheme="minorEastAsia" w:eastAsiaTheme="minorEastAsia" w:cstheme="minorEastAsia"/>
          <w:b/>
          <w:bCs/>
          <w:spacing w:val="-2"/>
        </w:rPr>
        <w:t>进口货物可报外币价，注明报价方式</w:t>
      </w:r>
      <w:r>
        <w:rPr>
          <w:rFonts w:hint="eastAsia" w:asciiTheme="minorEastAsia" w:hAnsiTheme="minorEastAsia" w:eastAsiaTheme="minorEastAsia" w:cstheme="minorEastAsia"/>
          <w:spacing w:val="-2"/>
        </w:rPr>
        <w:t>）。</w:t>
      </w:r>
    </w:p>
    <w:p>
      <w:pPr>
        <w:spacing w:line="38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（2）投标人将按招标文件的规定履行合同责任和义务。</w:t>
      </w:r>
    </w:p>
    <w:p>
      <w:pPr>
        <w:spacing w:line="38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（3）投标人已详细审查全部招标文件，包括第（编号、补遗书）(如果有的话)。我们完全理解并同意放弃对这方面有不明及误解的权力。</w:t>
      </w:r>
    </w:p>
    <w:p>
      <w:pPr>
        <w:spacing w:line="38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（4）投标人之投标有效期为自开标之日起 90 个日历天。</w:t>
      </w:r>
    </w:p>
    <w:p>
      <w:pPr>
        <w:spacing w:line="38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（5）投标人保证遵守招标文件的全部规定，所提交的材料中所含的信息均为真实、准确、完整，且不具有任何误导性，并同意提供按照采购人可能的要求的与该项目投标有关的一切数据或资料。</w:t>
      </w:r>
    </w:p>
    <w:p>
      <w:pPr>
        <w:spacing w:line="38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6）我方理解贵方不一定接受最低投标报价或收到的任何报价，并承诺仅在有证据证明拟中标人存在提供虚假材料谋取中标资格或中标价格不合理高于其近期可比市场价格、与贵方参与该采购项目的相关人员及其它投标人恶意串通、向贵方参与该采购项目的相关人员提供不正当利益的情形下，保留提出投诉的权利。</w:t>
      </w:r>
    </w:p>
    <w:p>
      <w:pPr>
        <w:spacing w:line="38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（7）我方承诺，与采购人聘请的为此项目提供咨询服务的公司及任何附属机构均无关联，我方不是采购人的附属机构。</w:t>
      </w:r>
    </w:p>
    <w:p>
      <w:pPr>
        <w:spacing w:line="38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（8）我方承诺具有所投标的物的合法供货能力，具有履行合同所必需的设备和专业技术能力以及提供设备的安装、培训和提供长期售后服务的能力并能按贵方要求提供相关证明材料；</w:t>
      </w:r>
    </w:p>
    <w:p>
      <w:pPr>
        <w:spacing w:line="44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（9）我方承诺，不存在招标文件中规定的其他限制投标情形。</w:t>
      </w:r>
    </w:p>
    <w:p>
      <w:pPr>
        <w:spacing w:line="38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（10）所有与本次投标有关的一切正式信函请寄：</w:t>
      </w:r>
    </w:p>
    <w:p>
      <w:pPr>
        <w:spacing w:line="380" w:lineRule="exact"/>
        <w:rPr>
          <w:rFonts w:asciiTheme="minorEastAsia" w:hAnsiTheme="minorEastAsia" w:eastAsiaTheme="minorEastAsia" w:cstheme="minorEastAsia"/>
        </w:rPr>
      </w:pPr>
      <w:r>
        <w:rPr>
          <w:rFonts w:hint="eastAsia" w:asciiTheme="minorEastAsia" w:hAnsiTheme="minorEastAsia" w:eastAsiaTheme="minorEastAsia" w:cstheme="minorEastAsia"/>
        </w:rPr>
        <w:t>地址:                                    传真:</w:t>
      </w:r>
    </w:p>
    <w:p>
      <w:pPr>
        <w:spacing w:line="380" w:lineRule="exact"/>
        <w:rPr>
          <w:rFonts w:asciiTheme="minorEastAsia" w:hAnsiTheme="minorEastAsia" w:eastAsiaTheme="minorEastAsia" w:cstheme="minorEastAsia"/>
        </w:rPr>
      </w:pPr>
      <w:r>
        <w:rPr>
          <w:rFonts w:hint="eastAsia" w:asciiTheme="minorEastAsia" w:hAnsiTheme="minorEastAsia" w:eastAsiaTheme="minorEastAsia" w:cstheme="minorEastAsia"/>
        </w:rPr>
        <w:t>电话:                                    邮政编码:</w:t>
      </w:r>
    </w:p>
    <w:p>
      <w:pPr>
        <w:spacing w:line="380" w:lineRule="exact"/>
        <w:rPr>
          <w:rFonts w:asciiTheme="minorEastAsia" w:hAnsiTheme="minorEastAsia" w:eastAsiaTheme="minorEastAsia" w:cstheme="minorEastAsia"/>
        </w:rPr>
      </w:pPr>
      <w:r>
        <w:rPr>
          <w:rFonts w:hint="eastAsia" w:asciiTheme="minorEastAsia" w:hAnsiTheme="minorEastAsia" w:eastAsiaTheme="minorEastAsia" w:cstheme="minorEastAsia"/>
        </w:rPr>
        <w:t>投标人授权代表姓名、职务（印刷体）：    投标人名称：</w:t>
      </w:r>
    </w:p>
    <w:p>
      <w:pPr>
        <w:spacing w:line="380" w:lineRule="exact"/>
        <w:rPr>
          <w:rFonts w:asciiTheme="minorEastAsia" w:hAnsiTheme="minorEastAsia" w:eastAsiaTheme="minorEastAsia" w:cstheme="minorEastAsia"/>
        </w:rPr>
      </w:pPr>
      <w:r>
        <w:rPr>
          <w:rFonts w:hint="eastAsia" w:asciiTheme="minorEastAsia" w:hAnsiTheme="minorEastAsia" w:eastAsiaTheme="minorEastAsia" w:cstheme="minorEastAsia"/>
        </w:rPr>
        <w:t>投标人授权代表签名：                    投标人法人公章：</w:t>
      </w:r>
    </w:p>
    <w:p>
      <w:pPr>
        <w:spacing w:line="380" w:lineRule="exact"/>
        <w:rPr>
          <w:rFonts w:asciiTheme="minorEastAsia" w:hAnsiTheme="minorEastAsia" w:eastAsiaTheme="minorEastAsia" w:cstheme="minorEastAsia"/>
        </w:rPr>
      </w:pPr>
      <w:r>
        <w:rPr>
          <w:rFonts w:hint="eastAsia" w:asciiTheme="minorEastAsia" w:hAnsiTheme="minorEastAsia" w:eastAsiaTheme="minorEastAsia" w:cstheme="minorEastAsia"/>
        </w:rPr>
        <w:t>投标人授权代表移动电话：                日期：</w:t>
      </w:r>
    </w:p>
    <w:bookmarkEnd w:id="152"/>
    <w:p>
      <w:pPr>
        <w:pStyle w:val="4"/>
        <w:spacing w:line="360" w:lineRule="auto"/>
        <w:ind w:left="0"/>
        <w:rPr>
          <w:rFonts w:asciiTheme="minorEastAsia" w:hAnsiTheme="minorEastAsia" w:eastAsiaTheme="minorEastAsia" w:cstheme="minorEastAsia"/>
          <w:b w:val="0"/>
        </w:rPr>
        <w:sectPr>
          <w:pgSz w:w="11906" w:h="16838"/>
          <w:pgMar w:top="1418" w:right="1247" w:bottom="1247" w:left="1418" w:header="851" w:footer="851" w:gutter="0"/>
          <w:cols w:space="720" w:num="1"/>
          <w:docGrid w:linePitch="326" w:charSpace="0"/>
        </w:sectPr>
      </w:pPr>
      <w:bookmarkStart w:id="153" w:name="_Toc465269281"/>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二、廉洁投标承诺书格式</w:t>
      </w:r>
    </w:p>
    <w:p>
      <w:pPr>
        <w:spacing w:line="420" w:lineRule="exact"/>
        <w:jc w:val="center"/>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廉洁投标承诺书</w:t>
      </w:r>
    </w:p>
    <w:p>
      <w:pPr>
        <w:spacing w:line="420" w:lineRule="exact"/>
        <w:rPr>
          <w:rFonts w:asciiTheme="minorEastAsia" w:hAnsiTheme="minorEastAsia" w:eastAsiaTheme="minorEastAsia" w:cstheme="minorEastAsia"/>
        </w:rPr>
      </w:pPr>
      <w:r>
        <w:rPr>
          <w:rFonts w:hint="eastAsia" w:asciiTheme="minorEastAsia" w:hAnsiTheme="minorEastAsia" w:eastAsiaTheme="minorEastAsia" w:cstheme="minorEastAsia"/>
        </w:rPr>
        <w:t>致：西南大学</w:t>
      </w:r>
    </w:p>
    <w:p>
      <w:pPr>
        <w:spacing w:line="42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为加强招标采购活动中的廉政建设，防止发生商业贿赂等违法违纪行为，保护国家、集体和当事人的合法权益，根据《中华人民共和国政府采购法》等法律、法规规定，特向贵单位承诺如下事项：</w:t>
      </w:r>
    </w:p>
    <w:p>
      <w:pPr>
        <w:spacing w:line="40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一、参与招标采购活动时，除具备采购文件规定的资格、资质要求外，我方还将严格遵守有关法律、法规、政策以及国家、地方关于廉政建设的各项规定。</w:t>
      </w:r>
    </w:p>
    <w:p>
      <w:pPr>
        <w:spacing w:line="40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二、遵循公开、公平、公正、诚实信用原则参加投标活动，不发生损害上述原则及各方当事人合法权益的不正当竞争行为。</w:t>
      </w:r>
    </w:p>
    <w:p>
      <w:pPr>
        <w:spacing w:line="40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三、与采购各方当事人保持正常的业务交往，不向采购用户单位和个人、政府采购与招投标管理中心及工作人员、监督机构、评审专家及其他参与采购活动的人员提供不正当利益。</w:t>
      </w:r>
    </w:p>
    <w:p>
      <w:pPr>
        <w:spacing w:line="40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主要有：</w:t>
      </w:r>
    </w:p>
    <w:p>
      <w:pPr>
        <w:spacing w:line="400" w:lineRule="exact"/>
        <w:ind w:firstLine="600" w:firstLineChars="250"/>
        <w:rPr>
          <w:rFonts w:asciiTheme="minorEastAsia" w:hAnsiTheme="minorEastAsia" w:eastAsiaTheme="minorEastAsia" w:cstheme="minorEastAsia"/>
        </w:rPr>
      </w:pPr>
      <w:r>
        <w:rPr>
          <w:rFonts w:hint="eastAsia" w:asciiTheme="minorEastAsia" w:hAnsiTheme="minorEastAsia" w:eastAsiaTheme="minorEastAsia" w:cstheme="minorEastAsia"/>
        </w:rPr>
        <w:t>1、不向上述人员赠送礼金、有价证券、贵重物品及回扣、好处费、感谢费等。</w:t>
      </w:r>
    </w:p>
    <w:p>
      <w:pPr>
        <w:spacing w:line="400" w:lineRule="exact"/>
        <w:ind w:firstLine="600" w:firstLineChars="250"/>
        <w:rPr>
          <w:rFonts w:asciiTheme="minorEastAsia" w:hAnsiTheme="minorEastAsia" w:eastAsiaTheme="minorEastAsia" w:cstheme="minorEastAsia"/>
        </w:rPr>
      </w:pPr>
      <w:r>
        <w:rPr>
          <w:rFonts w:hint="eastAsia" w:asciiTheme="minorEastAsia" w:hAnsiTheme="minorEastAsia" w:eastAsiaTheme="minorEastAsia" w:cstheme="minorEastAsia"/>
        </w:rPr>
        <w:t>2、不为上述人员或单位报销应由对方支付的费用。</w:t>
      </w:r>
    </w:p>
    <w:p>
      <w:pPr>
        <w:spacing w:line="400" w:lineRule="exact"/>
        <w:ind w:firstLine="600" w:firstLineChars="250"/>
        <w:rPr>
          <w:rFonts w:asciiTheme="minorEastAsia" w:hAnsiTheme="minorEastAsia" w:eastAsiaTheme="minorEastAsia" w:cstheme="minorEastAsia"/>
        </w:rPr>
      </w:pPr>
      <w:r>
        <w:rPr>
          <w:rFonts w:hint="eastAsia" w:asciiTheme="minorEastAsia" w:hAnsiTheme="minorEastAsia" w:eastAsiaTheme="minorEastAsia" w:cstheme="minorEastAsia"/>
        </w:rPr>
        <w:t>3、不为上述人员装修住房、婚丧嫁娶、配偶子女的工作安排以及出国(境)、旅游等提供方便。</w:t>
      </w:r>
    </w:p>
    <w:p>
      <w:pPr>
        <w:spacing w:line="400" w:lineRule="exact"/>
        <w:ind w:firstLine="600" w:firstLineChars="250"/>
        <w:rPr>
          <w:rFonts w:asciiTheme="minorEastAsia" w:hAnsiTheme="minorEastAsia" w:eastAsiaTheme="minorEastAsia" w:cstheme="minorEastAsia"/>
        </w:rPr>
      </w:pPr>
      <w:r>
        <w:rPr>
          <w:rFonts w:hint="eastAsia" w:asciiTheme="minorEastAsia" w:hAnsiTheme="minorEastAsia" w:eastAsiaTheme="minorEastAsia" w:cstheme="minorEastAsia"/>
        </w:rPr>
        <w:t>4、不为上述人员或单位提供可能影响采购活动的宴请、健身、娱乐等活动。</w:t>
      </w:r>
    </w:p>
    <w:p>
      <w:pPr>
        <w:spacing w:line="40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四、如获中标，将严格执行采购合同，自觉按合同办事。在合同执行过程中，不发生本承诺书第三条中所列不良行为。</w:t>
      </w:r>
    </w:p>
    <w:p>
      <w:pPr>
        <w:spacing w:line="40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五、发现采购活动各方当事人有违规、违纪、违法行为的，及时提醒对方，情节严重的，主动向其主管部门或纪检监察、司法等机关举报。</w:t>
      </w:r>
    </w:p>
    <w:p>
      <w:pPr>
        <w:spacing w:line="40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六、自觉接受监管。在采购活动中出现违反本承诺书规定行为的，自觉接受采购管理部门的处罚，因违法违规行为给其他当事人造成经济损失的，按规定予以赔偿。</w:t>
      </w:r>
    </w:p>
    <w:p>
      <w:pPr>
        <w:spacing w:line="40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七、我方自愿将本承诺书作为采购文件的必备要件。在投标、报价时，由我方法定代表人或其委托代理人签署，并随投标、报价文件一并提交，否则可视为未实质响应采购文件，自愿接受由此造成的一切后果和损失。</w:t>
      </w:r>
    </w:p>
    <w:p>
      <w:pPr>
        <w:spacing w:line="40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八、本承诺书自签署之日起生效。</w:t>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投标人(全称并加盖章)：</w:t>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法定代表人签字：</w:t>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投标人代表签字：</w:t>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日 期：</w:t>
      </w:r>
    </w:p>
    <w:bookmarkEnd w:id="153"/>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三、开标一览表</w:t>
      </w:r>
    </w:p>
    <w:p>
      <w:pPr>
        <w:spacing w:line="360" w:lineRule="auto"/>
        <w:ind w:firstLine="3080" w:firstLineChars="700"/>
        <w:jc w:val="both"/>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开标一览表</w:t>
      </w:r>
    </w:p>
    <w:p>
      <w:pPr>
        <w:spacing w:line="360" w:lineRule="auto"/>
        <w:ind w:firstLine="120" w:firstLineChars="50"/>
        <w:rPr>
          <w:rFonts w:asciiTheme="minorEastAsia" w:hAnsiTheme="minorEastAsia" w:eastAsiaTheme="minorEastAsia" w:cstheme="minorEastAsia"/>
        </w:rPr>
      </w:pPr>
      <w:r>
        <w:rPr>
          <w:rFonts w:hint="eastAsia" w:asciiTheme="minorEastAsia" w:hAnsiTheme="minorEastAsia" w:eastAsiaTheme="minorEastAsia" w:cstheme="minorEastAsia"/>
        </w:rPr>
        <w:t>项目名称：核磁共振波谱仪采购</w:t>
      </w:r>
    </w:p>
    <w:p>
      <w:pPr>
        <w:spacing w:line="360" w:lineRule="auto"/>
        <w:rPr>
          <w:rFonts w:asciiTheme="minorEastAsia" w:hAnsiTheme="minorEastAsia" w:eastAsiaTheme="minorEastAsia" w:cstheme="minorEastAsia"/>
          <w:sz w:val="44"/>
          <w:szCs w:val="44"/>
          <w:u w:val="single"/>
        </w:rPr>
      </w:pPr>
      <w:r>
        <w:rPr>
          <w:rFonts w:hint="eastAsia" w:asciiTheme="minorEastAsia" w:hAnsiTheme="minorEastAsia" w:eastAsiaTheme="minorEastAsia" w:cstheme="minorEastAsia"/>
        </w:rPr>
        <w:t xml:space="preserve"> 项目编号：</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p>
    <w:tbl>
      <w:tblPr>
        <w:tblStyle w:val="25"/>
        <w:tblW w:w="9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4"/>
        <w:gridCol w:w="1494"/>
        <w:gridCol w:w="2146"/>
        <w:gridCol w:w="1122"/>
        <w:gridCol w:w="977"/>
        <w:gridCol w:w="12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334" w:type="dxa"/>
            <w:vAlign w:val="center"/>
          </w:tcPr>
          <w:p>
            <w:pPr>
              <w:spacing w:line="360" w:lineRule="auto"/>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序号</w:t>
            </w:r>
          </w:p>
        </w:tc>
        <w:tc>
          <w:tcPr>
            <w:tcW w:w="1494" w:type="dxa"/>
            <w:vAlign w:val="center"/>
          </w:tcPr>
          <w:p>
            <w:pPr>
              <w:spacing w:line="360" w:lineRule="auto"/>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报价方式</w:t>
            </w:r>
          </w:p>
        </w:tc>
        <w:tc>
          <w:tcPr>
            <w:tcW w:w="2146" w:type="dxa"/>
            <w:vAlign w:val="center"/>
          </w:tcPr>
          <w:p>
            <w:pPr>
              <w:spacing w:line="360" w:lineRule="auto"/>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投标货币</w:t>
            </w:r>
          </w:p>
        </w:tc>
        <w:tc>
          <w:tcPr>
            <w:tcW w:w="1122" w:type="dxa"/>
            <w:vAlign w:val="center"/>
          </w:tcPr>
          <w:p>
            <w:pPr>
              <w:spacing w:line="360" w:lineRule="auto"/>
              <w:jc w:val="both"/>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投标报价</w:t>
            </w:r>
          </w:p>
        </w:tc>
        <w:tc>
          <w:tcPr>
            <w:tcW w:w="977" w:type="dxa"/>
            <w:vAlign w:val="center"/>
          </w:tcPr>
          <w:p>
            <w:pPr>
              <w:spacing w:line="360" w:lineRule="auto"/>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交货期</w:t>
            </w:r>
          </w:p>
        </w:tc>
        <w:tc>
          <w:tcPr>
            <w:tcW w:w="1223" w:type="dxa"/>
            <w:vAlign w:val="center"/>
          </w:tcPr>
          <w:p>
            <w:pPr>
              <w:spacing w:line="360" w:lineRule="auto"/>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2334" w:type="dxa"/>
          </w:tcPr>
          <w:p>
            <w:pPr>
              <w:pStyle w:val="11"/>
              <w:spacing w:line="360" w:lineRule="auto"/>
              <w:rPr>
                <w:rFonts w:asciiTheme="minorEastAsia" w:hAnsiTheme="minorEastAsia" w:eastAsiaTheme="minorEastAsia" w:cstheme="minorEastAsia"/>
                <w:sz w:val="20"/>
              </w:rPr>
            </w:pPr>
            <w:r>
              <w:rPr>
                <w:rFonts w:hint="eastAsia" w:asciiTheme="minorEastAsia" w:hAnsiTheme="minorEastAsia" w:eastAsiaTheme="minorEastAsia" w:cstheme="minorEastAsia"/>
                <w:sz w:val="20"/>
              </w:rPr>
              <w:t>1.国内货物</w:t>
            </w:r>
          </w:p>
        </w:tc>
        <w:tc>
          <w:tcPr>
            <w:tcW w:w="1494" w:type="dxa"/>
          </w:tcPr>
          <w:p>
            <w:pPr>
              <w:pStyle w:val="11"/>
              <w:spacing w:line="360" w:lineRule="auto"/>
              <w:rPr>
                <w:rFonts w:asciiTheme="minorEastAsia" w:hAnsiTheme="minorEastAsia" w:eastAsiaTheme="minorEastAsia" w:cstheme="minorEastAsia"/>
                <w:sz w:val="24"/>
                <w:szCs w:val="28"/>
              </w:rPr>
            </w:pPr>
          </w:p>
        </w:tc>
        <w:tc>
          <w:tcPr>
            <w:tcW w:w="2146" w:type="dxa"/>
          </w:tcPr>
          <w:p>
            <w:pPr>
              <w:pStyle w:val="11"/>
              <w:spacing w:line="360" w:lineRule="auto"/>
              <w:rPr>
                <w:rFonts w:asciiTheme="minorEastAsia" w:hAnsiTheme="minorEastAsia" w:eastAsiaTheme="minorEastAsia" w:cstheme="minorEastAsia"/>
                <w:sz w:val="24"/>
                <w:szCs w:val="28"/>
              </w:rPr>
            </w:pPr>
          </w:p>
        </w:tc>
        <w:tc>
          <w:tcPr>
            <w:tcW w:w="1122" w:type="dxa"/>
          </w:tcPr>
          <w:p>
            <w:pPr>
              <w:pStyle w:val="11"/>
              <w:spacing w:line="360" w:lineRule="auto"/>
              <w:rPr>
                <w:rFonts w:asciiTheme="minorEastAsia" w:hAnsiTheme="minorEastAsia" w:eastAsiaTheme="minorEastAsia" w:cstheme="minorEastAsia"/>
                <w:sz w:val="24"/>
                <w:szCs w:val="28"/>
              </w:rPr>
            </w:pPr>
          </w:p>
        </w:tc>
        <w:tc>
          <w:tcPr>
            <w:tcW w:w="977" w:type="dxa"/>
          </w:tcPr>
          <w:p>
            <w:pPr>
              <w:pStyle w:val="11"/>
              <w:spacing w:line="360" w:lineRule="auto"/>
              <w:rPr>
                <w:rFonts w:asciiTheme="minorEastAsia" w:hAnsiTheme="minorEastAsia" w:eastAsiaTheme="minorEastAsia" w:cstheme="minorEastAsia"/>
                <w:sz w:val="24"/>
                <w:szCs w:val="28"/>
              </w:rPr>
            </w:pPr>
          </w:p>
        </w:tc>
        <w:tc>
          <w:tcPr>
            <w:tcW w:w="1223" w:type="dxa"/>
          </w:tcPr>
          <w:p>
            <w:pPr>
              <w:pStyle w:val="11"/>
              <w:spacing w:line="360" w:lineRule="auto"/>
              <w:rPr>
                <w:rFonts w:asciiTheme="minorEastAsia" w:hAnsiTheme="minorEastAsia" w:eastAsiaTheme="minorEastAsia" w:cstheme="minorEastAsia"/>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2334" w:type="dxa"/>
          </w:tcPr>
          <w:p>
            <w:pPr>
              <w:pStyle w:val="11"/>
              <w:spacing w:line="360" w:lineRule="auto"/>
              <w:rPr>
                <w:rFonts w:asciiTheme="minorEastAsia" w:hAnsiTheme="minorEastAsia" w:eastAsiaTheme="minorEastAsia" w:cstheme="minorEastAsia"/>
                <w:sz w:val="20"/>
              </w:rPr>
            </w:pPr>
            <w:r>
              <w:rPr>
                <w:rFonts w:hint="eastAsia" w:asciiTheme="minorEastAsia" w:hAnsiTheme="minorEastAsia" w:eastAsiaTheme="minorEastAsia" w:cstheme="minorEastAsia"/>
                <w:sz w:val="20"/>
              </w:rPr>
              <w:t>2.进口货物</w:t>
            </w:r>
          </w:p>
        </w:tc>
        <w:tc>
          <w:tcPr>
            <w:tcW w:w="1494" w:type="dxa"/>
          </w:tcPr>
          <w:p>
            <w:pPr>
              <w:pStyle w:val="11"/>
              <w:spacing w:line="360" w:lineRule="auto"/>
              <w:rPr>
                <w:rFonts w:asciiTheme="minorEastAsia" w:hAnsiTheme="minorEastAsia" w:eastAsiaTheme="minorEastAsia" w:cstheme="minorEastAsia"/>
                <w:sz w:val="24"/>
                <w:szCs w:val="28"/>
              </w:rPr>
            </w:pPr>
          </w:p>
        </w:tc>
        <w:tc>
          <w:tcPr>
            <w:tcW w:w="2146" w:type="dxa"/>
          </w:tcPr>
          <w:p>
            <w:pPr>
              <w:pStyle w:val="11"/>
              <w:spacing w:line="360" w:lineRule="auto"/>
              <w:rPr>
                <w:rFonts w:asciiTheme="minorEastAsia" w:hAnsiTheme="minorEastAsia" w:eastAsiaTheme="minorEastAsia" w:cstheme="minorEastAsia"/>
                <w:sz w:val="24"/>
                <w:szCs w:val="28"/>
              </w:rPr>
            </w:pPr>
          </w:p>
        </w:tc>
        <w:tc>
          <w:tcPr>
            <w:tcW w:w="1122" w:type="dxa"/>
          </w:tcPr>
          <w:p>
            <w:pPr>
              <w:pStyle w:val="11"/>
              <w:spacing w:line="360" w:lineRule="auto"/>
              <w:rPr>
                <w:rFonts w:asciiTheme="minorEastAsia" w:hAnsiTheme="minorEastAsia" w:eastAsiaTheme="minorEastAsia" w:cstheme="minorEastAsia"/>
                <w:sz w:val="24"/>
                <w:szCs w:val="28"/>
              </w:rPr>
            </w:pPr>
          </w:p>
        </w:tc>
        <w:tc>
          <w:tcPr>
            <w:tcW w:w="977" w:type="dxa"/>
          </w:tcPr>
          <w:p>
            <w:pPr>
              <w:pStyle w:val="11"/>
              <w:spacing w:line="360" w:lineRule="auto"/>
              <w:rPr>
                <w:rFonts w:asciiTheme="minorEastAsia" w:hAnsiTheme="minorEastAsia" w:eastAsiaTheme="minorEastAsia" w:cstheme="minorEastAsia"/>
                <w:sz w:val="24"/>
                <w:szCs w:val="28"/>
              </w:rPr>
            </w:pPr>
          </w:p>
        </w:tc>
        <w:tc>
          <w:tcPr>
            <w:tcW w:w="1223" w:type="dxa"/>
          </w:tcPr>
          <w:p>
            <w:pPr>
              <w:pStyle w:val="11"/>
              <w:spacing w:line="360" w:lineRule="auto"/>
              <w:rPr>
                <w:rFonts w:asciiTheme="minorEastAsia" w:hAnsiTheme="minorEastAsia" w:eastAsiaTheme="minorEastAsia" w:cstheme="minorEastAsia"/>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334" w:type="dxa"/>
            <w:vAlign w:val="center"/>
          </w:tcPr>
          <w:p>
            <w:pPr>
              <w:pStyle w:val="11"/>
              <w:spacing w:line="360" w:lineRule="auto"/>
              <w:jc w:val="center"/>
              <w:rPr>
                <w:rFonts w:asciiTheme="minorEastAsia" w:hAnsiTheme="minorEastAsia" w:eastAsiaTheme="minorEastAsia" w:cstheme="minorEastAsia"/>
                <w:sz w:val="24"/>
                <w:szCs w:val="28"/>
              </w:rPr>
            </w:pPr>
            <w:r>
              <w:rPr>
                <w:rFonts w:hint="eastAsia" w:asciiTheme="minorEastAsia" w:hAnsiTheme="minorEastAsia" w:eastAsiaTheme="minorEastAsia" w:cstheme="minorEastAsia"/>
                <w:sz w:val="20"/>
              </w:rPr>
              <w:t>投标总价</w:t>
            </w:r>
          </w:p>
        </w:tc>
        <w:tc>
          <w:tcPr>
            <w:tcW w:w="6962" w:type="dxa"/>
            <w:gridSpan w:val="5"/>
            <w:vAlign w:val="center"/>
          </w:tcPr>
          <w:p>
            <w:pPr>
              <w:pStyle w:val="11"/>
              <w:spacing w:line="360" w:lineRule="auto"/>
              <w:rPr>
                <w:rFonts w:asciiTheme="minorEastAsia" w:hAnsiTheme="minorEastAsia" w:eastAsiaTheme="minorEastAsia" w:cstheme="minorEastAsia"/>
                <w:sz w:val="24"/>
                <w:szCs w:val="28"/>
              </w:rPr>
            </w:pPr>
            <w:r>
              <w:rPr>
                <w:rFonts w:hint="eastAsia" w:asciiTheme="minorEastAsia" w:hAnsiTheme="minorEastAsia" w:eastAsiaTheme="minorEastAsia" w:cstheme="minorEastAsia"/>
                <w:sz w:val="20"/>
              </w:rPr>
              <w:t>小写：                         大写：</w:t>
            </w:r>
          </w:p>
        </w:tc>
      </w:tr>
    </w:tbl>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投标人名称：</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（公章）</w:t>
      </w:r>
    </w:p>
    <w:p>
      <w:pPr>
        <w:spacing w:line="360" w:lineRule="auto"/>
        <w:rPr>
          <w:rFonts w:asciiTheme="minorEastAsia" w:hAnsiTheme="minorEastAsia" w:eastAsiaTheme="minorEastAsia" w:cstheme="minorEastAsia"/>
        </w:rPr>
      </w:pPr>
    </w:p>
    <w:p>
      <w:pPr>
        <w:spacing w:line="360" w:lineRule="auto"/>
        <w:jc w:val="both"/>
        <w:rPr>
          <w:rFonts w:asciiTheme="minorEastAsia" w:hAnsiTheme="minorEastAsia" w:eastAsiaTheme="minorEastAsia" w:cstheme="minorEastAsia"/>
        </w:rPr>
      </w:pPr>
      <w:r>
        <w:rPr>
          <w:rFonts w:hint="eastAsia" w:asciiTheme="minorEastAsia" w:hAnsiTheme="minorEastAsia" w:eastAsiaTheme="minorEastAsia" w:cstheme="minorEastAsia"/>
        </w:rPr>
        <w:t xml:space="preserve">投标人代表签字： </w:t>
      </w:r>
      <w:r>
        <w:rPr>
          <w:rFonts w:hint="eastAsia" w:asciiTheme="minorEastAsia" w:hAnsiTheme="minorEastAsia" w:eastAsiaTheme="minorEastAsia" w:cstheme="minorEastAsia"/>
        </w:rPr>
        <w:cr/>
      </w:r>
    </w:p>
    <w:p>
      <w:pPr>
        <w:spacing w:line="360" w:lineRule="auto"/>
        <w:jc w:val="both"/>
        <w:rPr>
          <w:rFonts w:asciiTheme="minorEastAsia" w:hAnsiTheme="minorEastAsia" w:eastAsiaTheme="minorEastAsia" w:cstheme="minorEastAsia"/>
        </w:rPr>
      </w:pPr>
      <w:r>
        <w:rPr>
          <w:rFonts w:hint="eastAsia" w:asciiTheme="minorEastAsia" w:hAnsiTheme="minorEastAsia" w:eastAsiaTheme="minorEastAsia" w:cstheme="minorEastAsia"/>
        </w:rPr>
        <w:t>注：1、交货期是指合同签定当日（进口设备为收到L/C的当日）至所有货物交付到用户指定地点并安装调试完毕所需要的日历天数。</w:t>
      </w:r>
      <w:bookmarkStart w:id="154" w:name="_Toc465269282"/>
    </w:p>
    <w:p>
      <w:pPr>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报价方式分为：CIP（西南大学项目现场）总价，DAP（西南大学项目现场）总价，DDP（西南大学项目现场）总价三种方式；以上三种方式任选其一，须注明报价方式为CIP或DAP或DDP；否则，一律按[DDP（西南大学项目现场）价处理。</w:t>
      </w:r>
      <w:r>
        <w:rPr>
          <w:rFonts w:asciiTheme="minorEastAsia" w:hAnsiTheme="minorEastAsia" w:eastAsiaTheme="minorEastAsia" w:cstheme="minorEastAsia"/>
        </w:rPr>
        <w:br w:type="page"/>
      </w:r>
    </w:p>
    <w:bookmarkEnd w:id="154"/>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四、投标分项报价表格式</w:t>
      </w:r>
    </w:p>
    <w:p>
      <w:pPr>
        <w:spacing w:line="360" w:lineRule="auto"/>
        <w:jc w:val="center"/>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投标分项报价表</w:t>
      </w:r>
    </w:p>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sz w:val="30"/>
          <w:szCs w:val="30"/>
        </w:rPr>
        <w:t>（关境内供货的投标）</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rPr>
        <w:cr/>
      </w:r>
      <w:r>
        <w:rPr>
          <w:rFonts w:hint="eastAsia" w:asciiTheme="minorEastAsia" w:hAnsiTheme="minorEastAsia" w:eastAsiaTheme="minorEastAsia" w:cstheme="minorEastAsia"/>
        </w:rPr>
        <w:t xml:space="preserve">投标人名称:                                 项目编号：                           </w:t>
      </w:r>
    </w:p>
    <w:tbl>
      <w:tblPr>
        <w:tblStyle w:val="24"/>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1069"/>
        <w:gridCol w:w="1031"/>
        <w:gridCol w:w="901"/>
        <w:gridCol w:w="900"/>
        <w:gridCol w:w="1200"/>
        <w:gridCol w:w="901"/>
        <w:gridCol w:w="1409"/>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7"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序号</w:t>
            </w:r>
          </w:p>
        </w:tc>
        <w:tc>
          <w:tcPr>
            <w:tcW w:w="2100" w:type="dxa"/>
            <w:gridSpan w:val="2"/>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产品名称</w:t>
            </w:r>
          </w:p>
        </w:tc>
        <w:tc>
          <w:tcPr>
            <w:tcW w:w="901"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型号和规格</w:t>
            </w:r>
          </w:p>
        </w:tc>
        <w:tc>
          <w:tcPr>
            <w:tcW w:w="900"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数量</w:t>
            </w:r>
          </w:p>
        </w:tc>
        <w:tc>
          <w:tcPr>
            <w:tcW w:w="1200"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产地和制造商名称</w:t>
            </w:r>
          </w:p>
        </w:tc>
        <w:tc>
          <w:tcPr>
            <w:tcW w:w="901"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执行</w:t>
            </w:r>
          </w:p>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标准</w:t>
            </w:r>
          </w:p>
        </w:tc>
        <w:tc>
          <w:tcPr>
            <w:tcW w:w="1409"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综合单价（元）</w:t>
            </w:r>
          </w:p>
        </w:tc>
        <w:tc>
          <w:tcPr>
            <w:tcW w:w="1276"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总价（元）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777"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2100" w:type="dxa"/>
            <w:gridSpan w:val="2"/>
            <w:vAlign w:val="center"/>
          </w:tcPr>
          <w:p>
            <w:pPr>
              <w:spacing w:line="420" w:lineRule="exact"/>
              <w:rPr>
                <w:rFonts w:asciiTheme="minorEastAsia" w:hAnsiTheme="minorEastAsia" w:eastAsiaTheme="minorEastAsia" w:cstheme="minorEastAsia"/>
                <w:sz w:val="21"/>
                <w:szCs w:val="21"/>
              </w:rPr>
            </w:pPr>
          </w:p>
        </w:tc>
        <w:tc>
          <w:tcPr>
            <w:tcW w:w="901" w:type="dxa"/>
          </w:tcPr>
          <w:p>
            <w:pPr>
              <w:spacing w:line="420" w:lineRule="exact"/>
              <w:rPr>
                <w:rFonts w:asciiTheme="minorEastAsia" w:hAnsiTheme="minorEastAsia" w:eastAsiaTheme="minorEastAsia" w:cstheme="minorEastAsia"/>
                <w:sz w:val="21"/>
                <w:szCs w:val="21"/>
              </w:rPr>
            </w:pPr>
          </w:p>
        </w:tc>
        <w:tc>
          <w:tcPr>
            <w:tcW w:w="900" w:type="dxa"/>
          </w:tcPr>
          <w:p>
            <w:pPr>
              <w:spacing w:line="420" w:lineRule="exact"/>
              <w:rPr>
                <w:rFonts w:asciiTheme="minorEastAsia" w:hAnsiTheme="minorEastAsia" w:eastAsiaTheme="minorEastAsia" w:cstheme="minorEastAsia"/>
                <w:sz w:val="21"/>
                <w:szCs w:val="21"/>
              </w:rPr>
            </w:pPr>
          </w:p>
        </w:tc>
        <w:tc>
          <w:tcPr>
            <w:tcW w:w="1200" w:type="dxa"/>
          </w:tcPr>
          <w:p>
            <w:pPr>
              <w:spacing w:line="420" w:lineRule="exact"/>
              <w:rPr>
                <w:rFonts w:asciiTheme="minorEastAsia" w:hAnsiTheme="minorEastAsia" w:eastAsiaTheme="minorEastAsia" w:cstheme="minorEastAsia"/>
                <w:sz w:val="21"/>
                <w:szCs w:val="21"/>
              </w:rPr>
            </w:pPr>
          </w:p>
        </w:tc>
        <w:tc>
          <w:tcPr>
            <w:tcW w:w="901" w:type="dxa"/>
          </w:tcPr>
          <w:p>
            <w:pPr>
              <w:spacing w:line="420" w:lineRule="exact"/>
              <w:rPr>
                <w:rFonts w:asciiTheme="minorEastAsia" w:hAnsiTheme="minorEastAsia" w:eastAsiaTheme="minorEastAsia" w:cstheme="minorEastAsia"/>
                <w:sz w:val="21"/>
                <w:szCs w:val="21"/>
              </w:rPr>
            </w:pPr>
          </w:p>
        </w:tc>
        <w:tc>
          <w:tcPr>
            <w:tcW w:w="1409" w:type="dxa"/>
          </w:tcPr>
          <w:p>
            <w:pPr>
              <w:spacing w:line="420" w:lineRule="exact"/>
              <w:rPr>
                <w:rFonts w:asciiTheme="minorEastAsia" w:hAnsiTheme="minorEastAsia" w:eastAsiaTheme="minorEastAsia" w:cstheme="minorEastAsia"/>
                <w:sz w:val="21"/>
                <w:szCs w:val="21"/>
              </w:rPr>
            </w:pPr>
          </w:p>
        </w:tc>
        <w:tc>
          <w:tcPr>
            <w:tcW w:w="1276" w:type="dxa"/>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777"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w:t>
            </w:r>
          </w:p>
        </w:tc>
        <w:tc>
          <w:tcPr>
            <w:tcW w:w="2100" w:type="dxa"/>
            <w:gridSpan w:val="2"/>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主机和标准附件</w:t>
            </w:r>
          </w:p>
        </w:tc>
        <w:tc>
          <w:tcPr>
            <w:tcW w:w="901" w:type="dxa"/>
          </w:tcPr>
          <w:p>
            <w:pPr>
              <w:spacing w:line="420" w:lineRule="exact"/>
              <w:rPr>
                <w:rFonts w:asciiTheme="minorEastAsia" w:hAnsiTheme="minorEastAsia" w:eastAsiaTheme="minorEastAsia" w:cstheme="minorEastAsia"/>
                <w:sz w:val="21"/>
                <w:szCs w:val="21"/>
              </w:rPr>
            </w:pPr>
          </w:p>
        </w:tc>
        <w:tc>
          <w:tcPr>
            <w:tcW w:w="900" w:type="dxa"/>
          </w:tcPr>
          <w:p>
            <w:pPr>
              <w:spacing w:line="420" w:lineRule="exact"/>
              <w:rPr>
                <w:rFonts w:asciiTheme="minorEastAsia" w:hAnsiTheme="minorEastAsia" w:eastAsiaTheme="minorEastAsia" w:cstheme="minorEastAsia"/>
                <w:sz w:val="21"/>
                <w:szCs w:val="21"/>
              </w:rPr>
            </w:pPr>
          </w:p>
        </w:tc>
        <w:tc>
          <w:tcPr>
            <w:tcW w:w="1200" w:type="dxa"/>
          </w:tcPr>
          <w:p>
            <w:pPr>
              <w:spacing w:line="420" w:lineRule="exact"/>
              <w:rPr>
                <w:rFonts w:asciiTheme="minorEastAsia" w:hAnsiTheme="minorEastAsia" w:eastAsiaTheme="minorEastAsia" w:cstheme="minorEastAsia"/>
                <w:sz w:val="21"/>
                <w:szCs w:val="21"/>
              </w:rPr>
            </w:pPr>
          </w:p>
        </w:tc>
        <w:tc>
          <w:tcPr>
            <w:tcW w:w="901" w:type="dxa"/>
          </w:tcPr>
          <w:p>
            <w:pPr>
              <w:spacing w:line="420" w:lineRule="exact"/>
              <w:rPr>
                <w:rFonts w:asciiTheme="minorEastAsia" w:hAnsiTheme="minorEastAsia" w:eastAsiaTheme="minorEastAsia" w:cstheme="minorEastAsia"/>
                <w:sz w:val="21"/>
                <w:szCs w:val="21"/>
              </w:rPr>
            </w:pPr>
          </w:p>
        </w:tc>
        <w:tc>
          <w:tcPr>
            <w:tcW w:w="1409" w:type="dxa"/>
          </w:tcPr>
          <w:p>
            <w:pPr>
              <w:spacing w:line="420" w:lineRule="exact"/>
              <w:rPr>
                <w:rFonts w:asciiTheme="minorEastAsia" w:hAnsiTheme="minorEastAsia" w:eastAsiaTheme="minorEastAsia" w:cstheme="minorEastAsia"/>
                <w:sz w:val="21"/>
                <w:szCs w:val="21"/>
              </w:rPr>
            </w:pPr>
          </w:p>
        </w:tc>
        <w:tc>
          <w:tcPr>
            <w:tcW w:w="1276" w:type="dxa"/>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777"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w:t>
            </w:r>
          </w:p>
        </w:tc>
        <w:tc>
          <w:tcPr>
            <w:tcW w:w="2100" w:type="dxa"/>
            <w:gridSpan w:val="2"/>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备品备件</w:t>
            </w:r>
          </w:p>
        </w:tc>
        <w:tc>
          <w:tcPr>
            <w:tcW w:w="901" w:type="dxa"/>
          </w:tcPr>
          <w:p>
            <w:pPr>
              <w:spacing w:line="420" w:lineRule="exact"/>
              <w:rPr>
                <w:rFonts w:asciiTheme="minorEastAsia" w:hAnsiTheme="minorEastAsia" w:eastAsiaTheme="minorEastAsia" w:cstheme="minorEastAsia"/>
                <w:sz w:val="21"/>
                <w:szCs w:val="21"/>
              </w:rPr>
            </w:pPr>
          </w:p>
        </w:tc>
        <w:tc>
          <w:tcPr>
            <w:tcW w:w="900" w:type="dxa"/>
          </w:tcPr>
          <w:p>
            <w:pPr>
              <w:spacing w:line="420" w:lineRule="exact"/>
              <w:rPr>
                <w:rFonts w:asciiTheme="minorEastAsia" w:hAnsiTheme="minorEastAsia" w:eastAsiaTheme="minorEastAsia" w:cstheme="minorEastAsia"/>
                <w:sz w:val="21"/>
                <w:szCs w:val="21"/>
              </w:rPr>
            </w:pPr>
          </w:p>
        </w:tc>
        <w:tc>
          <w:tcPr>
            <w:tcW w:w="1200" w:type="dxa"/>
          </w:tcPr>
          <w:p>
            <w:pPr>
              <w:spacing w:line="420" w:lineRule="exact"/>
              <w:rPr>
                <w:rFonts w:asciiTheme="minorEastAsia" w:hAnsiTheme="minorEastAsia" w:eastAsiaTheme="minorEastAsia" w:cstheme="minorEastAsia"/>
                <w:sz w:val="21"/>
                <w:szCs w:val="21"/>
              </w:rPr>
            </w:pPr>
          </w:p>
        </w:tc>
        <w:tc>
          <w:tcPr>
            <w:tcW w:w="901" w:type="dxa"/>
          </w:tcPr>
          <w:p>
            <w:pPr>
              <w:spacing w:line="420" w:lineRule="exact"/>
              <w:rPr>
                <w:rFonts w:asciiTheme="minorEastAsia" w:hAnsiTheme="minorEastAsia" w:eastAsiaTheme="minorEastAsia" w:cstheme="minorEastAsia"/>
                <w:sz w:val="21"/>
                <w:szCs w:val="21"/>
              </w:rPr>
            </w:pPr>
          </w:p>
        </w:tc>
        <w:tc>
          <w:tcPr>
            <w:tcW w:w="1409" w:type="dxa"/>
          </w:tcPr>
          <w:p>
            <w:pPr>
              <w:spacing w:line="420" w:lineRule="exact"/>
              <w:rPr>
                <w:rFonts w:asciiTheme="minorEastAsia" w:hAnsiTheme="minorEastAsia" w:eastAsiaTheme="minorEastAsia" w:cstheme="minorEastAsia"/>
                <w:sz w:val="21"/>
                <w:szCs w:val="21"/>
              </w:rPr>
            </w:pPr>
          </w:p>
        </w:tc>
        <w:tc>
          <w:tcPr>
            <w:tcW w:w="1276" w:type="dxa"/>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777"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w:t>
            </w:r>
          </w:p>
        </w:tc>
        <w:tc>
          <w:tcPr>
            <w:tcW w:w="2100" w:type="dxa"/>
            <w:gridSpan w:val="2"/>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专用工具</w:t>
            </w:r>
          </w:p>
        </w:tc>
        <w:tc>
          <w:tcPr>
            <w:tcW w:w="901" w:type="dxa"/>
          </w:tcPr>
          <w:p>
            <w:pPr>
              <w:spacing w:line="420" w:lineRule="exact"/>
              <w:rPr>
                <w:rFonts w:asciiTheme="minorEastAsia" w:hAnsiTheme="minorEastAsia" w:eastAsiaTheme="minorEastAsia" w:cstheme="minorEastAsia"/>
                <w:sz w:val="21"/>
                <w:szCs w:val="21"/>
              </w:rPr>
            </w:pPr>
          </w:p>
        </w:tc>
        <w:tc>
          <w:tcPr>
            <w:tcW w:w="900" w:type="dxa"/>
          </w:tcPr>
          <w:p>
            <w:pPr>
              <w:spacing w:line="420" w:lineRule="exact"/>
              <w:rPr>
                <w:rFonts w:asciiTheme="minorEastAsia" w:hAnsiTheme="minorEastAsia" w:eastAsiaTheme="minorEastAsia" w:cstheme="minorEastAsia"/>
                <w:sz w:val="21"/>
                <w:szCs w:val="21"/>
              </w:rPr>
            </w:pPr>
          </w:p>
        </w:tc>
        <w:tc>
          <w:tcPr>
            <w:tcW w:w="1200" w:type="dxa"/>
          </w:tcPr>
          <w:p>
            <w:pPr>
              <w:spacing w:line="420" w:lineRule="exact"/>
              <w:rPr>
                <w:rFonts w:asciiTheme="minorEastAsia" w:hAnsiTheme="minorEastAsia" w:eastAsiaTheme="minorEastAsia" w:cstheme="minorEastAsia"/>
                <w:sz w:val="21"/>
                <w:szCs w:val="21"/>
              </w:rPr>
            </w:pPr>
          </w:p>
        </w:tc>
        <w:tc>
          <w:tcPr>
            <w:tcW w:w="901" w:type="dxa"/>
          </w:tcPr>
          <w:p>
            <w:pPr>
              <w:spacing w:line="420" w:lineRule="exact"/>
              <w:rPr>
                <w:rFonts w:asciiTheme="minorEastAsia" w:hAnsiTheme="minorEastAsia" w:eastAsiaTheme="minorEastAsia" w:cstheme="minorEastAsia"/>
                <w:sz w:val="21"/>
                <w:szCs w:val="21"/>
              </w:rPr>
            </w:pPr>
          </w:p>
        </w:tc>
        <w:tc>
          <w:tcPr>
            <w:tcW w:w="1409" w:type="dxa"/>
          </w:tcPr>
          <w:p>
            <w:pPr>
              <w:spacing w:line="420" w:lineRule="exact"/>
              <w:rPr>
                <w:rFonts w:asciiTheme="minorEastAsia" w:hAnsiTheme="minorEastAsia" w:eastAsiaTheme="minorEastAsia" w:cstheme="minorEastAsia"/>
                <w:sz w:val="21"/>
                <w:szCs w:val="21"/>
              </w:rPr>
            </w:pPr>
          </w:p>
        </w:tc>
        <w:tc>
          <w:tcPr>
            <w:tcW w:w="1276" w:type="dxa"/>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2877" w:type="dxa"/>
            <w:gridSpan w:val="3"/>
            <w:vAlign w:val="center"/>
          </w:tcPr>
          <w:p>
            <w:pPr>
              <w:spacing w:line="42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tc>
        <w:tc>
          <w:tcPr>
            <w:tcW w:w="901" w:type="dxa"/>
          </w:tcPr>
          <w:p>
            <w:pPr>
              <w:spacing w:line="420" w:lineRule="exact"/>
              <w:rPr>
                <w:rFonts w:asciiTheme="minorEastAsia" w:hAnsiTheme="minorEastAsia" w:eastAsiaTheme="minorEastAsia" w:cstheme="minorEastAsia"/>
                <w:sz w:val="21"/>
                <w:szCs w:val="21"/>
              </w:rPr>
            </w:pPr>
          </w:p>
        </w:tc>
        <w:tc>
          <w:tcPr>
            <w:tcW w:w="900" w:type="dxa"/>
          </w:tcPr>
          <w:p>
            <w:pPr>
              <w:spacing w:line="420" w:lineRule="exact"/>
              <w:rPr>
                <w:rFonts w:asciiTheme="minorEastAsia" w:hAnsiTheme="minorEastAsia" w:eastAsiaTheme="minorEastAsia" w:cstheme="minorEastAsia"/>
                <w:sz w:val="21"/>
                <w:szCs w:val="21"/>
              </w:rPr>
            </w:pPr>
          </w:p>
        </w:tc>
        <w:tc>
          <w:tcPr>
            <w:tcW w:w="1200" w:type="dxa"/>
          </w:tcPr>
          <w:p>
            <w:pPr>
              <w:spacing w:line="420" w:lineRule="exact"/>
              <w:rPr>
                <w:rFonts w:asciiTheme="minorEastAsia" w:hAnsiTheme="minorEastAsia" w:eastAsiaTheme="minorEastAsia" w:cstheme="minorEastAsia"/>
                <w:sz w:val="21"/>
                <w:szCs w:val="21"/>
              </w:rPr>
            </w:pPr>
          </w:p>
        </w:tc>
        <w:tc>
          <w:tcPr>
            <w:tcW w:w="901" w:type="dxa"/>
          </w:tcPr>
          <w:p>
            <w:pPr>
              <w:spacing w:line="420" w:lineRule="exact"/>
              <w:rPr>
                <w:rFonts w:asciiTheme="minorEastAsia" w:hAnsiTheme="minorEastAsia" w:eastAsiaTheme="minorEastAsia" w:cstheme="minorEastAsia"/>
                <w:sz w:val="21"/>
                <w:szCs w:val="21"/>
              </w:rPr>
            </w:pPr>
          </w:p>
        </w:tc>
        <w:tc>
          <w:tcPr>
            <w:tcW w:w="1409" w:type="dxa"/>
          </w:tcPr>
          <w:p>
            <w:pPr>
              <w:spacing w:line="420" w:lineRule="exact"/>
              <w:rPr>
                <w:rFonts w:asciiTheme="minorEastAsia" w:hAnsiTheme="minorEastAsia" w:eastAsiaTheme="minorEastAsia" w:cstheme="minorEastAsia"/>
                <w:sz w:val="21"/>
                <w:szCs w:val="21"/>
              </w:rPr>
            </w:pPr>
          </w:p>
        </w:tc>
        <w:tc>
          <w:tcPr>
            <w:tcW w:w="1276" w:type="dxa"/>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777" w:type="dxa"/>
            <w:vAlign w:val="center"/>
          </w:tcPr>
          <w:p>
            <w:pPr>
              <w:spacing w:line="420" w:lineRule="exact"/>
              <w:rPr>
                <w:rFonts w:asciiTheme="minorEastAsia" w:hAnsiTheme="minorEastAsia" w:eastAsiaTheme="minorEastAsia" w:cstheme="minorEastAsia"/>
                <w:sz w:val="21"/>
                <w:szCs w:val="21"/>
              </w:rPr>
            </w:pPr>
          </w:p>
        </w:tc>
        <w:tc>
          <w:tcPr>
            <w:tcW w:w="2100" w:type="dxa"/>
            <w:gridSpan w:val="2"/>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安装、调试、</w:t>
            </w:r>
          </w:p>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检验</w:t>
            </w:r>
          </w:p>
        </w:tc>
        <w:tc>
          <w:tcPr>
            <w:tcW w:w="901" w:type="dxa"/>
          </w:tcPr>
          <w:p>
            <w:pPr>
              <w:spacing w:line="420" w:lineRule="exact"/>
              <w:rPr>
                <w:rFonts w:asciiTheme="minorEastAsia" w:hAnsiTheme="minorEastAsia" w:eastAsiaTheme="minorEastAsia" w:cstheme="minorEastAsia"/>
                <w:sz w:val="21"/>
                <w:szCs w:val="21"/>
              </w:rPr>
            </w:pPr>
          </w:p>
        </w:tc>
        <w:tc>
          <w:tcPr>
            <w:tcW w:w="900" w:type="dxa"/>
          </w:tcPr>
          <w:p>
            <w:pPr>
              <w:spacing w:line="420" w:lineRule="exact"/>
              <w:rPr>
                <w:rFonts w:asciiTheme="minorEastAsia" w:hAnsiTheme="minorEastAsia" w:eastAsiaTheme="minorEastAsia" w:cstheme="minorEastAsia"/>
                <w:sz w:val="21"/>
                <w:szCs w:val="21"/>
              </w:rPr>
            </w:pPr>
          </w:p>
        </w:tc>
        <w:tc>
          <w:tcPr>
            <w:tcW w:w="1200" w:type="dxa"/>
          </w:tcPr>
          <w:p>
            <w:pPr>
              <w:spacing w:line="420" w:lineRule="exact"/>
              <w:rPr>
                <w:rFonts w:asciiTheme="minorEastAsia" w:hAnsiTheme="minorEastAsia" w:eastAsiaTheme="minorEastAsia" w:cstheme="minorEastAsia"/>
                <w:sz w:val="21"/>
                <w:szCs w:val="21"/>
              </w:rPr>
            </w:pPr>
          </w:p>
        </w:tc>
        <w:tc>
          <w:tcPr>
            <w:tcW w:w="901" w:type="dxa"/>
          </w:tcPr>
          <w:p>
            <w:pPr>
              <w:spacing w:line="420" w:lineRule="exact"/>
              <w:rPr>
                <w:rFonts w:asciiTheme="minorEastAsia" w:hAnsiTheme="minorEastAsia" w:eastAsiaTheme="minorEastAsia" w:cstheme="minorEastAsia"/>
                <w:sz w:val="21"/>
                <w:szCs w:val="21"/>
              </w:rPr>
            </w:pPr>
          </w:p>
        </w:tc>
        <w:tc>
          <w:tcPr>
            <w:tcW w:w="1409" w:type="dxa"/>
          </w:tcPr>
          <w:p>
            <w:pPr>
              <w:spacing w:line="420" w:lineRule="exact"/>
              <w:rPr>
                <w:rFonts w:asciiTheme="minorEastAsia" w:hAnsiTheme="minorEastAsia" w:eastAsiaTheme="minorEastAsia" w:cstheme="minorEastAsia"/>
                <w:sz w:val="21"/>
                <w:szCs w:val="21"/>
              </w:rPr>
            </w:pPr>
          </w:p>
        </w:tc>
        <w:tc>
          <w:tcPr>
            <w:tcW w:w="1276" w:type="dxa"/>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777" w:type="dxa"/>
            <w:vAlign w:val="center"/>
          </w:tcPr>
          <w:p>
            <w:pPr>
              <w:spacing w:line="420" w:lineRule="exact"/>
              <w:rPr>
                <w:rFonts w:asciiTheme="minorEastAsia" w:hAnsiTheme="minorEastAsia" w:eastAsiaTheme="minorEastAsia" w:cstheme="minorEastAsia"/>
                <w:sz w:val="21"/>
                <w:szCs w:val="21"/>
              </w:rPr>
            </w:pPr>
          </w:p>
        </w:tc>
        <w:tc>
          <w:tcPr>
            <w:tcW w:w="2100" w:type="dxa"/>
            <w:gridSpan w:val="2"/>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培训</w:t>
            </w:r>
          </w:p>
        </w:tc>
        <w:tc>
          <w:tcPr>
            <w:tcW w:w="901" w:type="dxa"/>
          </w:tcPr>
          <w:p>
            <w:pPr>
              <w:spacing w:line="420" w:lineRule="exact"/>
              <w:rPr>
                <w:rFonts w:asciiTheme="minorEastAsia" w:hAnsiTheme="minorEastAsia" w:eastAsiaTheme="minorEastAsia" w:cstheme="minorEastAsia"/>
                <w:sz w:val="21"/>
                <w:szCs w:val="21"/>
              </w:rPr>
            </w:pPr>
          </w:p>
        </w:tc>
        <w:tc>
          <w:tcPr>
            <w:tcW w:w="900" w:type="dxa"/>
          </w:tcPr>
          <w:p>
            <w:pPr>
              <w:spacing w:line="420" w:lineRule="exact"/>
              <w:rPr>
                <w:rFonts w:asciiTheme="minorEastAsia" w:hAnsiTheme="minorEastAsia" w:eastAsiaTheme="minorEastAsia" w:cstheme="minorEastAsia"/>
                <w:sz w:val="21"/>
                <w:szCs w:val="21"/>
              </w:rPr>
            </w:pPr>
          </w:p>
        </w:tc>
        <w:tc>
          <w:tcPr>
            <w:tcW w:w="1200" w:type="dxa"/>
          </w:tcPr>
          <w:p>
            <w:pPr>
              <w:spacing w:line="420" w:lineRule="exact"/>
              <w:rPr>
                <w:rFonts w:asciiTheme="minorEastAsia" w:hAnsiTheme="minorEastAsia" w:eastAsiaTheme="minorEastAsia" w:cstheme="minorEastAsia"/>
                <w:sz w:val="21"/>
                <w:szCs w:val="21"/>
              </w:rPr>
            </w:pPr>
          </w:p>
        </w:tc>
        <w:tc>
          <w:tcPr>
            <w:tcW w:w="901" w:type="dxa"/>
          </w:tcPr>
          <w:p>
            <w:pPr>
              <w:spacing w:line="420" w:lineRule="exact"/>
              <w:rPr>
                <w:rFonts w:asciiTheme="minorEastAsia" w:hAnsiTheme="minorEastAsia" w:eastAsiaTheme="minorEastAsia" w:cstheme="minorEastAsia"/>
                <w:sz w:val="21"/>
                <w:szCs w:val="21"/>
              </w:rPr>
            </w:pPr>
          </w:p>
        </w:tc>
        <w:tc>
          <w:tcPr>
            <w:tcW w:w="1409" w:type="dxa"/>
          </w:tcPr>
          <w:p>
            <w:pPr>
              <w:spacing w:line="420" w:lineRule="exact"/>
              <w:rPr>
                <w:rFonts w:asciiTheme="minorEastAsia" w:hAnsiTheme="minorEastAsia" w:eastAsiaTheme="minorEastAsia" w:cstheme="minorEastAsia"/>
                <w:sz w:val="21"/>
                <w:szCs w:val="21"/>
              </w:rPr>
            </w:pPr>
          </w:p>
        </w:tc>
        <w:tc>
          <w:tcPr>
            <w:tcW w:w="1276" w:type="dxa"/>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777" w:type="dxa"/>
            <w:vAlign w:val="center"/>
          </w:tcPr>
          <w:p>
            <w:pPr>
              <w:spacing w:line="420" w:lineRule="exact"/>
              <w:rPr>
                <w:rFonts w:asciiTheme="minorEastAsia" w:hAnsiTheme="minorEastAsia" w:eastAsiaTheme="minorEastAsia" w:cstheme="minorEastAsia"/>
                <w:sz w:val="21"/>
                <w:szCs w:val="21"/>
              </w:rPr>
            </w:pPr>
          </w:p>
        </w:tc>
        <w:tc>
          <w:tcPr>
            <w:tcW w:w="2100" w:type="dxa"/>
            <w:gridSpan w:val="2"/>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技术服务</w:t>
            </w:r>
          </w:p>
        </w:tc>
        <w:tc>
          <w:tcPr>
            <w:tcW w:w="901" w:type="dxa"/>
          </w:tcPr>
          <w:p>
            <w:pPr>
              <w:spacing w:line="420" w:lineRule="exact"/>
              <w:rPr>
                <w:rFonts w:asciiTheme="minorEastAsia" w:hAnsiTheme="minorEastAsia" w:eastAsiaTheme="minorEastAsia" w:cstheme="minorEastAsia"/>
                <w:sz w:val="21"/>
                <w:szCs w:val="21"/>
              </w:rPr>
            </w:pPr>
          </w:p>
        </w:tc>
        <w:tc>
          <w:tcPr>
            <w:tcW w:w="900" w:type="dxa"/>
          </w:tcPr>
          <w:p>
            <w:pPr>
              <w:spacing w:line="420" w:lineRule="exact"/>
              <w:rPr>
                <w:rFonts w:asciiTheme="minorEastAsia" w:hAnsiTheme="minorEastAsia" w:eastAsiaTheme="minorEastAsia" w:cstheme="minorEastAsia"/>
                <w:sz w:val="21"/>
                <w:szCs w:val="21"/>
              </w:rPr>
            </w:pPr>
          </w:p>
        </w:tc>
        <w:tc>
          <w:tcPr>
            <w:tcW w:w="1200" w:type="dxa"/>
          </w:tcPr>
          <w:p>
            <w:pPr>
              <w:spacing w:line="420" w:lineRule="exact"/>
              <w:rPr>
                <w:rFonts w:asciiTheme="minorEastAsia" w:hAnsiTheme="minorEastAsia" w:eastAsiaTheme="minorEastAsia" w:cstheme="minorEastAsia"/>
                <w:sz w:val="21"/>
                <w:szCs w:val="21"/>
              </w:rPr>
            </w:pPr>
          </w:p>
        </w:tc>
        <w:tc>
          <w:tcPr>
            <w:tcW w:w="901" w:type="dxa"/>
          </w:tcPr>
          <w:p>
            <w:pPr>
              <w:spacing w:line="420" w:lineRule="exact"/>
              <w:rPr>
                <w:rFonts w:asciiTheme="minorEastAsia" w:hAnsiTheme="minorEastAsia" w:eastAsiaTheme="minorEastAsia" w:cstheme="minorEastAsia"/>
                <w:sz w:val="21"/>
                <w:szCs w:val="21"/>
              </w:rPr>
            </w:pPr>
          </w:p>
        </w:tc>
        <w:tc>
          <w:tcPr>
            <w:tcW w:w="1409" w:type="dxa"/>
          </w:tcPr>
          <w:p>
            <w:pPr>
              <w:spacing w:line="420" w:lineRule="exact"/>
              <w:rPr>
                <w:rFonts w:asciiTheme="minorEastAsia" w:hAnsiTheme="minorEastAsia" w:eastAsiaTheme="minorEastAsia" w:cstheme="minorEastAsia"/>
                <w:sz w:val="21"/>
                <w:szCs w:val="21"/>
              </w:rPr>
            </w:pPr>
          </w:p>
        </w:tc>
        <w:tc>
          <w:tcPr>
            <w:tcW w:w="1276" w:type="dxa"/>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777" w:type="dxa"/>
            <w:vAlign w:val="center"/>
          </w:tcPr>
          <w:p>
            <w:pPr>
              <w:spacing w:line="420" w:lineRule="exact"/>
              <w:rPr>
                <w:rFonts w:asciiTheme="minorEastAsia" w:hAnsiTheme="minorEastAsia" w:eastAsiaTheme="minorEastAsia" w:cstheme="minorEastAsia"/>
                <w:sz w:val="21"/>
                <w:szCs w:val="21"/>
              </w:rPr>
            </w:pPr>
          </w:p>
        </w:tc>
        <w:tc>
          <w:tcPr>
            <w:tcW w:w="2100" w:type="dxa"/>
            <w:gridSpan w:val="2"/>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其他</w:t>
            </w:r>
          </w:p>
        </w:tc>
        <w:tc>
          <w:tcPr>
            <w:tcW w:w="901" w:type="dxa"/>
          </w:tcPr>
          <w:p>
            <w:pPr>
              <w:spacing w:line="420" w:lineRule="exact"/>
              <w:rPr>
                <w:rFonts w:asciiTheme="minorEastAsia" w:hAnsiTheme="minorEastAsia" w:eastAsiaTheme="minorEastAsia" w:cstheme="minorEastAsia"/>
                <w:sz w:val="21"/>
                <w:szCs w:val="21"/>
              </w:rPr>
            </w:pPr>
          </w:p>
        </w:tc>
        <w:tc>
          <w:tcPr>
            <w:tcW w:w="900" w:type="dxa"/>
          </w:tcPr>
          <w:p>
            <w:pPr>
              <w:spacing w:line="420" w:lineRule="exact"/>
              <w:rPr>
                <w:rFonts w:asciiTheme="minorEastAsia" w:hAnsiTheme="minorEastAsia" w:eastAsiaTheme="minorEastAsia" w:cstheme="minorEastAsia"/>
                <w:sz w:val="21"/>
                <w:szCs w:val="21"/>
              </w:rPr>
            </w:pPr>
          </w:p>
        </w:tc>
        <w:tc>
          <w:tcPr>
            <w:tcW w:w="1200" w:type="dxa"/>
          </w:tcPr>
          <w:p>
            <w:pPr>
              <w:spacing w:line="420" w:lineRule="exact"/>
              <w:rPr>
                <w:rFonts w:asciiTheme="minorEastAsia" w:hAnsiTheme="minorEastAsia" w:eastAsiaTheme="minorEastAsia" w:cstheme="minorEastAsia"/>
                <w:sz w:val="21"/>
                <w:szCs w:val="21"/>
              </w:rPr>
            </w:pPr>
          </w:p>
        </w:tc>
        <w:tc>
          <w:tcPr>
            <w:tcW w:w="901" w:type="dxa"/>
          </w:tcPr>
          <w:p>
            <w:pPr>
              <w:spacing w:line="420" w:lineRule="exact"/>
              <w:rPr>
                <w:rFonts w:asciiTheme="minorEastAsia" w:hAnsiTheme="minorEastAsia" w:eastAsiaTheme="minorEastAsia" w:cstheme="minorEastAsia"/>
                <w:sz w:val="21"/>
                <w:szCs w:val="21"/>
              </w:rPr>
            </w:pPr>
          </w:p>
        </w:tc>
        <w:tc>
          <w:tcPr>
            <w:tcW w:w="1409" w:type="dxa"/>
          </w:tcPr>
          <w:p>
            <w:pPr>
              <w:spacing w:line="420" w:lineRule="exact"/>
              <w:rPr>
                <w:rFonts w:asciiTheme="minorEastAsia" w:hAnsiTheme="minorEastAsia" w:eastAsiaTheme="minorEastAsia" w:cstheme="minorEastAsia"/>
                <w:sz w:val="21"/>
                <w:szCs w:val="21"/>
              </w:rPr>
            </w:pPr>
          </w:p>
        </w:tc>
        <w:tc>
          <w:tcPr>
            <w:tcW w:w="1276" w:type="dxa"/>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846" w:type="dxa"/>
            <w:gridSpan w:val="2"/>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总计</w:t>
            </w:r>
          </w:p>
        </w:tc>
        <w:tc>
          <w:tcPr>
            <w:tcW w:w="6342" w:type="dxa"/>
            <w:gridSpan w:val="6"/>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大写：</w:t>
            </w:r>
          </w:p>
        </w:tc>
        <w:tc>
          <w:tcPr>
            <w:tcW w:w="1276" w:type="dxa"/>
          </w:tcPr>
          <w:p>
            <w:pPr>
              <w:spacing w:line="420" w:lineRule="exact"/>
              <w:rPr>
                <w:rFonts w:asciiTheme="minorEastAsia" w:hAnsiTheme="minorEastAsia" w:eastAsiaTheme="minorEastAsia" w:cstheme="minorEastAsia"/>
                <w:sz w:val="21"/>
                <w:szCs w:val="21"/>
              </w:rPr>
            </w:pPr>
          </w:p>
        </w:tc>
      </w:tr>
    </w:tbl>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投标人授权代表签字：                                    日期：   年   月   日</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（投标人公章）</w:t>
      </w:r>
    </w:p>
    <w:p>
      <w:pPr>
        <w:spacing w:line="360" w:lineRule="auto"/>
        <w:rPr>
          <w:rFonts w:asciiTheme="minorEastAsia" w:hAnsiTheme="minorEastAsia" w:eastAsiaTheme="minorEastAsia" w:cstheme="minorEastAsia"/>
        </w:rPr>
      </w:pPr>
    </w:p>
    <w:p>
      <w:pPr>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sz w:val="21"/>
          <w:szCs w:val="21"/>
        </w:rPr>
        <w:t>特</w:t>
      </w:r>
      <w:r>
        <w:rPr>
          <w:rFonts w:hint="eastAsia" w:asciiTheme="minorEastAsia" w:hAnsiTheme="minorEastAsia" w:eastAsiaTheme="minorEastAsia" w:cstheme="minorEastAsia"/>
        </w:rPr>
        <w:t>别说明：</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1.投标文件的大写金额和小写金额不一致的，以大写金额为准；总价金额与按单价汇总金额不一致的，以单价为准修正总价；单价金额小数点有明显错位的，以总价为准，并修改单价。分项报价明细表与开标一览表内容不一致的，以开标一览表为准。</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2.供应商未提供详细分项报价可视为没有实质性响应采购文件。</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3.供应商应按第二部分中的要求逐项报价(报人民币价)。报价包括与该项目有关的一切费用如安装调试费、运输、保险、服务培训费、国内货物的税金、项目验收时的试剂耗材、强制性第三方监督检验机构的验收检验费用等。投标总价应为各分项合计价格之和。</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4.设备名称、数量应符合招标文件第二篇的要求。</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5.每一分项设备必须另附其详细配置清单及货号，包括附件和配件，并注明各部分的确定生产地。成交后供应商提出产地变更的，扣付成交价5% 及以上直至取消成交资格并列入不良行为记录名单，暂停资格一年。进口货物须明确该项乙方外贸合同的签订方。</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6.执行标准是非通用标准的，应另附页详细特别说明。</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7、设备名称和规格型号必须使用产品生产厂家的规范全称，并与产品中文彩页及说明书完全一致。</w:t>
      </w:r>
    </w:p>
    <w:p>
      <w:pPr>
        <w:spacing w:line="360" w:lineRule="auto"/>
        <w:ind w:firstLine="3520" w:firstLineChars="800"/>
        <w:rPr>
          <w:rFonts w:asciiTheme="minorEastAsia" w:hAnsiTheme="minorEastAsia" w:eastAsiaTheme="minorEastAsia" w:cstheme="minorEastAsia"/>
          <w:sz w:val="44"/>
          <w:szCs w:val="44"/>
        </w:rPr>
      </w:pPr>
    </w:p>
    <w:p>
      <w:pPr>
        <w:spacing w:line="360" w:lineRule="auto"/>
        <w:ind w:firstLine="3520" w:firstLineChars="800"/>
        <w:rPr>
          <w:rFonts w:asciiTheme="minorEastAsia" w:hAnsiTheme="minorEastAsia" w:eastAsiaTheme="minorEastAsia" w:cstheme="minorEastAsia"/>
          <w:sz w:val="44"/>
          <w:szCs w:val="44"/>
        </w:rPr>
      </w:pPr>
    </w:p>
    <w:p>
      <w:pPr>
        <w:spacing w:line="360" w:lineRule="auto"/>
        <w:ind w:firstLine="3520" w:firstLineChars="800"/>
        <w:rPr>
          <w:rFonts w:asciiTheme="minorEastAsia" w:hAnsiTheme="minorEastAsia" w:eastAsiaTheme="minorEastAsia" w:cstheme="minorEastAsia"/>
          <w:sz w:val="44"/>
          <w:szCs w:val="44"/>
        </w:rPr>
      </w:pPr>
    </w:p>
    <w:p>
      <w:pPr>
        <w:spacing w:line="360" w:lineRule="auto"/>
        <w:rPr>
          <w:rFonts w:asciiTheme="minorEastAsia" w:hAnsiTheme="minorEastAsia" w:eastAsiaTheme="minorEastAsia" w:cstheme="minorEastAsia"/>
          <w:sz w:val="44"/>
          <w:szCs w:val="44"/>
        </w:rPr>
      </w:pPr>
    </w:p>
    <w:p>
      <w:pPr>
        <w:spacing w:line="360" w:lineRule="auto"/>
        <w:ind w:firstLine="3520" w:firstLineChars="800"/>
        <w:rPr>
          <w:rFonts w:asciiTheme="minorEastAsia" w:hAnsiTheme="minorEastAsia" w:eastAsiaTheme="minorEastAsia" w:cstheme="minorEastAsia"/>
          <w:sz w:val="44"/>
          <w:szCs w:val="44"/>
        </w:rPr>
      </w:pPr>
      <w:bookmarkStart w:id="155" w:name="_Toc465269283"/>
    </w:p>
    <w:p>
      <w:pPr>
        <w:spacing w:line="360" w:lineRule="auto"/>
        <w:ind w:firstLine="3520" w:firstLineChars="800"/>
        <w:rPr>
          <w:rFonts w:asciiTheme="minorEastAsia" w:hAnsiTheme="minorEastAsia" w:eastAsiaTheme="minorEastAsia" w:cstheme="minorEastAsia"/>
          <w:sz w:val="44"/>
          <w:szCs w:val="44"/>
        </w:rPr>
      </w:pPr>
    </w:p>
    <w:p>
      <w:pPr>
        <w:spacing w:line="360" w:lineRule="auto"/>
        <w:ind w:firstLine="3520" w:firstLineChars="800"/>
        <w:rPr>
          <w:rFonts w:asciiTheme="minorEastAsia" w:hAnsiTheme="minorEastAsia" w:eastAsiaTheme="minorEastAsia" w:cstheme="minorEastAsia"/>
          <w:sz w:val="44"/>
          <w:szCs w:val="44"/>
        </w:rPr>
      </w:pPr>
    </w:p>
    <w:p>
      <w:pPr>
        <w:spacing w:line="360" w:lineRule="auto"/>
        <w:ind w:firstLine="3520" w:firstLineChars="800"/>
        <w:rPr>
          <w:rFonts w:asciiTheme="minorEastAsia" w:hAnsiTheme="minorEastAsia" w:eastAsiaTheme="minorEastAsia" w:cstheme="minorEastAsia"/>
          <w:sz w:val="44"/>
          <w:szCs w:val="44"/>
        </w:rPr>
      </w:pPr>
    </w:p>
    <w:p>
      <w:pPr>
        <w:spacing w:line="360" w:lineRule="auto"/>
        <w:ind w:firstLine="3520" w:firstLineChars="800"/>
        <w:rPr>
          <w:rFonts w:asciiTheme="minorEastAsia" w:hAnsiTheme="minorEastAsia" w:eastAsiaTheme="minorEastAsia" w:cstheme="minorEastAsia"/>
          <w:sz w:val="44"/>
          <w:szCs w:val="44"/>
        </w:rPr>
      </w:pPr>
    </w:p>
    <w:p>
      <w:pPr>
        <w:spacing w:line="360" w:lineRule="auto"/>
        <w:ind w:firstLine="3520" w:firstLineChars="800"/>
        <w:rPr>
          <w:rFonts w:asciiTheme="minorEastAsia" w:hAnsiTheme="minorEastAsia" w:eastAsiaTheme="minorEastAsia" w:cstheme="minorEastAsia"/>
          <w:sz w:val="44"/>
          <w:szCs w:val="44"/>
        </w:rPr>
      </w:pPr>
    </w:p>
    <w:p>
      <w:pPr>
        <w:spacing w:line="360" w:lineRule="auto"/>
        <w:ind w:firstLine="3520" w:firstLineChars="800"/>
        <w:rPr>
          <w:rFonts w:asciiTheme="minorEastAsia" w:hAnsiTheme="minorEastAsia" w:eastAsiaTheme="minorEastAsia" w:cstheme="minorEastAsia"/>
          <w:sz w:val="44"/>
          <w:szCs w:val="44"/>
        </w:rPr>
      </w:pPr>
    </w:p>
    <w:p>
      <w:pPr>
        <w:spacing w:line="360" w:lineRule="auto"/>
        <w:ind w:firstLine="3520" w:firstLineChars="800"/>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投标分项报价表</w:t>
      </w:r>
    </w:p>
    <w:p>
      <w:pPr>
        <w:spacing w:line="360" w:lineRule="auto"/>
        <w:ind w:firstLine="750" w:firstLineChars="250"/>
        <w:jc w:val="center"/>
        <w:rPr>
          <w:rFonts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（关境外供货的投标）</w:t>
      </w:r>
    </w:p>
    <w:p>
      <w:pPr>
        <w:spacing w:line="360" w:lineRule="auto"/>
        <w:ind w:firstLine="600" w:firstLineChars="250"/>
        <w:rPr>
          <w:rFonts w:asciiTheme="minorEastAsia" w:hAnsiTheme="minorEastAsia" w:eastAsiaTheme="minorEastAsia" w:cstheme="minorEastAsia"/>
        </w:rPr>
      </w:pPr>
      <w:r>
        <w:rPr>
          <w:rFonts w:hint="eastAsia" w:asciiTheme="minorEastAsia" w:hAnsiTheme="minorEastAsia" w:eastAsiaTheme="minorEastAsia" w:cstheme="minorEastAsia"/>
        </w:rPr>
        <w:t xml:space="preserve">投标人名称：                    项目编号：                                           </w:t>
      </w:r>
    </w:p>
    <w:tbl>
      <w:tblPr>
        <w:tblStyle w:val="24"/>
        <w:tblW w:w="10026" w:type="dxa"/>
        <w:tblInd w:w="-6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6"/>
        <w:gridCol w:w="1200"/>
        <w:gridCol w:w="763"/>
        <w:gridCol w:w="812"/>
        <w:gridCol w:w="788"/>
        <w:gridCol w:w="600"/>
        <w:gridCol w:w="1962"/>
        <w:gridCol w:w="2063"/>
        <w:gridCol w:w="12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序号</w:t>
            </w:r>
          </w:p>
        </w:tc>
        <w:tc>
          <w:tcPr>
            <w:tcW w:w="1200"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产品名称</w:t>
            </w:r>
          </w:p>
        </w:tc>
        <w:tc>
          <w:tcPr>
            <w:tcW w:w="763"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型号和规格</w:t>
            </w:r>
          </w:p>
        </w:tc>
        <w:tc>
          <w:tcPr>
            <w:tcW w:w="812"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数量</w:t>
            </w:r>
          </w:p>
        </w:tc>
        <w:tc>
          <w:tcPr>
            <w:tcW w:w="788"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制造商名称和产地</w:t>
            </w:r>
          </w:p>
        </w:tc>
        <w:tc>
          <w:tcPr>
            <w:tcW w:w="600"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执行</w:t>
            </w:r>
          </w:p>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标准</w:t>
            </w:r>
          </w:p>
        </w:tc>
        <w:tc>
          <w:tcPr>
            <w:tcW w:w="1962"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CIP（西南大学项目现场）综合单价/DAP（西南大学项目现场）综合单价/DDP（西南大学项目现场）综合单价</w:t>
            </w:r>
          </w:p>
        </w:tc>
        <w:tc>
          <w:tcPr>
            <w:tcW w:w="2063"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CIP（西南大学项目现场）总价/DAP（西南大学项目现场）总价/DDP（西南大学项目现场）总价</w:t>
            </w:r>
          </w:p>
        </w:tc>
        <w:tc>
          <w:tcPr>
            <w:tcW w:w="1262" w:type="dxa"/>
            <w:vAlign w:val="center"/>
          </w:tcPr>
          <w:p>
            <w:pPr>
              <w:spacing w:line="42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是否免税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576"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1200" w:type="dxa"/>
            <w:vAlign w:val="center"/>
          </w:tcPr>
          <w:p>
            <w:pPr>
              <w:spacing w:line="420" w:lineRule="exact"/>
              <w:rPr>
                <w:rFonts w:asciiTheme="minorEastAsia" w:hAnsiTheme="minorEastAsia" w:eastAsiaTheme="minorEastAsia" w:cstheme="minorEastAsia"/>
                <w:sz w:val="21"/>
                <w:szCs w:val="21"/>
              </w:rPr>
            </w:pPr>
          </w:p>
        </w:tc>
        <w:tc>
          <w:tcPr>
            <w:tcW w:w="763" w:type="dxa"/>
          </w:tcPr>
          <w:p>
            <w:pPr>
              <w:spacing w:line="420" w:lineRule="exact"/>
              <w:rPr>
                <w:rFonts w:asciiTheme="minorEastAsia" w:hAnsiTheme="minorEastAsia" w:eastAsiaTheme="minorEastAsia" w:cstheme="minorEastAsia"/>
                <w:sz w:val="21"/>
                <w:szCs w:val="21"/>
              </w:rPr>
            </w:pPr>
          </w:p>
        </w:tc>
        <w:tc>
          <w:tcPr>
            <w:tcW w:w="812" w:type="dxa"/>
          </w:tcPr>
          <w:p>
            <w:pPr>
              <w:spacing w:line="420" w:lineRule="exact"/>
              <w:rPr>
                <w:rFonts w:asciiTheme="minorEastAsia" w:hAnsiTheme="minorEastAsia" w:eastAsiaTheme="minorEastAsia" w:cstheme="minorEastAsia"/>
                <w:sz w:val="21"/>
                <w:szCs w:val="21"/>
              </w:rPr>
            </w:pPr>
          </w:p>
        </w:tc>
        <w:tc>
          <w:tcPr>
            <w:tcW w:w="788" w:type="dxa"/>
          </w:tcPr>
          <w:p>
            <w:pPr>
              <w:spacing w:line="420" w:lineRule="exact"/>
              <w:rPr>
                <w:rFonts w:asciiTheme="minorEastAsia" w:hAnsiTheme="minorEastAsia" w:eastAsiaTheme="minorEastAsia" w:cstheme="minorEastAsia"/>
                <w:sz w:val="21"/>
                <w:szCs w:val="21"/>
              </w:rPr>
            </w:pPr>
          </w:p>
        </w:tc>
        <w:tc>
          <w:tcPr>
            <w:tcW w:w="600" w:type="dxa"/>
          </w:tcPr>
          <w:p>
            <w:pPr>
              <w:spacing w:line="420" w:lineRule="exact"/>
              <w:rPr>
                <w:rFonts w:asciiTheme="minorEastAsia" w:hAnsiTheme="minorEastAsia" w:eastAsiaTheme="minorEastAsia" w:cstheme="minorEastAsia"/>
                <w:sz w:val="21"/>
                <w:szCs w:val="21"/>
              </w:rPr>
            </w:pPr>
          </w:p>
        </w:tc>
        <w:tc>
          <w:tcPr>
            <w:tcW w:w="1962" w:type="dxa"/>
          </w:tcPr>
          <w:p>
            <w:pPr>
              <w:spacing w:line="420" w:lineRule="exact"/>
              <w:rPr>
                <w:rFonts w:asciiTheme="minorEastAsia" w:hAnsiTheme="minorEastAsia" w:eastAsiaTheme="minorEastAsia" w:cstheme="minorEastAsia"/>
                <w:sz w:val="21"/>
                <w:szCs w:val="21"/>
              </w:rPr>
            </w:pPr>
          </w:p>
        </w:tc>
        <w:tc>
          <w:tcPr>
            <w:tcW w:w="2063" w:type="dxa"/>
          </w:tcPr>
          <w:p>
            <w:pPr>
              <w:spacing w:line="420" w:lineRule="exact"/>
              <w:rPr>
                <w:rFonts w:asciiTheme="minorEastAsia" w:hAnsiTheme="minorEastAsia" w:eastAsiaTheme="minorEastAsia" w:cstheme="minorEastAsia"/>
                <w:sz w:val="21"/>
                <w:szCs w:val="21"/>
              </w:rPr>
            </w:pPr>
          </w:p>
        </w:tc>
        <w:tc>
          <w:tcPr>
            <w:tcW w:w="1262" w:type="dxa"/>
            <w:vAlign w:val="center"/>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10026" w:type="dxa"/>
            <w:gridSpan w:val="9"/>
            <w:vAlign w:val="center"/>
          </w:tcPr>
          <w:p>
            <w:pPr>
              <w:spacing w:line="420" w:lineRule="exact"/>
              <w:rPr>
                <w:rFonts w:asciiTheme="minorEastAsia" w:hAnsiTheme="minorEastAsia" w:eastAsiaTheme="minorEastAsia" w:cstheme="minorEastAsia"/>
                <w:sz w:val="21"/>
                <w:szCs w:val="21"/>
              </w:rPr>
            </w:pPr>
            <w:r>
              <w:rPr>
                <w:rFonts w:hint="eastAsia" w:ascii="宋体" w:hAnsi="宋体" w:cs="宋体"/>
                <w:sz w:val="21"/>
                <w:szCs w:val="21"/>
              </w:rPr>
              <w:t>其中：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576"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p>
        </w:tc>
        <w:tc>
          <w:tcPr>
            <w:tcW w:w="1200"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主机和标准附件</w:t>
            </w:r>
          </w:p>
        </w:tc>
        <w:tc>
          <w:tcPr>
            <w:tcW w:w="763" w:type="dxa"/>
          </w:tcPr>
          <w:p>
            <w:pPr>
              <w:spacing w:line="420" w:lineRule="exact"/>
              <w:rPr>
                <w:rFonts w:asciiTheme="minorEastAsia" w:hAnsiTheme="minorEastAsia" w:eastAsiaTheme="minorEastAsia" w:cstheme="minorEastAsia"/>
                <w:sz w:val="21"/>
                <w:szCs w:val="21"/>
              </w:rPr>
            </w:pPr>
          </w:p>
        </w:tc>
        <w:tc>
          <w:tcPr>
            <w:tcW w:w="812" w:type="dxa"/>
          </w:tcPr>
          <w:p>
            <w:pPr>
              <w:spacing w:line="420" w:lineRule="exact"/>
              <w:rPr>
                <w:rFonts w:asciiTheme="minorEastAsia" w:hAnsiTheme="minorEastAsia" w:eastAsiaTheme="minorEastAsia" w:cstheme="minorEastAsia"/>
                <w:sz w:val="21"/>
                <w:szCs w:val="21"/>
              </w:rPr>
            </w:pPr>
          </w:p>
        </w:tc>
        <w:tc>
          <w:tcPr>
            <w:tcW w:w="788" w:type="dxa"/>
          </w:tcPr>
          <w:p>
            <w:pPr>
              <w:spacing w:line="420" w:lineRule="exact"/>
              <w:rPr>
                <w:rFonts w:asciiTheme="minorEastAsia" w:hAnsiTheme="minorEastAsia" w:eastAsiaTheme="minorEastAsia" w:cstheme="minorEastAsia"/>
                <w:sz w:val="21"/>
                <w:szCs w:val="21"/>
              </w:rPr>
            </w:pPr>
          </w:p>
        </w:tc>
        <w:tc>
          <w:tcPr>
            <w:tcW w:w="600" w:type="dxa"/>
          </w:tcPr>
          <w:p>
            <w:pPr>
              <w:spacing w:line="420" w:lineRule="exact"/>
              <w:rPr>
                <w:rFonts w:asciiTheme="minorEastAsia" w:hAnsiTheme="minorEastAsia" w:eastAsiaTheme="minorEastAsia" w:cstheme="minorEastAsia"/>
                <w:sz w:val="21"/>
                <w:szCs w:val="21"/>
              </w:rPr>
            </w:pPr>
          </w:p>
        </w:tc>
        <w:tc>
          <w:tcPr>
            <w:tcW w:w="1962" w:type="dxa"/>
          </w:tcPr>
          <w:p>
            <w:pPr>
              <w:spacing w:line="420" w:lineRule="exact"/>
              <w:rPr>
                <w:rFonts w:asciiTheme="minorEastAsia" w:hAnsiTheme="minorEastAsia" w:eastAsiaTheme="minorEastAsia" w:cstheme="minorEastAsia"/>
                <w:sz w:val="21"/>
                <w:szCs w:val="21"/>
              </w:rPr>
            </w:pPr>
          </w:p>
        </w:tc>
        <w:tc>
          <w:tcPr>
            <w:tcW w:w="2063" w:type="dxa"/>
          </w:tcPr>
          <w:p>
            <w:pPr>
              <w:spacing w:line="420" w:lineRule="exact"/>
              <w:rPr>
                <w:rFonts w:asciiTheme="minorEastAsia" w:hAnsiTheme="minorEastAsia" w:eastAsiaTheme="minorEastAsia" w:cstheme="minorEastAsia"/>
                <w:sz w:val="21"/>
                <w:szCs w:val="21"/>
              </w:rPr>
            </w:pPr>
          </w:p>
        </w:tc>
        <w:tc>
          <w:tcPr>
            <w:tcW w:w="1262" w:type="dxa"/>
            <w:vMerge w:val="restart"/>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是否免税的填写说明： 如符合备注说明中“3.4” 的免税产品，请填写 “是”；其它 情况均请填写“否”。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576"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1200"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备品备件</w:t>
            </w:r>
          </w:p>
        </w:tc>
        <w:tc>
          <w:tcPr>
            <w:tcW w:w="763" w:type="dxa"/>
          </w:tcPr>
          <w:p>
            <w:pPr>
              <w:spacing w:line="420" w:lineRule="exact"/>
              <w:rPr>
                <w:rFonts w:asciiTheme="minorEastAsia" w:hAnsiTheme="minorEastAsia" w:eastAsiaTheme="minorEastAsia" w:cstheme="minorEastAsia"/>
                <w:sz w:val="21"/>
                <w:szCs w:val="21"/>
              </w:rPr>
            </w:pPr>
          </w:p>
        </w:tc>
        <w:tc>
          <w:tcPr>
            <w:tcW w:w="812" w:type="dxa"/>
          </w:tcPr>
          <w:p>
            <w:pPr>
              <w:spacing w:line="420" w:lineRule="exact"/>
              <w:rPr>
                <w:rFonts w:asciiTheme="minorEastAsia" w:hAnsiTheme="minorEastAsia" w:eastAsiaTheme="minorEastAsia" w:cstheme="minorEastAsia"/>
                <w:sz w:val="21"/>
                <w:szCs w:val="21"/>
              </w:rPr>
            </w:pPr>
          </w:p>
        </w:tc>
        <w:tc>
          <w:tcPr>
            <w:tcW w:w="788" w:type="dxa"/>
          </w:tcPr>
          <w:p>
            <w:pPr>
              <w:spacing w:line="420" w:lineRule="exact"/>
              <w:rPr>
                <w:rFonts w:asciiTheme="minorEastAsia" w:hAnsiTheme="minorEastAsia" w:eastAsiaTheme="minorEastAsia" w:cstheme="minorEastAsia"/>
                <w:sz w:val="21"/>
                <w:szCs w:val="21"/>
              </w:rPr>
            </w:pPr>
          </w:p>
        </w:tc>
        <w:tc>
          <w:tcPr>
            <w:tcW w:w="600" w:type="dxa"/>
          </w:tcPr>
          <w:p>
            <w:pPr>
              <w:spacing w:line="420" w:lineRule="exact"/>
              <w:rPr>
                <w:rFonts w:asciiTheme="minorEastAsia" w:hAnsiTheme="minorEastAsia" w:eastAsiaTheme="minorEastAsia" w:cstheme="minorEastAsia"/>
                <w:sz w:val="21"/>
                <w:szCs w:val="21"/>
              </w:rPr>
            </w:pPr>
          </w:p>
        </w:tc>
        <w:tc>
          <w:tcPr>
            <w:tcW w:w="1962" w:type="dxa"/>
          </w:tcPr>
          <w:p>
            <w:pPr>
              <w:spacing w:line="420" w:lineRule="exact"/>
              <w:rPr>
                <w:rFonts w:asciiTheme="minorEastAsia" w:hAnsiTheme="minorEastAsia" w:eastAsiaTheme="minorEastAsia" w:cstheme="minorEastAsia"/>
                <w:sz w:val="21"/>
                <w:szCs w:val="21"/>
              </w:rPr>
            </w:pPr>
          </w:p>
        </w:tc>
        <w:tc>
          <w:tcPr>
            <w:tcW w:w="2063" w:type="dxa"/>
          </w:tcPr>
          <w:p>
            <w:pPr>
              <w:spacing w:line="420" w:lineRule="exact"/>
              <w:rPr>
                <w:rFonts w:asciiTheme="minorEastAsia" w:hAnsiTheme="minorEastAsia" w:eastAsiaTheme="minorEastAsia" w:cstheme="minorEastAsia"/>
                <w:sz w:val="21"/>
                <w:szCs w:val="21"/>
              </w:rPr>
            </w:pPr>
          </w:p>
        </w:tc>
        <w:tc>
          <w:tcPr>
            <w:tcW w:w="1262" w:type="dxa"/>
            <w:vMerge w:val="continue"/>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576"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w:t>
            </w:r>
          </w:p>
        </w:tc>
        <w:tc>
          <w:tcPr>
            <w:tcW w:w="1200"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专用工具  </w:t>
            </w:r>
          </w:p>
        </w:tc>
        <w:tc>
          <w:tcPr>
            <w:tcW w:w="763" w:type="dxa"/>
          </w:tcPr>
          <w:p>
            <w:pPr>
              <w:spacing w:line="420" w:lineRule="exact"/>
              <w:rPr>
                <w:rFonts w:asciiTheme="minorEastAsia" w:hAnsiTheme="minorEastAsia" w:eastAsiaTheme="minorEastAsia" w:cstheme="minorEastAsia"/>
                <w:sz w:val="21"/>
                <w:szCs w:val="21"/>
              </w:rPr>
            </w:pPr>
          </w:p>
        </w:tc>
        <w:tc>
          <w:tcPr>
            <w:tcW w:w="812" w:type="dxa"/>
          </w:tcPr>
          <w:p>
            <w:pPr>
              <w:spacing w:line="420" w:lineRule="exact"/>
              <w:rPr>
                <w:rFonts w:asciiTheme="minorEastAsia" w:hAnsiTheme="minorEastAsia" w:eastAsiaTheme="minorEastAsia" w:cstheme="minorEastAsia"/>
                <w:sz w:val="21"/>
                <w:szCs w:val="21"/>
              </w:rPr>
            </w:pPr>
          </w:p>
        </w:tc>
        <w:tc>
          <w:tcPr>
            <w:tcW w:w="788" w:type="dxa"/>
          </w:tcPr>
          <w:p>
            <w:pPr>
              <w:spacing w:line="420" w:lineRule="exact"/>
              <w:rPr>
                <w:rFonts w:asciiTheme="minorEastAsia" w:hAnsiTheme="minorEastAsia" w:eastAsiaTheme="minorEastAsia" w:cstheme="minorEastAsia"/>
                <w:sz w:val="21"/>
                <w:szCs w:val="21"/>
              </w:rPr>
            </w:pPr>
          </w:p>
        </w:tc>
        <w:tc>
          <w:tcPr>
            <w:tcW w:w="600" w:type="dxa"/>
          </w:tcPr>
          <w:p>
            <w:pPr>
              <w:spacing w:line="420" w:lineRule="exact"/>
              <w:rPr>
                <w:rFonts w:asciiTheme="minorEastAsia" w:hAnsiTheme="minorEastAsia" w:eastAsiaTheme="minorEastAsia" w:cstheme="minorEastAsia"/>
                <w:sz w:val="21"/>
                <w:szCs w:val="21"/>
              </w:rPr>
            </w:pPr>
          </w:p>
        </w:tc>
        <w:tc>
          <w:tcPr>
            <w:tcW w:w="1962" w:type="dxa"/>
          </w:tcPr>
          <w:p>
            <w:pPr>
              <w:spacing w:line="420" w:lineRule="exact"/>
              <w:rPr>
                <w:rFonts w:asciiTheme="minorEastAsia" w:hAnsiTheme="minorEastAsia" w:eastAsiaTheme="minorEastAsia" w:cstheme="minorEastAsia"/>
                <w:sz w:val="21"/>
                <w:szCs w:val="21"/>
              </w:rPr>
            </w:pPr>
          </w:p>
        </w:tc>
        <w:tc>
          <w:tcPr>
            <w:tcW w:w="2063" w:type="dxa"/>
          </w:tcPr>
          <w:p>
            <w:pPr>
              <w:spacing w:line="420" w:lineRule="exact"/>
              <w:rPr>
                <w:rFonts w:asciiTheme="minorEastAsia" w:hAnsiTheme="minorEastAsia" w:eastAsiaTheme="minorEastAsia" w:cstheme="minorEastAsia"/>
                <w:sz w:val="21"/>
                <w:szCs w:val="21"/>
              </w:rPr>
            </w:pPr>
          </w:p>
        </w:tc>
        <w:tc>
          <w:tcPr>
            <w:tcW w:w="1262" w:type="dxa"/>
            <w:vMerge w:val="continue"/>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576"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p>
        </w:tc>
        <w:tc>
          <w:tcPr>
            <w:tcW w:w="1200"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安装、调试、检验</w:t>
            </w:r>
          </w:p>
        </w:tc>
        <w:tc>
          <w:tcPr>
            <w:tcW w:w="763" w:type="dxa"/>
          </w:tcPr>
          <w:p>
            <w:pPr>
              <w:spacing w:line="420" w:lineRule="exact"/>
              <w:rPr>
                <w:rFonts w:asciiTheme="minorEastAsia" w:hAnsiTheme="minorEastAsia" w:eastAsiaTheme="minorEastAsia" w:cstheme="minorEastAsia"/>
                <w:sz w:val="21"/>
                <w:szCs w:val="21"/>
              </w:rPr>
            </w:pPr>
          </w:p>
        </w:tc>
        <w:tc>
          <w:tcPr>
            <w:tcW w:w="812" w:type="dxa"/>
          </w:tcPr>
          <w:p>
            <w:pPr>
              <w:spacing w:line="420" w:lineRule="exact"/>
              <w:rPr>
                <w:rFonts w:asciiTheme="minorEastAsia" w:hAnsiTheme="minorEastAsia" w:eastAsiaTheme="minorEastAsia" w:cstheme="minorEastAsia"/>
                <w:sz w:val="21"/>
                <w:szCs w:val="21"/>
              </w:rPr>
            </w:pPr>
          </w:p>
        </w:tc>
        <w:tc>
          <w:tcPr>
            <w:tcW w:w="788" w:type="dxa"/>
          </w:tcPr>
          <w:p>
            <w:pPr>
              <w:spacing w:line="420" w:lineRule="exact"/>
              <w:rPr>
                <w:rFonts w:asciiTheme="minorEastAsia" w:hAnsiTheme="minorEastAsia" w:eastAsiaTheme="minorEastAsia" w:cstheme="minorEastAsia"/>
                <w:sz w:val="21"/>
                <w:szCs w:val="21"/>
              </w:rPr>
            </w:pPr>
          </w:p>
        </w:tc>
        <w:tc>
          <w:tcPr>
            <w:tcW w:w="600" w:type="dxa"/>
          </w:tcPr>
          <w:p>
            <w:pPr>
              <w:spacing w:line="420" w:lineRule="exact"/>
              <w:rPr>
                <w:rFonts w:asciiTheme="minorEastAsia" w:hAnsiTheme="minorEastAsia" w:eastAsiaTheme="minorEastAsia" w:cstheme="minorEastAsia"/>
                <w:sz w:val="21"/>
                <w:szCs w:val="21"/>
              </w:rPr>
            </w:pPr>
          </w:p>
        </w:tc>
        <w:tc>
          <w:tcPr>
            <w:tcW w:w="1962" w:type="dxa"/>
          </w:tcPr>
          <w:p>
            <w:pPr>
              <w:spacing w:line="420" w:lineRule="exact"/>
              <w:rPr>
                <w:rFonts w:asciiTheme="minorEastAsia" w:hAnsiTheme="minorEastAsia" w:eastAsiaTheme="minorEastAsia" w:cstheme="minorEastAsia"/>
                <w:sz w:val="21"/>
                <w:szCs w:val="21"/>
              </w:rPr>
            </w:pPr>
          </w:p>
        </w:tc>
        <w:tc>
          <w:tcPr>
            <w:tcW w:w="2063" w:type="dxa"/>
          </w:tcPr>
          <w:p>
            <w:pPr>
              <w:spacing w:line="420" w:lineRule="exact"/>
              <w:rPr>
                <w:rFonts w:asciiTheme="minorEastAsia" w:hAnsiTheme="minorEastAsia" w:eastAsiaTheme="minorEastAsia" w:cstheme="minorEastAsia"/>
                <w:sz w:val="21"/>
                <w:szCs w:val="21"/>
              </w:rPr>
            </w:pPr>
          </w:p>
        </w:tc>
        <w:tc>
          <w:tcPr>
            <w:tcW w:w="1262" w:type="dxa"/>
            <w:vMerge w:val="continue"/>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576"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w:t>
            </w:r>
          </w:p>
        </w:tc>
        <w:tc>
          <w:tcPr>
            <w:tcW w:w="1200"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培训</w:t>
            </w:r>
          </w:p>
        </w:tc>
        <w:tc>
          <w:tcPr>
            <w:tcW w:w="763" w:type="dxa"/>
          </w:tcPr>
          <w:p>
            <w:pPr>
              <w:spacing w:line="420" w:lineRule="exact"/>
              <w:rPr>
                <w:rFonts w:asciiTheme="minorEastAsia" w:hAnsiTheme="minorEastAsia" w:eastAsiaTheme="minorEastAsia" w:cstheme="minorEastAsia"/>
                <w:sz w:val="21"/>
                <w:szCs w:val="21"/>
              </w:rPr>
            </w:pPr>
          </w:p>
        </w:tc>
        <w:tc>
          <w:tcPr>
            <w:tcW w:w="812" w:type="dxa"/>
          </w:tcPr>
          <w:p>
            <w:pPr>
              <w:spacing w:line="420" w:lineRule="exact"/>
              <w:rPr>
                <w:rFonts w:asciiTheme="minorEastAsia" w:hAnsiTheme="minorEastAsia" w:eastAsiaTheme="minorEastAsia" w:cstheme="minorEastAsia"/>
                <w:sz w:val="21"/>
                <w:szCs w:val="21"/>
              </w:rPr>
            </w:pPr>
          </w:p>
        </w:tc>
        <w:tc>
          <w:tcPr>
            <w:tcW w:w="788" w:type="dxa"/>
          </w:tcPr>
          <w:p>
            <w:pPr>
              <w:spacing w:line="420" w:lineRule="exact"/>
              <w:rPr>
                <w:rFonts w:asciiTheme="minorEastAsia" w:hAnsiTheme="minorEastAsia" w:eastAsiaTheme="minorEastAsia" w:cstheme="minorEastAsia"/>
                <w:sz w:val="21"/>
                <w:szCs w:val="21"/>
              </w:rPr>
            </w:pPr>
          </w:p>
        </w:tc>
        <w:tc>
          <w:tcPr>
            <w:tcW w:w="600" w:type="dxa"/>
          </w:tcPr>
          <w:p>
            <w:pPr>
              <w:spacing w:line="420" w:lineRule="exact"/>
              <w:rPr>
                <w:rFonts w:asciiTheme="minorEastAsia" w:hAnsiTheme="minorEastAsia" w:eastAsiaTheme="minorEastAsia" w:cstheme="minorEastAsia"/>
                <w:sz w:val="21"/>
                <w:szCs w:val="21"/>
              </w:rPr>
            </w:pPr>
          </w:p>
        </w:tc>
        <w:tc>
          <w:tcPr>
            <w:tcW w:w="1962" w:type="dxa"/>
          </w:tcPr>
          <w:p>
            <w:pPr>
              <w:spacing w:line="420" w:lineRule="exact"/>
              <w:rPr>
                <w:rFonts w:asciiTheme="minorEastAsia" w:hAnsiTheme="minorEastAsia" w:eastAsiaTheme="minorEastAsia" w:cstheme="minorEastAsia"/>
                <w:sz w:val="21"/>
                <w:szCs w:val="21"/>
              </w:rPr>
            </w:pPr>
          </w:p>
        </w:tc>
        <w:tc>
          <w:tcPr>
            <w:tcW w:w="2063" w:type="dxa"/>
          </w:tcPr>
          <w:p>
            <w:pPr>
              <w:spacing w:line="420" w:lineRule="exact"/>
              <w:rPr>
                <w:rFonts w:asciiTheme="minorEastAsia" w:hAnsiTheme="minorEastAsia" w:eastAsiaTheme="minorEastAsia" w:cstheme="minorEastAsia"/>
                <w:sz w:val="21"/>
                <w:szCs w:val="21"/>
              </w:rPr>
            </w:pPr>
          </w:p>
        </w:tc>
        <w:tc>
          <w:tcPr>
            <w:tcW w:w="1262" w:type="dxa"/>
            <w:vMerge w:val="continue"/>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576"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w:t>
            </w:r>
          </w:p>
        </w:tc>
        <w:tc>
          <w:tcPr>
            <w:tcW w:w="1200"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技术服务</w:t>
            </w:r>
          </w:p>
        </w:tc>
        <w:tc>
          <w:tcPr>
            <w:tcW w:w="763" w:type="dxa"/>
          </w:tcPr>
          <w:p>
            <w:pPr>
              <w:spacing w:line="420" w:lineRule="exact"/>
              <w:rPr>
                <w:rFonts w:asciiTheme="minorEastAsia" w:hAnsiTheme="minorEastAsia" w:eastAsiaTheme="minorEastAsia" w:cstheme="minorEastAsia"/>
                <w:sz w:val="21"/>
                <w:szCs w:val="21"/>
              </w:rPr>
            </w:pPr>
          </w:p>
        </w:tc>
        <w:tc>
          <w:tcPr>
            <w:tcW w:w="812" w:type="dxa"/>
          </w:tcPr>
          <w:p>
            <w:pPr>
              <w:spacing w:line="420" w:lineRule="exact"/>
              <w:rPr>
                <w:rFonts w:asciiTheme="minorEastAsia" w:hAnsiTheme="minorEastAsia" w:eastAsiaTheme="minorEastAsia" w:cstheme="minorEastAsia"/>
                <w:sz w:val="21"/>
                <w:szCs w:val="21"/>
              </w:rPr>
            </w:pPr>
          </w:p>
        </w:tc>
        <w:tc>
          <w:tcPr>
            <w:tcW w:w="788" w:type="dxa"/>
          </w:tcPr>
          <w:p>
            <w:pPr>
              <w:spacing w:line="420" w:lineRule="exact"/>
              <w:rPr>
                <w:rFonts w:asciiTheme="minorEastAsia" w:hAnsiTheme="minorEastAsia" w:eastAsiaTheme="minorEastAsia" w:cstheme="minorEastAsia"/>
                <w:sz w:val="21"/>
                <w:szCs w:val="21"/>
              </w:rPr>
            </w:pPr>
          </w:p>
        </w:tc>
        <w:tc>
          <w:tcPr>
            <w:tcW w:w="600" w:type="dxa"/>
          </w:tcPr>
          <w:p>
            <w:pPr>
              <w:spacing w:line="420" w:lineRule="exact"/>
              <w:rPr>
                <w:rFonts w:asciiTheme="minorEastAsia" w:hAnsiTheme="minorEastAsia" w:eastAsiaTheme="minorEastAsia" w:cstheme="minorEastAsia"/>
                <w:sz w:val="21"/>
                <w:szCs w:val="21"/>
              </w:rPr>
            </w:pPr>
          </w:p>
        </w:tc>
        <w:tc>
          <w:tcPr>
            <w:tcW w:w="1962" w:type="dxa"/>
          </w:tcPr>
          <w:p>
            <w:pPr>
              <w:spacing w:line="420" w:lineRule="exact"/>
              <w:rPr>
                <w:rFonts w:asciiTheme="minorEastAsia" w:hAnsiTheme="minorEastAsia" w:eastAsiaTheme="minorEastAsia" w:cstheme="minorEastAsia"/>
                <w:sz w:val="21"/>
                <w:szCs w:val="21"/>
              </w:rPr>
            </w:pPr>
          </w:p>
        </w:tc>
        <w:tc>
          <w:tcPr>
            <w:tcW w:w="2063" w:type="dxa"/>
          </w:tcPr>
          <w:p>
            <w:pPr>
              <w:spacing w:line="420" w:lineRule="exact"/>
              <w:rPr>
                <w:rFonts w:asciiTheme="minorEastAsia" w:hAnsiTheme="minorEastAsia" w:eastAsiaTheme="minorEastAsia" w:cstheme="minorEastAsia"/>
                <w:sz w:val="21"/>
                <w:szCs w:val="21"/>
              </w:rPr>
            </w:pPr>
          </w:p>
        </w:tc>
        <w:tc>
          <w:tcPr>
            <w:tcW w:w="1262" w:type="dxa"/>
            <w:vMerge w:val="continue"/>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576"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w:t>
            </w:r>
          </w:p>
        </w:tc>
        <w:tc>
          <w:tcPr>
            <w:tcW w:w="1200"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其他</w:t>
            </w:r>
          </w:p>
        </w:tc>
        <w:tc>
          <w:tcPr>
            <w:tcW w:w="763" w:type="dxa"/>
          </w:tcPr>
          <w:p>
            <w:pPr>
              <w:spacing w:line="420" w:lineRule="exact"/>
              <w:rPr>
                <w:rFonts w:asciiTheme="minorEastAsia" w:hAnsiTheme="minorEastAsia" w:eastAsiaTheme="minorEastAsia" w:cstheme="minorEastAsia"/>
                <w:sz w:val="21"/>
                <w:szCs w:val="21"/>
              </w:rPr>
            </w:pPr>
          </w:p>
        </w:tc>
        <w:tc>
          <w:tcPr>
            <w:tcW w:w="812" w:type="dxa"/>
          </w:tcPr>
          <w:p>
            <w:pPr>
              <w:spacing w:line="420" w:lineRule="exact"/>
              <w:rPr>
                <w:rFonts w:asciiTheme="minorEastAsia" w:hAnsiTheme="minorEastAsia" w:eastAsiaTheme="minorEastAsia" w:cstheme="minorEastAsia"/>
                <w:sz w:val="21"/>
                <w:szCs w:val="21"/>
              </w:rPr>
            </w:pPr>
          </w:p>
        </w:tc>
        <w:tc>
          <w:tcPr>
            <w:tcW w:w="788" w:type="dxa"/>
          </w:tcPr>
          <w:p>
            <w:pPr>
              <w:spacing w:line="420" w:lineRule="exact"/>
              <w:rPr>
                <w:rFonts w:asciiTheme="minorEastAsia" w:hAnsiTheme="minorEastAsia" w:eastAsiaTheme="minorEastAsia" w:cstheme="minorEastAsia"/>
                <w:sz w:val="21"/>
                <w:szCs w:val="21"/>
              </w:rPr>
            </w:pPr>
          </w:p>
        </w:tc>
        <w:tc>
          <w:tcPr>
            <w:tcW w:w="600" w:type="dxa"/>
          </w:tcPr>
          <w:p>
            <w:pPr>
              <w:spacing w:line="420" w:lineRule="exact"/>
              <w:rPr>
                <w:rFonts w:asciiTheme="minorEastAsia" w:hAnsiTheme="minorEastAsia" w:eastAsiaTheme="minorEastAsia" w:cstheme="minorEastAsia"/>
                <w:sz w:val="21"/>
                <w:szCs w:val="21"/>
              </w:rPr>
            </w:pPr>
          </w:p>
        </w:tc>
        <w:tc>
          <w:tcPr>
            <w:tcW w:w="1962" w:type="dxa"/>
          </w:tcPr>
          <w:p>
            <w:pPr>
              <w:spacing w:line="420" w:lineRule="exact"/>
              <w:rPr>
                <w:rFonts w:asciiTheme="minorEastAsia" w:hAnsiTheme="minorEastAsia" w:eastAsiaTheme="minorEastAsia" w:cstheme="minorEastAsia"/>
                <w:sz w:val="21"/>
                <w:szCs w:val="21"/>
              </w:rPr>
            </w:pPr>
          </w:p>
        </w:tc>
        <w:tc>
          <w:tcPr>
            <w:tcW w:w="2063" w:type="dxa"/>
          </w:tcPr>
          <w:p>
            <w:pPr>
              <w:spacing w:line="420" w:lineRule="exact"/>
              <w:rPr>
                <w:rFonts w:asciiTheme="minorEastAsia" w:hAnsiTheme="minorEastAsia" w:eastAsiaTheme="minorEastAsia" w:cstheme="minorEastAsia"/>
                <w:sz w:val="21"/>
                <w:szCs w:val="21"/>
              </w:rPr>
            </w:pPr>
          </w:p>
        </w:tc>
        <w:tc>
          <w:tcPr>
            <w:tcW w:w="1262" w:type="dxa"/>
            <w:vMerge w:val="continue"/>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576"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w:t>
            </w:r>
          </w:p>
        </w:tc>
        <w:tc>
          <w:tcPr>
            <w:tcW w:w="1200" w:type="dxa"/>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总计</w:t>
            </w:r>
          </w:p>
        </w:tc>
        <w:tc>
          <w:tcPr>
            <w:tcW w:w="763" w:type="dxa"/>
          </w:tcPr>
          <w:p>
            <w:pPr>
              <w:spacing w:line="420" w:lineRule="exact"/>
              <w:rPr>
                <w:rFonts w:asciiTheme="minorEastAsia" w:hAnsiTheme="minorEastAsia" w:eastAsiaTheme="minorEastAsia" w:cstheme="minorEastAsia"/>
                <w:sz w:val="21"/>
                <w:szCs w:val="21"/>
              </w:rPr>
            </w:pPr>
          </w:p>
        </w:tc>
        <w:tc>
          <w:tcPr>
            <w:tcW w:w="812" w:type="dxa"/>
          </w:tcPr>
          <w:p>
            <w:pPr>
              <w:spacing w:line="420" w:lineRule="exact"/>
              <w:rPr>
                <w:rFonts w:asciiTheme="minorEastAsia" w:hAnsiTheme="minorEastAsia" w:eastAsiaTheme="minorEastAsia" w:cstheme="minorEastAsia"/>
                <w:sz w:val="21"/>
                <w:szCs w:val="21"/>
              </w:rPr>
            </w:pPr>
          </w:p>
        </w:tc>
        <w:tc>
          <w:tcPr>
            <w:tcW w:w="788" w:type="dxa"/>
          </w:tcPr>
          <w:p>
            <w:pPr>
              <w:spacing w:line="420" w:lineRule="exact"/>
              <w:rPr>
                <w:rFonts w:asciiTheme="minorEastAsia" w:hAnsiTheme="minorEastAsia" w:eastAsiaTheme="minorEastAsia" w:cstheme="minorEastAsia"/>
                <w:sz w:val="21"/>
                <w:szCs w:val="21"/>
              </w:rPr>
            </w:pPr>
          </w:p>
        </w:tc>
        <w:tc>
          <w:tcPr>
            <w:tcW w:w="600" w:type="dxa"/>
          </w:tcPr>
          <w:p>
            <w:pPr>
              <w:spacing w:line="420" w:lineRule="exact"/>
              <w:rPr>
                <w:rFonts w:asciiTheme="minorEastAsia" w:hAnsiTheme="minorEastAsia" w:eastAsiaTheme="minorEastAsia" w:cstheme="minorEastAsia"/>
                <w:sz w:val="21"/>
                <w:szCs w:val="21"/>
              </w:rPr>
            </w:pPr>
          </w:p>
        </w:tc>
        <w:tc>
          <w:tcPr>
            <w:tcW w:w="1962" w:type="dxa"/>
          </w:tcPr>
          <w:p>
            <w:pPr>
              <w:spacing w:line="420" w:lineRule="exact"/>
              <w:rPr>
                <w:rFonts w:asciiTheme="minorEastAsia" w:hAnsiTheme="minorEastAsia" w:eastAsiaTheme="minorEastAsia" w:cstheme="minorEastAsia"/>
                <w:sz w:val="21"/>
                <w:szCs w:val="21"/>
              </w:rPr>
            </w:pPr>
          </w:p>
        </w:tc>
        <w:tc>
          <w:tcPr>
            <w:tcW w:w="2063" w:type="dxa"/>
          </w:tcPr>
          <w:p>
            <w:pPr>
              <w:spacing w:line="420" w:lineRule="exact"/>
              <w:rPr>
                <w:rFonts w:asciiTheme="minorEastAsia" w:hAnsiTheme="minorEastAsia" w:eastAsiaTheme="minorEastAsia" w:cstheme="minorEastAsia"/>
                <w:sz w:val="21"/>
                <w:szCs w:val="21"/>
              </w:rPr>
            </w:pPr>
          </w:p>
        </w:tc>
        <w:tc>
          <w:tcPr>
            <w:tcW w:w="1262" w:type="dxa"/>
            <w:vMerge w:val="continue"/>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576"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w:t>
            </w:r>
          </w:p>
        </w:tc>
        <w:tc>
          <w:tcPr>
            <w:tcW w:w="1200" w:type="dxa"/>
            <w:vAlign w:val="center"/>
          </w:tcPr>
          <w:p>
            <w:pPr>
              <w:spacing w:line="420" w:lineRule="exact"/>
              <w:rPr>
                <w:rFonts w:asciiTheme="minorEastAsia" w:hAnsiTheme="minorEastAsia" w:eastAsiaTheme="minorEastAsia" w:cstheme="minorEastAsia"/>
                <w:sz w:val="21"/>
                <w:szCs w:val="21"/>
              </w:rPr>
            </w:pPr>
            <w:r>
              <w:rPr>
                <w:rFonts w:hint="eastAsia" w:ascii="宋体" w:hAnsi="宋体" w:cs="宋体"/>
                <w:sz w:val="20"/>
                <w:szCs w:val="20"/>
              </w:rPr>
              <w:t>投标总价（大写）</w:t>
            </w:r>
          </w:p>
        </w:tc>
        <w:tc>
          <w:tcPr>
            <w:tcW w:w="4925" w:type="dxa"/>
            <w:gridSpan w:val="5"/>
          </w:tcPr>
          <w:p>
            <w:pPr>
              <w:spacing w:line="420" w:lineRule="exact"/>
              <w:rPr>
                <w:rFonts w:asciiTheme="minorEastAsia" w:hAnsiTheme="minorEastAsia" w:eastAsiaTheme="minorEastAsia" w:cstheme="minorEastAsia"/>
                <w:sz w:val="21"/>
                <w:szCs w:val="21"/>
              </w:rPr>
            </w:pPr>
          </w:p>
        </w:tc>
        <w:tc>
          <w:tcPr>
            <w:tcW w:w="2063" w:type="dxa"/>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注：以上三种报价方式任选其一，须注明</w:t>
            </w:r>
            <w:r>
              <w:rPr>
                <w:rFonts w:hint="eastAsia" w:asciiTheme="minorEastAsia" w:hAnsiTheme="minorEastAsia" w:eastAsiaTheme="minorEastAsia" w:cstheme="minorEastAsia"/>
                <w:b/>
                <w:bCs/>
                <w:sz w:val="21"/>
                <w:szCs w:val="21"/>
              </w:rPr>
              <w:t>报价方式和币种；否则，一律按[DDP（西南大学项目现场）价处理</w:t>
            </w:r>
          </w:p>
        </w:tc>
        <w:tc>
          <w:tcPr>
            <w:tcW w:w="1262" w:type="dxa"/>
          </w:tcPr>
          <w:p>
            <w:pPr>
              <w:spacing w:line="420" w:lineRule="exact"/>
              <w:rPr>
                <w:rFonts w:asciiTheme="minorEastAsia" w:hAnsiTheme="minorEastAsia" w:eastAsiaTheme="minorEastAsia" w:cstheme="minorEastAsia"/>
                <w:sz w:val="21"/>
                <w:szCs w:val="21"/>
              </w:rPr>
            </w:pPr>
          </w:p>
        </w:tc>
      </w:tr>
    </w:tbl>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投标人授权代表签字：                                    日期：   年   月   日</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（投标人公章）</w:t>
      </w: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特别说明：</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1. 招标文件的大写金额和小写金额不一致的，以大写金额为准；总价金额与按单价汇总金额不一致的，以单价为准修正总价；单价金额小数点有明显错位的，以总价为准，并修改单价。分项报价明细表与开标一览表内容不一致的，以开标一览表为准。</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2.如果不提供详细分项报价将视为没有实质性响应招标文件而导致投标无效。</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3.投标人应按招标文件要求逐项报价，标总价应为各分项合计价格之和。</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3.1国产的货物及其有关服务的报价为DDP西南大学项目现场价（含装卸搬运费）。含货物送达西南大学并安装调试至指定位置所涉及的所有费用、税金以及售后服务费。 </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3.2从中华人民共和国关境外提供货物及服务的报价为CIP 西南大学或DAP西南大学价，包括货物从进口口岸运至最终目的地的内陆运输费、保险费等，不包括海关杂费、外贸代理费等进口清关费用；亦可报DDP西南大学（含装卸搬运费）价，包括货物送达西南大学并安装调试至指定位置所涉及的所有费用以及售后服务费。以上报价是否含进口环节税金按3.4条说明执行。</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3.3在中华人民共和国境内的海关特殊监管区域内生产或加工销往境内其他地区</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的产品，不视为政府采购项下的进口产品，但报价须按第3.2条要求执行。从境外进入海关特殊监管区域，再经办理报关手续后从海关特殊监管区进入境内其他地区的产品，为境外供货，报价按第3.2条要求执行。</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3.4特别说明：根据《关于“十四五”期间支持科技创新进口税收政策的通知》（财关税〔2021〕23号）、《关于“十四五”期间支持科技创新进口税收政策管理办法的通知》（财关税[2021]24号）、《关于“十四五”期间进口科学研究、科技开发和教学用品免税清单（第一批）的通知》（财关税[2021]44号）的规定，符合减免税政策的科研设备和教学用品，投标报价中不包含向中华人民共和国政府交纳的进口关税和进口环节增值税、消费税。不符合上述政策产生的税费由成交人承担。</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3.5因投标人自身原因误填、错填是否免税项而选择了是否含税的报价而产生的风险由投标人承担。非免税产品填写“免税”的，所产生的税费也应由成交人承担。可以免税的产品填写“不免税”的，将先从货款里扣除进口环节税金后再将余额支付给供方。</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4.设备名称、数量应符合招标文件第二篇的要求。</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5.每一分项设备必须另附其详细配置清单及货号，包括附件和配件，并注明各部分的确定生产地。进口货物须明确该项乙方外贸合同的签订方。</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6.设备名称和规格型号必须使用产品生产厂家的规范全称，并与产品中文彩页及说明书完全一致（产品外文彩页及说明书须译成对应的中文版）。因投标人未按上述要求执行而引致的免税（如能享受免税政策）和清关工作延误及责任全部由投标人承担。</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7.执行标准是非通用标准的，应另附页详细特别说明。</w:t>
      </w: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供应商授权代表签字：                           日期：    年  月  日</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（供应商公章）</w:t>
      </w:r>
    </w:p>
    <w:p>
      <w:pPr>
        <w:rPr>
          <w:rFonts w:asciiTheme="minorEastAsia" w:hAnsiTheme="minorEastAsia" w:eastAsiaTheme="minorEastAsia" w:cstheme="minorEastAsia"/>
        </w:rPr>
        <w:sectPr>
          <w:pgSz w:w="11906" w:h="16838"/>
          <w:pgMar w:top="1418" w:right="1247" w:bottom="1247" w:left="1418" w:header="851" w:footer="851" w:gutter="0"/>
          <w:cols w:space="720" w:num="1"/>
          <w:docGrid w:linePitch="326" w:charSpace="0"/>
        </w:sectPr>
      </w:pP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五、配置清单格式</w:t>
      </w:r>
    </w:p>
    <w:p>
      <w:pPr>
        <w:spacing w:line="360" w:lineRule="auto"/>
        <w:rPr>
          <w:rFonts w:asciiTheme="minorEastAsia" w:hAnsiTheme="minorEastAsia" w:eastAsiaTheme="minorEastAsia" w:cstheme="minorEastAsia"/>
        </w:rPr>
      </w:pPr>
    </w:p>
    <w:p>
      <w:pPr>
        <w:spacing w:line="360" w:lineRule="auto"/>
        <w:jc w:val="center"/>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配置清单</w:t>
      </w:r>
    </w:p>
    <w:p>
      <w:pPr>
        <w:spacing w:line="360" w:lineRule="auto"/>
        <w:jc w:val="center"/>
        <w:rPr>
          <w:rFonts w:asciiTheme="minorEastAsia" w:hAnsiTheme="minorEastAsia" w:eastAsiaTheme="minorEastAsia" w:cstheme="minorEastAsia"/>
          <w:sz w:val="44"/>
          <w:szCs w:val="44"/>
        </w:rPr>
      </w:pPr>
    </w:p>
    <w:tbl>
      <w:tblPr>
        <w:tblStyle w:val="25"/>
        <w:tblW w:w="97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1"/>
        <w:gridCol w:w="1391"/>
        <w:gridCol w:w="1391"/>
        <w:gridCol w:w="1391"/>
        <w:gridCol w:w="1392"/>
        <w:gridCol w:w="1392"/>
        <w:gridCol w:w="13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391" w:type="dxa"/>
            <w:vAlign w:val="center"/>
          </w:tcPr>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序号</w:t>
            </w:r>
          </w:p>
        </w:tc>
        <w:tc>
          <w:tcPr>
            <w:tcW w:w="1391" w:type="dxa"/>
            <w:vAlign w:val="center"/>
          </w:tcPr>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货号</w:t>
            </w:r>
          </w:p>
        </w:tc>
        <w:tc>
          <w:tcPr>
            <w:tcW w:w="1391" w:type="dxa"/>
            <w:vAlign w:val="center"/>
          </w:tcPr>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名称</w:t>
            </w:r>
          </w:p>
        </w:tc>
        <w:tc>
          <w:tcPr>
            <w:tcW w:w="1391" w:type="dxa"/>
            <w:vAlign w:val="center"/>
          </w:tcPr>
          <w:p>
            <w:pPr>
              <w:spacing w:line="360" w:lineRule="auto"/>
              <w:jc w:val="center"/>
              <w:rPr>
                <w:rFonts w:asciiTheme="minorEastAsia" w:hAnsiTheme="minorEastAsia" w:eastAsiaTheme="minorEastAsia" w:cstheme="minorEastAsia"/>
              </w:rPr>
            </w:pPr>
            <w:r>
              <w:rPr>
                <w:rFonts w:asciiTheme="minorEastAsia" w:hAnsiTheme="minorEastAsia" w:eastAsiaTheme="minorEastAsia" w:cstheme="minorEastAsia"/>
              </w:rPr>
              <w:t>品牌</w:t>
            </w:r>
            <w:r>
              <w:rPr>
                <w:rFonts w:hint="eastAsia" w:asciiTheme="minorEastAsia" w:hAnsiTheme="minorEastAsia" w:eastAsiaTheme="minorEastAsia" w:cstheme="minorEastAsia"/>
              </w:rPr>
              <w:t>、规格型号</w:t>
            </w:r>
          </w:p>
        </w:tc>
        <w:tc>
          <w:tcPr>
            <w:tcW w:w="1392" w:type="dxa"/>
            <w:vAlign w:val="center"/>
          </w:tcPr>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数量</w:t>
            </w:r>
          </w:p>
        </w:tc>
        <w:tc>
          <w:tcPr>
            <w:tcW w:w="1392" w:type="dxa"/>
            <w:vAlign w:val="center"/>
          </w:tcPr>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单位</w:t>
            </w:r>
          </w:p>
        </w:tc>
        <w:tc>
          <w:tcPr>
            <w:tcW w:w="1392" w:type="dxa"/>
            <w:vAlign w:val="center"/>
          </w:tcPr>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1" w:type="dxa"/>
            <w:vAlign w:val="center"/>
          </w:tcPr>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1</w:t>
            </w:r>
          </w:p>
        </w:tc>
        <w:tc>
          <w:tcPr>
            <w:tcW w:w="1391" w:type="dxa"/>
          </w:tcPr>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1391" w:type="dxa"/>
          </w:tcPr>
          <w:p>
            <w:pPr>
              <w:spacing w:line="360" w:lineRule="auto"/>
              <w:rPr>
                <w:rFonts w:asciiTheme="minorEastAsia" w:hAnsiTheme="minorEastAsia" w:eastAsiaTheme="minorEastAsia" w:cstheme="minorEastAsia"/>
              </w:rPr>
            </w:pPr>
          </w:p>
        </w:tc>
        <w:tc>
          <w:tcPr>
            <w:tcW w:w="1391" w:type="dxa"/>
          </w:tcPr>
          <w:p>
            <w:pPr>
              <w:spacing w:line="360" w:lineRule="auto"/>
              <w:rPr>
                <w:rFonts w:asciiTheme="minorEastAsia" w:hAnsiTheme="minorEastAsia" w:eastAsiaTheme="minorEastAsia" w:cstheme="minorEastAsia"/>
              </w:rPr>
            </w:pPr>
          </w:p>
        </w:tc>
        <w:tc>
          <w:tcPr>
            <w:tcW w:w="1392" w:type="dxa"/>
          </w:tcPr>
          <w:p>
            <w:pPr>
              <w:spacing w:line="360" w:lineRule="auto"/>
              <w:rPr>
                <w:rFonts w:asciiTheme="minorEastAsia" w:hAnsiTheme="minorEastAsia" w:eastAsiaTheme="minorEastAsia" w:cstheme="minorEastAsia"/>
              </w:rPr>
            </w:pPr>
          </w:p>
        </w:tc>
        <w:tc>
          <w:tcPr>
            <w:tcW w:w="1392" w:type="dxa"/>
          </w:tcPr>
          <w:p>
            <w:pPr>
              <w:spacing w:line="360" w:lineRule="auto"/>
              <w:rPr>
                <w:rFonts w:asciiTheme="minorEastAsia" w:hAnsiTheme="minorEastAsia" w:eastAsiaTheme="minorEastAsia" w:cstheme="minorEastAsia"/>
              </w:rPr>
            </w:pPr>
          </w:p>
        </w:tc>
        <w:tc>
          <w:tcPr>
            <w:tcW w:w="1392" w:type="dxa"/>
          </w:tcPr>
          <w:p>
            <w:pPr>
              <w:spacing w:line="360" w:lineRule="auto"/>
              <w:rPr>
                <w:rFonts w:asciiTheme="minorEastAsia" w:hAnsiTheme="minorEastAsia" w:eastAsiaTheme="minorEastAsia" w:cstheme="minor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1" w:type="dxa"/>
            <w:vAlign w:val="center"/>
          </w:tcPr>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2</w:t>
            </w:r>
          </w:p>
        </w:tc>
        <w:tc>
          <w:tcPr>
            <w:tcW w:w="1391" w:type="dxa"/>
          </w:tcPr>
          <w:p>
            <w:pPr>
              <w:spacing w:line="360" w:lineRule="auto"/>
              <w:rPr>
                <w:rFonts w:asciiTheme="minorEastAsia" w:hAnsiTheme="minorEastAsia" w:eastAsiaTheme="minorEastAsia" w:cstheme="minorEastAsia"/>
              </w:rPr>
            </w:pPr>
          </w:p>
        </w:tc>
        <w:tc>
          <w:tcPr>
            <w:tcW w:w="1391" w:type="dxa"/>
          </w:tcPr>
          <w:p>
            <w:pPr>
              <w:spacing w:line="360" w:lineRule="auto"/>
              <w:rPr>
                <w:rFonts w:asciiTheme="minorEastAsia" w:hAnsiTheme="minorEastAsia" w:eastAsiaTheme="minorEastAsia" w:cstheme="minorEastAsia"/>
              </w:rPr>
            </w:pPr>
          </w:p>
        </w:tc>
        <w:tc>
          <w:tcPr>
            <w:tcW w:w="1391" w:type="dxa"/>
          </w:tcPr>
          <w:p>
            <w:pPr>
              <w:spacing w:line="360" w:lineRule="auto"/>
              <w:rPr>
                <w:rFonts w:asciiTheme="minorEastAsia" w:hAnsiTheme="minorEastAsia" w:eastAsiaTheme="minorEastAsia" w:cstheme="minorEastAsia"/>
              </w:rPr>
            </w:pPr>
          </w:p>
        </w:tc>
        <w:tc>
          <w:tcPr>
            <w:tcW w:w="1392" w:type="dxa"/>
          </w:tcPr>
          <w:p>
            <w:pPr>
              <w:spacing w:line="360" w:lineRule="auto"/>
              <w:rPr>
                <w:rFonts w:asciiTheme="minorEastAsia" w:hAnsiTheme="minorEastAsia" w:eastAsiaTheme="minorEastAsia" w:cstheme="minorEastAsia"/>
              </w:rPr>
            </w:pPr>
          </w:p>
        </w:tc>
        <w:tc>
          <w:tcPr>
            <w:tcW w:w="1392" w:type="dxa"/>
          </w:tcPr>
          <w:p>
            <w:pPr>
              <w:spacing w:line="360" w:lineRule="auto"/>
              <w:rPr>
                <w:rFonts w:asciiTheme="minorEastAsia" w:hAnsiTheme="minorEastAsia" w:eastAsiaTheme="minorEastAsia" w:cstheme="minorEastAsia"/>
              </w:rPr>
            </w:pPr>
          </w:p>
        </w:tc>
        <w:tc>
          <w:tcPr>
            <w:tcW w:w="1392" w:type="dxa"/>
          </w:tcPr>
          <w:p>
            <w:pPr>
              <w:spacing w:line="360" w:lineRule="auto"/>
              <w:rPr>
                <w:rFonts w:asciiTheme="minorEastAsia" w:hAnsiTheme="minorEastAsia" w:eastAsiaTheme="minorEastAsia" w:cstheme="minor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1" w:type="dxa"/>
          </w:tcPr>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w:t>
            </w:r>
          </w:p>
        </w:tc>
        <w:tc>
          <w:tcPr>
            <w:tcW w:w="1391" w:type="dxa"/>
          </w:tcPr>
          <w:p>
            <w:pPr>
              <w:spacing w:line="360" w:lineRule="auto"/>
              <w:rPr>
                <w:rFonts w:asciiTheme="minorEastAsia" w:hAnsiTheme="minorEastAsia" w:eastAsiaTheme="minorEastAsia" w:cstheme="minorEastAsia"/>
              </w:rPr>
            </w:pPr>
          </w:p>
        </w:tc>
        <w:tc>
          <w:tcPr>
            <w:tcW w:w="1391" w:type="dxa"/>
          </w:tcPr>
          <w:p>
            <w:pPr>
              <w:spacing w:line="360" w:lineRule="auto"/>
              <w:rPr>
                <w:rFonts w:asciiTheme="minorEastAsia" w:hAnsiTheme="minorEastAsia" w:eastAsiaTheme="minorEastAsia" w:cstheme="minorEastAsia"/>
              </w:rPr>
            </w:pPr>
          </w:p>
        </w:tc>
        <w:tc>
          <w:tcPr>
            <w:tcW w:w="1391" w:type="dxa"/>
          </w:tcPr>
          <w:p>
            <w:pPr>
              <w:spacing w:line="360" w:lineRule="auto"/>
              <w:rPr>
                <w:rFonts w:asciiTheme="minorEastAsia" w:hAnsiTheme="minorEastAsia" w:eastAsiaTheme="minorEastAsia" w:cstheme="minorEastAsia"/>
              </w:rPr>
            </w:pPr>
          </w:p>
        </w:tc>
        <w:tc>
          <w:tcPr>
            <w:tcW w:w="1392" w:type="dxa"/>
          </w:tcPr>
          <w:p>
            <w:pPr>
              <w:spacing w:line="360" w:lineRule="auto"/>
              <w:rPr>
                <w:rFonts w:asciiTheme="minorEastAsia" w:hAnsiTheme="minorEastAsia" w:eastAsiaTheme="minorEastAsia" w:cstheme="minorEastAsia"/>
              </w:rPr>
            </w:pPr>
          </w:p>
        </w:tc>
        <w:tc>
          <w:tcPr>
            <w:tcW w:w="1392" w:type="dxa"/>
          </w:tcPr>
          <w:p>
            <w:pPr>
              <w:spacing w:line="360" w:lineRule="auto"/>
              <w:rPr>
                <w:rFonts w:asciiTheme="minorEastAsia" w:hAnsiTheme="minorEastAsia" w:eastAsiaTheme="minorEastAsia" w:cstheme="minorEastAsia"/>
              </w:rPr>
            </w:pPr>
          </w:p>
        </w:tc>
        <w:tc>
          <w:tcPr>
            <w:tcW w:w="1392" w:type="dxa"/>
          </w:tcPr>
          <w:p>
            <w:pPr>
              <w:spacing w:line="360" w:lineRule="auto"/>
              <w:rPr>
                <w:rFonts w:asciiTheme="minorEastAsia" w:hAnsiTheme="minorEastAsia" w:eastAsiaTheme="minorEastAsia" w:cstheme="minorEastAsia"/>
              </w:rPr>
            </w:pPr>
          </w:p>
        </w:tc>
      </w:tr>
    </w:tbl>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投标人授权代表签字：                                         日期：</w:t>
      </w:r>
    </w:p>
    <w:p>
      <w:pPr>
        <w:spacing w:line="360" w:lineRule="auto"/>
        <w:rPr>
          <w:rFonts w:asciiTheme="minorEastAsia" w:hAnsiTheme="minorEastAsia" w:eastAsiaTheme="minorEastAsia" w:cstheme="minorEastAsia"/>
          <w:sz w:val="22"/>
          <w:szCs w:val="22"/>
        </w:rPr>
      </w:pPr>
    </w:p>
    <w:p>
      <w:pPr>
        <w:spacing w:line="360" w:lineRule="auto"/>
        <w:rPr>
          <w:rFonts w:asciiTheme="minorEastAsia" w:hAnsiTheme="minorEastAsia" w:eastAsiaTheme="minorEastAsia" w:cstheme="minorEastAsia"/>
          <w:sz w:val="22"/>
          <w:szCs w:val="22"/>
        </w:rPr>
      </w:pP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（投标人公章）</w:t>
      </w:r>
    </w:p>
    <w:p>
      <w:pPr>
        <w:spacing w:line="360" w:lineRule="auto"/>
        <w:rPr>
          <w:rFonts w:asciiTheme="minorEastAsia" w:hAnsiTheme="minorEastAsia" w:eastAsiaTheme="minorEastAsia" w:cstheme="minorEastAsia"/>
          <w:sz w:val="22"/>
          <w:szCs w:val="22"/>
        </w:rPr>
      </w:pPr>
    </w:p>
    <w:p>
      <w:pPr>
        <w:spacing w:line="360" w:lineRule="auto"/>
        <w:rPr>
          <w:rFonts w:asciiTheme="minorEastAsia" w:hAnsiTheme="minorEastAsia" w:eastAsiaTheme="minorEastAsia" w:cstheme="minorEastAsia"/>
          <w:sz w:val="22"/>
          <w:szCs w:val="22"/>
        </w:rPr>
      </w:pP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授权代表移动电话：</w:t>
      </w:r>
    </w:p>
    <w:p>
      <w:pPr>
        <w:spacing w:line="360" w:lineRule="auto"/>
        <w:rPr>
          <w:rFonts w:asciiTheme="minorEastAsia" w:hAnsiTheme="minorEastAsia" w:eastAsiaTheme="minorEastAsia" w:cstheme="minorEastAsia"/>
          <w:sz w:val="22"/>
          <w:szCs w:val="22"/>
        </w:rPr>
      </w:pPr>
    </w:p>
    <w:p>
      <w:pPr>
        <w:spacing w:line="360" w:lineRule="auto"/>
        <w:rPr>
          <w:rFonts w:asciiTheme="minorEastAsia" w:hAnsiTheme="minorEastAsia" w:eastAsiaTheme="minorEastAsia" w:cstheme="minorEastAsia"/>
          <w:b/>
        </w:rPr>
      </w:pPr>
      <w:r>
        <w:rPr>
          <w:rFonts w:hint="eastAsia" w:asciiTheme="minorEastAsia" w:hAnsiTheme="minorEastAsia" w:eastAsiaTheme="minorEastAsia" w:cstheme="minorEastAsia"/>
          <w:b/>
        </w:rPr>
        <w:t>说明 ：</w:t>
      </w:r>
    </w:p>
    <w:p>
      <w:pPr>
        <w:spacing w:line="360" w:lineRule="auto"/>
        <w:rPr>
          <w:rFonts w:asciiTheme="minorEastAsia" w:hAnsiTheme="minorEastAsia" w:eastAsiaTheme="minorEastAsia" w:cstheme="minorEastAsia"/>
          <w:bCs/>
        </w:rPr>
      </w:pPr>
      <w:r>
        <w:rPr>
          <w:rFonts w:hint="eastAsia" w:asciiTheme="minorEastAsia" w:hAnsiTheme="minorEastAsia" w:eastAsiaTheme="minorEastAsia" w:cstheme="minorEastAsia"/>
          <w:bCs/>
        </w:rPr>
        <w:t>1.配置清单可自拟格式，但上述内容不可减少。原则上应以中文书写，外文的配置清单需附中文翻译，进口设备的国内交货部分须在备注栏说明。</w:t>
      </w:r>
    </w:p>
    <w:p>
      <w:pPr>
        <w:spacing w:line="360" w:lineRule="auto"/>
        <w:rPr>
          <w:rFonts w:asciiTheme="minorEastAsia" w:hAnsiTheme="minorEastAsia" w:eastAsiaTheme="minorEastAsia" w:cstheme="minorEastAsia"/>
          <w:b/>
          <w:bCs/>
        </w:rPr>
      </w:pPr>
      <w:r>
        <w:rPr>
          <w:rFonts w:hint="eastAsia" w:asciiTheme="minorEastAsia" w:hAnsiTheme="minorEastAsia" w:eastAsiaTheme="minorEastAsia" w:cstheme="minorEastAsia"/>
          <w:b/>
          <w:bCs/>
        </w:rPr>
        <w:t>2.“第二篇 采购需求 四、配置”要求的内容为实质性要求，不满足要求的，为无效标。</w:t>
      </w: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4"/>
        <w:spacing w:line="360" w:lineRule="auto"/>
        <w:ind w:left="0"/>
        <w:rPr>
          <w:rFonts w:asciiTheme="minorEastAsia" w:hAnsiTheme="minorEastAsia" w:eastAsiaTheme="minorEastAsia" w:cstheme="minorEastAsia"/>
          <w:b w:val="0"/>
        </w:rPr>
      </w:pP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六、法定代表人（单位负责人）身份证明及法定代表人（单位负责人）授权书</w:t>
      </w:r>
    </w:p>
    <w:p>
      <w:pPr>
        <w:spacing w:line="360" w:lineRule="auto"/>
        <w:rPr>
          <w:rFonts w:asciiTheme="minorEastAsia" w:hAnsiTheme="minorEastAsia" w:eastAsiaTheme="minorEastAsia" w:cstheme="minorEastAsia"/>
        </w:rPr>
      </w:pPr>
    </w:p>
    <w:p>
      <w:pPr>
        <w:spacing w:line="360" w:lineRule="auto"/>
        <w:jc w:val="center"/>
        <w:rPr>
          <w:rFonts w:asciiTheme="minorEastAsia" w:hAnsiTheme="minorEastAsia" w:eastAsiaTheme="minorEastAsia" w:cstheme="minorEastAsia"/>
          <w:sz w:val="40"/>
          <w:szCs w:val="40"/>
        </w:rPr>
      </w:pPr>
      <w:r>
        <w:rPr>
          <w:rFonts w:hint="eastAsia" w:asciiTheme="minorEastAsia" w:hAnsiTheme="minorEastAsia" w:eastAsiaTheme="minorEastAsia" w:cstheme="minorEastAsia"/>
          <w:sz w:val="40"/>
          <w:szCs w:val="40"/>
        </w:rPr>
        <w:t>法定代表人（单位负责人）身份证明</w:t>
      </w:r>
    </w:p>
    <w:p>
      <w:pPr>
        <w:spacing w:line="360" w:lineRule="auto"/>
        <w:jc w:val="center"/>
        <w:rPr>
          <w:rFonts w:asciiTheme="minorEastAsia" w:hAnsiTheme="minorEastAsia" w:eastAsiaTheme="minorEastAsia" w:cstheme="minorEastAsia"/>
          <w:sz w:val="40"/>
          <w:szCs w:val="40"/>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投标人名称：</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单位性质：</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地址：</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成立时间：          年    月   日</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经营期限：</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姓名：           性别：           年龄：           职务： </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系                        （投标人名称）的法定代表人（单位负责人）。</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特此证明。</w:t>
      </w:r>
    </w:p>
    <w:p>
      <w:pPr>
        <w:spacing w:line="360" w:lineRule="auto"/>
        <w:rPr>
          <w:rFonts w:asciiTheme="minorEastAsia" w:hAnsiTheme="minorEastAsia" w:eastAsiaTheme="minorEastAsia" w:cstheme="minorEastAsia"/>
        </w:rPr>
      </w:pPr>
    </w:p>
    <w:p>
      <w:pPr>
        <w:spacing w:line="360" w:lineRule="auto"/>
        <w:jc w:val="right"/>
        <w:rPr>
          <w:rFonts w:asciiTheme="minorEastAsia" w:hAnsiTheme="minorEastAsia" w:eastAsiaTheme="minorEastAsia" w:cstheme="minorEastAsia"/>
        </w:rPr>
      </w:pPr>
      <w:r>
        <w:rPr>
          <w:rFonts w:hint="eastAsia" w:asciiTheme="minorEastAsia" w:hAnsiTheme="minorEastAsia" w:eastAsiaTheme="minorEastAsia" w:cstheme="minorEastAsia"/>
        </w:rPr>
        <w:t>投标人：                 （盖单位章）</w:t>
      </w:r>
    </w:p>
    <w:p>
      <w:pPr>
        <w:spacing w:line="360" w:lineRule="auto"/>
        <w:jc w:val="right"/>
        <w:rPr>
          <w:rFonts w:asciiTheme="minorEastAsia" w:hAnsiTheme="minorEastAsia" w:eastAsiaTheme="minorEastAsia" w:cstheme="minorEastAsia"/>
        </w:rPr>
      </w:pPr>
    </w:p>
    <w:p>
      <w:pPr>
        <w:spacing w:line="360" w:lineRule="auto"/>
        <w:ind w:right="560" w:firstLine="5160" w:firstLineChars="2150"/>
        <w:rPr>
          <w:rFonts w:asciiTheme="minorEastAsia" w:hAnsiTheme="minorEastAsia" w:eastAsiaTheme="minorEastAsia" w:cstheme="minorEastAsia"/>
        </w:rPr>
      </w:pPr>
      <w:r>
        <w:rPr>
          <w:rFonts w:hint="eastAsia" w:asciiTheme="minorEastAsia" w:hAnsiTheme="minorEastAsia" w:eastAsiaTheme="minorEastAsia" w:cstheme="minorEastAsia"/>
        </w:rPr>
        <w:t>年    月   日</w:t>
      </w:r>
    </w:p>
    <w:p>
      <w:pPr>
        <w:spacing w:line="360" w:lineRule="auto"/>
        <w:ind w:right="560"/>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注：此处所述“法定代表人（单位负责人）”须与投标人“营业执照”上的内容一致。</w:t>
      </w: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b/>
          <w:bCs/>
        </w:rPr>
      </w:pPr>
      <w:r>
        <w:rPr>
          <w:rFonts w:hint="eastAsia" w:asciiTheme="minorEastAsia" w:hAnsiTheme="minorEastAsia" w:eastAsiaTheme="minorEastAsia" w:cstheme="minorEastAsia"/>
          <w:b/>
          <w:bCs/>
        </w:rPr>
        <w:t>[附：法定代表人（单位负责人）身份证正反面复印件]</w:t>
      </w:r>
    </w:p>
    <w:p/>
    <w:p/>
    <w:p/>
    <w:p/>
    <w:p>
      <w:pPr>
        <w:sectPr>
          <w:pgSz w:w="11906" w:h="16838"/>
          <w:pgMar w:top="1418" w:right="1247" w:bottom="1247" w:left="1418" w:header="851" w:footer="851" w:gutter="0"/>
          <w:cols w:space="720" w:num="1"/>
          <w:docGrid w:linePitch="326" w:charSpace="0"/>
        </w:sectPr>
      </w:pPr>
    </w:p>
    <w:p>
      <w:pPr>
        <w:pStyle w:val="16"/>
        <w:rPr>
          <w:color w:val="auto"/>
        </w:rPr>
      </w:pPr>
    </w:p>
    <w:p>
      <w:pPr>
        <w:spacing w:line="360" w:lineRule="auto"/>
        <w:jc w:val="center"/>
        <w:rPr>
          <w:rFonts w:asciiTheme="minorEastAsia" w:hAnsiTheme="minorEastAsia" w:eastAsiaTheme="minorEastAsia" w:cstheme="minorEastAsia"/>
          <w:sz w:val="40"/>
          <w:szCs w:val="40"/>
        </w:rPr>
      </w:pPr>
      <w:r>
        <w:rPr>
          <w:rFonts w:hint="eastAsia" w:asciiTheme="minorEastAsia" w:hAnsiTheme="minorEastAsia" w:eastAsiaTheme="minorEastAsia" w:cstheme="minorEastAsia"/>
          <w:sz w:val="40"/>
          <w:szCs w:val="40"/>
        </w:rPr>
        <w:t>法定代表人（单位负责人）授权书</w:t>
      </w:r>
    </w:p>
    <w:p>
      <w:pPr>
        <w:spacing w:line="360" w:lineRule="auto"/>
        <w:jc w:val="center"/>
        <w:rPr>
          <w:rFonts w:asciiTheme="minorEastAsia" w:hAnsiTheme="minorEastAsia" w:eastAsiaTheme="minorEastAsia" w:cstheme="minorEastAsia"/>
          <w:sz w:val="40"/>
          <w:szCs w:val="40"/>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致：西南大学</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u w:val="single"/>
        </w:rPr>
        <w:t>（投标人全称）</w:t>
      </w:r>
      <w:r>
        <w:rPr>
          <w:rFonts w:hint="eastAsia" w:asciiTheme="minorEastAsia" w:hAnsiTheme="minorEastAsia" w:eastAsiaTheme="minorEastAsia" w:cstheme="minorEastAsia"/>
        </w:rPr>
        <w:t xml:space="preserve">的法定代表人（单位负责人） </w:t>
      </w:r>
      <w:r>
        <w:rPr>
          <w:rFonts w:hint="eastAsia" w:asciiTheme="minorEastAsia" w:hAnsiTheme="minorEastAsia" w:eastAsiaTheme="minorEastAsia" w:cstheme="minorEastAsia"/>
          <w:u w:val="single"/>
        </w:rPr>
        <w:t>（姓名、职务）</w:t>
      </w:r>
      <w:r>
        <w:rPr>
          <w:rFonts w:hint="eastAsia" w:asciiTheme="minorEastAsia" w:hAnsiTheme="minorEastAsia" w:eastAsiaTheme="minorEastAsia" w:cstheme="minorEastAsia"/>
        </w:rPr>
        <w:t>现授权本单位职工</w:t>
      </w:r>
      <w:r>
        <w:rPr>
          <w:rFonts w:hint="eastAsia" w:asciiTheme="minorEastAsia" w:hAnsiTheme="minorEastAsia" w:eastAsiaTheme="minorEastAsia" w:cstheme="minorEastAsia"/>
          <w:u w:val="single"/>
        </w:rPr>
        <w:t>（投标代表姓名）</w:t>
      </w:r>
      <w:r>
        <w:rPr>
          <w:rFonts w:hint="eastAsia" w:asciiTheme="minorEastAsia" w:hAnsiTheme="minorEastAsia" w:eastAsiaTheme="minorEastAsia" w:cstheme="minorEastAsia"/>
        </w:rPr>
        <w:t>为投标代表，代表本公司参加贵单位组织的</w:t>
      </w:r>
      <w:r>
        <w:rPr>
          <w:rFonts w:hint="eastAsia" w:asciiTheme="minorEastAsia" w:hAnsiTheme="minorEastAsia" w:eastAsiaTheme="minorEastAsia" w:cstheme="minorEastAsia"/>
          <w:u w:val="single"/>
        </w:rPr>
        <w:t xml:space="preserve">         项</w:t>
      </w:r>
      <w:r>
        <w:rPr>
          <w:rFonts w:hint="eastAsia" w:asciiTheme="minorEastAsia" w:hAnsiTheme="minorEastAsia" w:eastAsiaTheme="minorEastAsia" w:cstheme="minorEastAsia"/>
        </w:rPr>
        <w:t>目（招标编号：</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招标活动，全权代表本公司处理投标过程的一切事宜，包括但不限于签署、澄清、说明、补正、递交、撤回、修改投标文件及谈判、签约等。该投标代表在投标过程中所签署的一切文件和处理与之有关的一切事务，本公司均予以认可并对此承担责任。</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特此授权！本授权书自出具之日起生效。</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（盖单位章）</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法定代表人（单位负责人）姓名：</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（签字）</w:t>
      </w:r>
    </w:p>
    <w:p>
      <w:pPr>
        <w:spacing w:line="360" w:lineRule="auto"/>
        <w:rPr>
          <w:rFonts w:asciiTheme="minorEastAsia" w:hAnsiTheme="minorEastAsia" w:eastAsiaTheme="minorEastAsia" w:cstheme="minorEastAsia"/>
          <w:u w:val="single"/>
        </w:rPr>
      </w:pPr>
      <w:r>
        <w:rPr>
          <w:rFonts w:hint="eastAsia" w:asciiTheme="minorEastAsia" w:hAnsiTheme="minorEastAsia" w:eastAsiaTheme="minorEastAsia" w:cstheme="minorEastAsia"/>
        </w:rPr>
        <w:t>法定代表人（单位负责人）身份证号码：</w:t>
      </w:r>
      <w:r>
        <w:rPr>
          <w:rFonts w:hint="eastAsia" w:asciiTheme="minorEastAsia" w:hAnsiTheme="minorEastAsia" w:eastAsiaTheme="minorEastAsia" w:cstheme="minorEastAsia"/>
          <w:u w:val="single"/>
        </w:rPr>
        <w:t xml:space="preserve">                          </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被授权人姓名：</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（签字）</w:t>
      </w:r>
    </w:p>
    <w:p>
      <w:pPr>
        <w:spacing w:line="360" w:lineRule="auto"/>
        <w:rPr>
          <w:rFonts w:asciiTheme="minorEastAsia" w:hAnsiTheme="minorEastAsia" w:eastAsiaTheme="minorEastAsia" w:cstheme="minorEastAsia"/>
          <w:u w:val="single"/>
        </w:rPr>
      </w:pPr>
      <w:r>
        <w:rPr>
          <w:rFonts w:hint="eastAsia" w:asciiTheme="minorEastAsia" w:hAnsiTheme="minorEastAsia" w:eastAsiaTheme="minorEastAsia" w:cstheme="minorEastAsia"/>
        </w:rPr>
        <w:t>被授权人身份证号码：</w:t>
      </w:r>
      <w:r>
        <w:rPr>
          <w:rFonts w:hint="eastAsia" w:asciiTheme="minorEastAsia" w:hAnsiTheme="minorEastAsia" w:eastAsiaTheme="minorEastAsia" w:cstheme="minorEastAsia"/>
          <w:u w:val="single"/>
        </w:rPr>
        <w:t xml:space="preserve">                          </w:t>
      </w:r>
    </w:p>
    <w:p>
      <w:pPr>
        <w:spacing w:line="360" w:lineRule="auto"/>
        <w:ind w:firstLine="600" w:firstLineChars="250"/>
        <w:rPr>
          <w:rFonts w:asciiTheme="minorEastAsia" w:hAnsiTheme="minorEastAsia" w:eastAsiaTheme="minorEastAsia" w:cstheme="minorEastAsia"/>
        </w:rPr>
      </w:pP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年</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月</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日</w:t>
      </w:r>
    </w:p>
    <w:p>
      <w:pPr>
        <w:spacing w:line="360" w:lineRule="auto"/>
        <w:ind w:firstLine="1200" w:firstLineChars="500"/>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附：法定代表人（单位负责人）和被授权人身份证复印件</w:t>
      </w:r>
    </w:p>
    <w:tbl>
      <w:tblPr>
        <w:tblStyle w:val="25"/>
        <w:tblW w:w="9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0"/>
        <w:gridCol w:w="4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6" w:hRule="atLeast"/>
        </w:trPr>
        <w:tc>
          <w:tcPr>
            <w:tcW w:w="4810" w:type="dxa"/>
            <w:vAlign w:val="center"/>
          </w:tcPr>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法定代表人（单位负责人）</w:t>
            </w:r>
          </w:p>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身份证粘贴处</w:t>
            </w:r>
          </w:p>
        </w:tc>
        <w:tc>
          <w:tcPr>
            <w:tcW w:w="4810" w:type="dxa"/>
            <w:vAlign w:val="center"/>
          </w:tcPr>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被授权人身份证件粘贴处</w:t>
            </w:r>
          </w:p>
        </w:tc>
      </w:tr>
    </w:tbl>
    <w:p>
      <w:pPr>
        <w:rPr>
          <w:rFonts w:asciiTheme="minorEastAsia" w:hAnsiTheme="minorEastAsia" w:eastAsiaTheme="minorEastAsia" w:cstheme="minorEastAsia"/>
        </w:rPr>
      </w:pPr>
    </w:p>
    <w:bookmarkEnd w:id="155"/>
    <w:p>
      <w:pPr>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七、技术规格/ 要求偏离表格式</w:t>
      </w:r>
    </w:p>
    <w:p>
      <w:pPr>
        <w:spacing w:line="360" w:lineRule="auto"/>
        <w:jc w:val="center"/>
        <w:rPr>
          <w:rFonts w:asciiTheme="minorEastAsia" w:hAnsiTheme="minorEastAsia" w:eastAsiaTheme="minorEastAsia" w:cstheme="minorEastAsia"/>
          <w:sz w:val="44"/>
          <w:szCs w:val="44"/>
        </w:rPr>
      </w:pPr>
    </w:p>
    <w:p>
      <w:pPr>
        <w:spacing w:line="360" w:lineRule="auto"/>
        <w:jc w:val="center"/>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技术规格/要求偏离表</w:t>
      </w:r>
    </w:p>
    <w:tbl>
      <w:tblPr>
        <w:tblStyle w:val="25"/>
        <w:tblW w:w="96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843"/>
        <w:gridCol w:w="1417"/>
        <w:gridCol w:w="1418"/>
        <w:gridCol w:w="1275"/>
        <w:gridCol w:w="1560"/>
        <w:gridCol w:w="11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Theme="minorEastAsia" w:hAnsiTheme="minorEastAsia" w:eastAsiaTheme="minorEastAsia" w:cstheme="minorEastAsia"/>
                <w:szCs w:val="20"/>
              </w:rPr>
            </w:pPr>
            <w:r>
              <w:rPr>
                <w:rFonts w:hint="eastAsia" w:asciiTheme="minorEastAsia" w:hAnsiTheme="minorEastAsia" w:eastAsiaTheme="minorEastAsia" w:cstheme="minorEastAsia"/>
                <w:szCs w:val="20"/>
              </w:rPr>
              <w:t>序号</w:t>
            </w:r>
          </w:p>
        </w:tc>
        <w:tc>
          <w:tcPr>
            <w:tcW w:w="1843" w:type="dxa"/>
            <w:vAlign w:val="center"/>
          </w:tcPr>
          <w:p>
            <w:pPr>
              <w:spacing w:line="360" w:lineRule="auto"/>
              <w:jc w:val="center"/>
              <w:rPr>
                <w:rFonts w:asciiTheme="minorEastAsia" w:hAnsiTheme="minorEastAsia" w:eastAsiaTheme="minorEastAsia" w:cstheme="minorEastAsia"/>
                <w:szCs w:val="20"/>
              </w:rPr>
            </w:pPr>
            <w:r>
              <w:rPr>
                <w:rFonts w:hint="eastAsia" w:asciiTheme="minorEastAsia" w:hAnsiTheme="minorEastAsia" w:eastAsiaTheme="minorEastAsia" w:cstheme="minorEastAsia"/>
                <w:szCs w:val="20"/>
              </w:rPr>
              <w:t>招标规格/ 要求</w:t>
            </w:r>
          </w:p>
        </w:tc>
        <w:tc>
          <w:tcPr>
            <w:tcW w:w="1417" w:type="dxa"/>
            <w:vAlign w:val="center"/>
          </w:tcPr>
          <w:p>
            <w:pPr>
              <w:spacing w:line="360" w:lineRule="auto"/>
              <w:jc w:val="center"/>
              <w:rPr>
                <w:rFonts w:asciiTheme="minorEastAsia" w:hAnsiTheme="minorEastAsia" w:eastAsiaTheme="minorEastAsia" w:cstheme="minorEastAsia"/>
                <w:szCs w:val="20"/>
              </w:rPr>
            </w:pPr>
            <w:r>
              <w:rPr>
                <w:rFonts w:hint="eastAsia" w:asciiTheme="minorEastAsia" w:hAnsiTheme="minorEastAsia" w:eastAsiaTheme="minorEastAsia" w:cstheme="minorEastAsia"/>
                <w:szCs w:val="20"/>
              </w:rPr>
              <w:t>投标响应的实际情况</w:t>
            </w:r>
          </w:p>
        </w:tc>
        <w:tc>
          <w:tcPr>
            <w:tcW w:w="1418" w:type="dxa"/>
            <w:vAlign w:val="center"/>
          </w:tcPr>
          <w:p>
            <w:pPr>
              <w:spacing w:line="360" w:lineRule="auto"/>
              <w:jc w:val="center"/>
              <w:rPr>
                <w:rFonts w:asciiTheme="minorEastAsia" w:hAnsiTheme="minorEastAsia" w:eastAsiaTheme="minorEastAsia" w:cstheme="minorEastAsia"/>
                <w:szCs w:val="20"/>
              </w:rPr>
            </w:pPr>
            <w:r>
              <w:rPr>
                <w:rFonts w:hint="eastAsia" w:asciiTheme="minorEastAsia" w:hAnsiTheme="minorEastAsia" w:eastAsiaTheme="minorEastAsia" w:cstheme="minorEastAsia"/>
                <w:szCs w:val="20"/>
              </w:rPr>
              <w:t>偏离简述（正偏离/负偏离/无偏离）</w:t>
            </w:r>
          </w:p>
        </w:tc>
        <w:tc>
          <w:tcPr>
            <w:tcW w:w="1275" w:type="dxa"/>
            <w:vAlign w:val="center"/>
          </w:tcPr>
          <w:p>
            <w:pPr>
              <w:spacing w:line="360" w:lineRule="auto"/>
              <w:jc w:val="center"/>
              <w:rPr>
                <w:rFonts w:asciiTheme="minorEastAsia" w:hAnsiTheme="minorEastAsia" w:eastAsiaTheme="minorEastAsia" w:cstheme="minorEastAsia"/>
                <w:szCs w:val="20"/>
              </w:rPr>
            </w:pPr>
            <w:r>
              <w:rPr>
                <w:rFonts w:hint="eastAsia" w:asciiTheme="minorEastAsia" w:hAnsiTheme="minorEastAsia" w:eastAsiaTheme="minorEastAsia" w:cstheme="minorEastAsia"/>
                <w:szCs w:val="20"/>
              </w:rPr>
              <w:t>差异说明</w:t>
            </w:r>
          </w:p>
        </w:tc>
        <w:tc>
          <w:tcPr>
            <w:tcW w:w="1560" w:type="dxa"/>
            <w:vAlign w:val="center"/>
          </w:tcPr>
          <w:p>
            <w:pPr>
              <w:spacing w:line="360" w:lineRule="auto"/>
              <w:jc w:val="center"/>
              <w:rPr>
                <w:rFonts w:asciiTheme="minorEastAsia" w:hAnsiTheme="minorEastAsia" w:eastAsiaTheme="minorEastAsia" w:cstheme="minorEastAsia"/>
                <w:szCs w:val="20"/>
              </w:rPr>
            </w:pPr>
            <w:r>
              <w:rPr>
                <w:rFonts w:hint="eastAsia" w:asciiTheme="minorEastAsia" w:hAnsiTheme="minorEastAsia" w:eastAsiaTheme="minorEastAsia" w:cstheme="minorEastAsia"/>
              </w:rPr>
              <w:t>相关技术证明文件在响应文件中的具体页码</w:t>
            </w:r>
          </w:p>
        </w:tc>
        <w:tc>
          <w:tcPr>
            <w:tcW w:w="1133" w:type="dxa"/>
            <w:vAlign w:val="center"/>
          </w:tcPr>
          <w:p>
            <w:pPr>
              <w:spacing w:line="360" w:lineRule="auto"/>
              <w:jc w:val="center"/>
              <w:rPr>
                <w:rFonts w:asciiTheme="minorEastAsia" w:hAnsiTheme="minorEastAsia" w:eastAsiaTheme="minorEastAsia" w:cstheme="minorEastAsia"/>
                <w:szCs w:val="20"/>
              </w:rPr>
            </w:pPr>
            <w:r>
              <w:rPr>
                <w:rFonts w:hint="eastAsia" w:asciiTheme="minorEastAsia" w:hAnsiTheme="minorEastAsia" w:eastAsiaTheme="minorEastAsia" w:cstheme="minorEastAsia"/>
                <w:szCs w:val="2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59" w:type="dxa"/>
          </w:tcPr>
          <w:p>
            <w:pPr>
              <w:spacing w:line="360" w:lineRule="auto"/>
              <w:rPr>
                <w:rFonts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1   </w:t>
            </w:r>
          </w:p>
        </w:tc>
        <w:tc>
          <w:tcPr>
            <w:tcW w:w="1843" w:type="dxa"/>
          </w:tcPr>
          <w:p>
            <w:pPr>
              <w:spacing w:line="360" w:lineRule="auto"/>
              <w:rPr>
                <w:rFonts w:asciiTheme="minorEastAsia" w:hAnsiTheme="minorEastAsia" w:eastAsiaTheme="minorEastAsia" w:cstheme="minorEastAsia"/>
                <w:szCs w:val="20"/>
              </w:rPr>
            </w:pPr>
          </w:p>
        </w:tc>
        <w:tc>
          <w:tcPr>
            <w:tcW w:w="1417" w:type="dxa"/>
          </w:tcPr>
          <w:p>
            <w:pPr>
              <w:spacing w:line="360" w:lineRule="auto"/>
              <w:rPr>
                <w:rFonts w:asciiTheme="minorEastAsia" w:hAnsiTheme="minorEastAsia" w:eastAsiaTheme="minorEastAsia" w:cstheme="minorEastAsia"/>
                <w:szCs w:val="20"/>
              </w:rPr>
            </w:pPr>
          </w:p>
        </w:tc>
        <w:tc>
          <w:tcPr>
            <w:tcW w:w="1418" w:type="dxa"/>
          </w:tcPr>
          <w:p>
            <w:pPr>
              <w:spacing w:line="360" w:lineRule="auto"/>
              <w:rPr>
                <w:rFonts w:asciiTheme="minorEastAsia" w:hAnsiTheme="minorEastAsia" w:eastAsiaTheme="minorEastAsia" w:cstheme="minorEastAsia"/>
                <w:szCs w:val="20"/>
              </w:rPr>
            </w:pPr>
          </w:p>
        </w:tc>
        <w:tc>
          <w:tcPr>
            <w:tcW w:w="1275" w:type="dxa"/>
          </w:tcPr>
          <w:p>
            <w:pPr>
              <w:spacing w:line="360" w:lineRule="auto"/>
              <w:rPr>
                <w:rFonts w:asciiTheme="minorEastAsia" w:hAnsiTheme="minorEastAsia" w:eastAsiaTheme="minorEastAsia" w:cstheme="minorEastAsia"/>
                <w:szCs w:val="20"/>
              </w:rPr>
            </w:pPr>
          </w:p>
        </w:tc>
        <w:tc>
          <w:tcPr>
            <w:tcW w:w="1560" w:type="dxa"/>
          </w:tcPr>
          <w:p>
            <w:pPr>
              <w:spacing w:line="360" w:lineRule="auto"/>
              <w:rPr>
                <w:rFonts w:asciiTheme="minorEastAsia" w:hAnsiTheme="minorEastAsia" w:eastAsiaTheme="minorEastAsia" w:cstheme="minorEastAsia"/>
                <w:szCs w:val="20"/>
              </w:rPr>
            </w:pPr>
          </w:p>
        </w:tc>
        <w:tc>
          <w:tcPr>
            <w:tcW w:w="1133" w:type="dxa"/>
          </w:tcPr>
          <w:p>
            <w:pPr>
              <w:spacing w:line="360" w:lineRule="auto"/>
              <w:rPr>
                <w:rFonts w:asciiTheme="minorEastAsia" w:hAnsiTheme="minorEastAsia" w:eastAsiaTheme="minorEastAsia" w:cstheme="minorEastAsia"/>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959" w:type="dxa"/>
          </w:tcPr>
          <w:p>
            <w:pPr>
              <w:spacing w:line="360" w:lineRule="auto"/>
              <w:rPr>
                <w:rFonts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2  </w:t>
            </w:r>
          </w:p>
        </w:tc>
        <w:tc>
          <w:tcPr>
            <w:tcW w:w="1843" w:type="dxa"/>
          </w:tcPr>
          <w:p>
            <w:pPr>
              <w:spacing w:line="360" w:lineRule="auto"/>
              <w:rPr>
                <w:rFonts w:asciiTheme="minorEastAsia" w:hAnsiTheme="minorEastAsia" w:eastAsiaTheme="minorEastAsia" w:cstheme="minorEastAsia"/>
                <w:szCs w:val="20"/>
              </w:rPr>
            </w:pPr>
          </w:p>
        </w:tc>
        <w:tc>
          <w:tcPr>
            <w:tcW w:w="1417" w:type="dxa"/>
          </w:tcPr>
          <w:p>
            <w:pPr>
              <w:spacing w:line="360" w:lineRule="auto"/>
              <w:rPr>
                <w:rFonts w:asciiTheme="minorEastAsia" w:hAnsiTheme="minorEastAsia" w:eastAsiaTheme="minorEastAsia" w:cstheme="minorEastAsia"/>
                <w:szCs w:val="20"/>
              </w:rPr>
            </w:pPr>
          </w:p>
        </w:tc>
        <w:tc>
          <w:tcPr>
            <w:tcW w:w="1418" w:type="dxa"/>
          </w:tcPr>
          <w:p>
            <w:pPr>
              <w:spacing w:line="360" w:lineRule="auto"/>
              <w:rPr>
                <w:rFonts w:asciiTheme="minorEastAsia" w:hAnsiTheme="minorEastAsia" w:eastAsiaTheme="minorEastAsia" w:cstheme="minorEastAsia"/>
                <w:szCs w:val="20"/>
              </w:rPr>
            </w:pPr>
          </w:p>
        </w:tc>
        <w:tc>
          <w:tcPr>
            <w:tcW w:w="1275" w:type="dxa"/>
          </w:tcPr>
          <w:p>
            <w:pPr>
              <w:spacing w:line="360" w:lineRule="auto"/>
              <w:rPr>
                <w:rFonts w:asciiTheme="minorEastAsia" w:hAnsiTheme="minorEastAsia" w:eastAsiaTheme="minorEastAsia" w:cstheme="minorEastAsia"/>
                <w:szCs w:val="20"/>
              </w:rPr>
            </w:pPr>
          </w:p>
        </w:tc>
        <w:tc>
          <w:tcPr>
            <w:tcW w:w="1560" w:type="dxa"/>
          </w:tcPr>
          <w:p>
            <w:pPr>
              <w:spacing w:line="360" w:lineRule="auto"/>
              <w:rPr>
                <w:rFonts w:asciiTheme="minorEastAsia" w:hAnsiTheme="minorEastAsia" w:eastAsiaTheme="minorEastAsia" w:cstheme="minorEastAsia"/>
                <w:szCs w:val="20"/>
              </w:rPr>
            </w:pPr>
          </w:p>
        </w:tc>
        <w:tc>
          <w:tcPr>
            <w:tcW w:w="1133" w:type="dxa"/>
          </w:tcPr>
          <w:p>
            <w:pPr>
              <w:spacing w:line="360" w:lineRule="auto"/>
              <w:rPr>
                <w:rFonts w:asciiTheme="minorEastAsia" w:hAnsiTheme="minorEastAsia" w:eastAsiaTheme="minorEastAsia" w:cstheme="minorEastAsia"/>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959" w:type="dxa"/>
          </w:tcPr>
          <w:p>
            <w:pPr>
              <w:spacing w:line="360" w:lineRule="auto"/>
              <w:rPr>
                <w:rFonts w:asciiTheme="minorEastAsia" w:hAnsiTheme="minorEastAsia" w:eastAsiaTheme="minorEastAsia" w:cstheme="minorEastAsia"/>
                <w:szCs w:val="20"/>
              </w:rPr>
            </w:pPr>
            <w:r>
              <w:rPr>
                <w:rFonts w:hint="eastAsia" w:asciiTheme="minorEastAsia" w:hAnsiTheme="minorEastAsia" w:eastAsiaTheme="minorEastAsia" w:cstheme="minorEastAsia"/>
                <w:szCs w:val="20"/>
              </w:rPr>
              <w:t>…</w:t>
            </w:r>
          </w:p>
        </w:tc>
        <w:tc>
          <w:tcPr>
            <w:tcW w:w="1843" w:type="dxa"/>
          </w:tcPr>
          <w:p>
            <w:pPr>
              <w:spacing w:line="360" w:lineRule="auto"/>
              <w:rPr>
                <w:rFonts w:asciiTheme="minorEastAsia" w:hAnsiTheme="minorEastAsia" w:eastAsiaTheme="minorEastAsia" w:cstheme="minorEastAsia"/>
                <w:szCs w:val="20"/>
              </w:rPr>
            </w:pPr>
          </w:p>
        </w:tc>
        <w:tc>
          <w:tcPr>
            <w:tcW w:w="1417" w:type="dxa"/>
          </w:tcPr>
          <w:p>
            <w:pPr>
              <w:spacing w:line="360" w:lineRule="auto"/>
              <w:rPr>
                <w:rFonts w:asciiTheme="minorEastAsia" w:hAnsiTheme="minorEastAsia" w:eastAsiaTheme="minorEastAsia" w:cstheme="minorEastAsia"/>
                <w:szCs w:val="20"/>
              </w:rPr>
            </w:pPr>
          </w:p>
        </w:tc>
        <w:tc>
          <w:tcPr>
            <w:tcW w:w="1418" w:type="dxa"/>
            <w:vAlign w:val="center"/>
          </w:tcPr>
          <w:p>
            <w:pPr>
              <w:spacing w:line="380" w:lineRule="exact"/>
              <w:rPr>
                <w:rFonts w:asciiTheme="minorEastAsia" w:hAnsiTheme="minorEastAsia" w:eastAsiaTheme="minorEastAsia" w:cstheme="minorEastAsia"/>
              </w:rPr>
            </w:pPr>
          </w:p>
        </w:tc>
        <w:tc>
          <w:tcPr>
            <w:tcW w:w="1275" w:type="dxa"/>
            <w:vAlign w:val="center"/>
          </w:tcPr>
          <w:p>
            <w:pPr>
              <w:spacing w:line="380" w:lineRule="exact"/>
              <w:ind w:firstLine="600" w:firstLineChars="250"/>
              <w:rPr>
                <w:rFonts w:asciiTheme="minorEastAsia" w:hAnsiTheme="minorEastAsia" w:eastAsiaTheme="minorEastAsia" w:cstheme="minorEastAsia"/>
              </w:rPr>
            </w:pPr>
          </w:p>
        </w:tc>
        <w:tc>
          <w:tcPr>
            <w:tcW w:w="1560" w:type="dxa"/>
          </w:tcPr>
          <w:p>
            <w:pPr>
              <w:spacing w:line="360" w:lineRule="auto"/>
              <w:rPr>
                <w:rFonts w:asciiTheme="minorEastAsia" w:hAnsiTheme="minorEastAsia" w:eastAsiaTheme="minorEastAsia" w:cstheme="minorEastAsia"/>
                <w:szCs w:val="20"/>
              </w:rPr>
            </w:pPr>
          </w:p>
        </w:tc>
        <w:tc>
          <w:tcPr>
            <w:tcW w:w="1133" w:type="dxa"/>
          </w:tcPr>
          <w:p>
            <w:pPr>
              <w:spacing w:line="360" w:lineRule="auto"/>
              <w:rPr>
                <w:rFonts w:asciiTheme="minorEastAsia" w:hAnsiTheme="minorEastAsia" w:eastAsiaTheme="minorEastAsia" w:cstheme="minorEastAsia"/>
                <w:szCs w:val="20"/>
              </w:rPr>
            </w:pPr>
          </w:p>
        </w:tc>
      </w:tr>
    </w:tbl>
    <w:p>
      <w:pPr>
        <w:spacing w:line="340" w:lineRule="exact"/>
        <w:rPr>
          <w:rFonts w:asciiTheme="minorEastAsia" w:hAnsiTheme="minorEastAsia" w:eastAsiaTheme="minorEastAsia" w:cstheme="minorEastAsia"/>
        </w:rPr>
      </w:pPr>
    </w:p>
    <w:p>
      <w:p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投标人授权代表签字：                              日期：</w:t>
      </w:r>
    </w:p>
    <w:p>
      <w:pPr>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        </w:t>
      </w:r>
    </w:p>
    <w:p>
      <w:pPr>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（投标人公章）</w:t>
      </w:r>
    </w:p>
    <w:p>
      <w:pPr>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授权代表移动电话：</w:t>
      </w:r>
    </w:p>
    <w:p>
      <w:pPr>
        <w:spacing w:line="340" w:lineRule="exact"/>
        <w:rPr>
          <w:rFonts w:asciiTheme="minorEastAsia" w:hAnsiTheme="minorEastAsia" w:eastAsiaTheme="minorEastAsia" w:cstheme="minorEastAsia"/>
          <w:sz w:val="21"/>
          <w:szCs w:val="21"/>
        </w:rPr>
      </w:pPr>
    </w:p>
    <w:p>
      <w:pPr>
        <w:spacing w:line="3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说明：</w:t>
      </w:r>
    </w:p>
    <w:p>
      <w:pPr>
        <w:spacing w:line="340" w:lineRule="exact"/>
        <w:ind w:firstLine="420" w:firstLineChars="200"/>
        <w:jc w:val="both"/>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投标人须对照招标文件技术规格，将自己所投的所有货物的功能、技术性能、配置、用途等内容按照上表格式与招标要求</w:t>
      </w:r>
      <w:r>
        <w:rPr>
          <w:rFonts w:hint="eastAsia" w:asciiTheme="minorEastAsia" w:hAnsiTheme="minorEastAsia" w:eastAsiaTheme="minorEastAsia" w:cstheme="minorEastAsia"/>
          <w:b/>
          <w:bCs/>
          <w:sz w:val="21"/>
          <w:szCs w:val="21"/>
        </w:rPr>
        <w:t>逐条填写</w:t>
      </w:r>
      <w:r>
        <w:rPr>
          <w:rFonts w:hint="eastAsia" w:asciiTheme="minorEastAsia" w:hAnsiTheme="minorEastAsia" w:eastAsiaTheme="minorEastAsia" w:cstheme="minorEastAsia"/>
          <w:sz w:val="21"/>
          <w:szCs w:val="21"/>
        </w:rPr>
        <w:t>，说明所提供货物和服务已对招标文件的技术规格做出了实质性响应，并申明与技术规格条文的偏差和例外。若有负偏离而未如实填写的</w:t>
      </w:r>
      <w:r>
        <w:rPr>
          <w:rFonts w:hint="eastAsia" w:asciiTheme="minorEastAsia" w:hAnsiTheme="minorEastAsia" w:eastAsiaTheme="minorEastAsia" w:cstheme="minorEastAsia"/>
          <w:b/>
          <w:sz w:val="21"/>
          <w:szCs w:val="21"/>
        </w:rPr>
        <w:t>可视为虚假应标；</w:t>
      </w:r>
      <w:r>
        <w:rPr>
          <w:rFonts w:hint="eastAsia" w:asciiTheme="minorEastAsia" w:hAnsiTheme="minorEastAsia" w:eastAsiaTheme="minorEastAsia" w:cstheme="minorEastAsia"/>
          <w:sz w:val="21"/>
          <w:szCs w:val="21"/>
        </w:rPr>
        <w:t>若有正偏离而未如实填写的将视为没有优于招标要求；无论是正、负偏离，还是无偏离，未按以上表格式逐条填写的，</w:t>
      </w:r>
      <w:r>
        <w:rPr>
          <w:rFonts w:hint="eastAsia" w:asciiTheme="minorEastAsia" w:hAnsiTheme="minorEastAsia" w:eastAsiaTheme="minorEastAsia" w:cstheme="minorEastAsia"/>
          <w:b/>
          <w:sz w:val="21"/>
          <w:szCs w:val="21"/>
        </w:rPr>
        <w:t>可视为无效投标。</w:t>
      </w:r>
    </w:p>
    <w:p>
      <w:pPr>
        <w:spacing w:line="340" w:lineRule="exact"/>
        <w:ind w:firstLine="525" w:firstLineChars="250"/>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1.偏离简述栏中必须标明技术及配置的响应情况，整项货物及该项货物各部分响应情况须按下述规定填写，任何</w:t>
      </w:r>
      <w:r>
        <w:rPr>
          <w:rFonts w:hint="eastAsia" w:asciiTheme="minorEastAsia" w:hAnsiTheme="minorEastAsia" w:eastAsiaTheme="minorEastAsia" w:cstheme="minorEastAsia"/>
          <w:b/>
          <w:sz w:val="21"/>
          <w:szCs w:val="21"/>
        </w:rPr>
        <w:t>不真实响应</w:t>
      </w:r>
      <w:r>
        <w:rPr>
          <w:rFonts w:hint="eastAsia" w:asciiTheme="minorEastAsia" w:hAnsiTheme="minorEastAsia" w:eastAsiaTheme="minorEastAsia" w:cstheme="minorEastAsia"/>
          <w:sz w:val="21"/>
          <w:szCs w:val="21"/>
        </w:rPr>
        <w:t>都将导致</w:t>
      </w:r>
      <w:r>
        <w:rPr>
          <w:rFonts w:hint="eastAsia" w:asciiTheme="minorEastAsia" w:hAnsiTheme="minorEastAsia" w:eastAsiaTheme="minorEastAsia" w:cstheme="minorEastAsia"/>
          <w:b/>
          <w:sz w:val="21"/>
          <w:szCs w:val="21"/>
        </w:rPr>
        <w:t>投标无效：</w:t>
      </w:r>
    </w:p>
    <w:p>
      <w:pPr>
        <w:spacing w:line="340" w:lineRule="exact"/>
        <w:ind w:firstLine="420" w:firstLineChars="200"/>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① 对应项中的所有技术参数、性能和配置全部满足招标文件要求的才能填写“无偏离”或“符合”；</w:t>
      </w:r>
    </w:p>
    <w:p>
      <w:pPr>
        <w:spacing w:line="340" w:lineRule="exact"/>
        <w:ind w:firstLine="420" w:firstLineChars="200"/>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② 对应项中的所有技术参数、性能和配置全部满足招标文件要求并且其中有一个或以上指标优于招标文件要求的，可填写“正偏离”；</w:t>
      </w:r>
    </w:p>
    <w:p>
      <w:pPr>
        <w:spacing w:line="340" w:lineRule="exact"/>
        <w:ind w:firstLine="420" w:firstLineChars="200"/>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③ 对应项中的所有技术参数、性能和配置中有任何一项不能达到招标文件要求的，必须填写“负偏离”；</w:t>
      </w:r>
    </w:p>
    <w:p>
      <w:pPr>
        <w:spacing w:line="34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④ “正偏离”、“负偏离”两者中偏离的情况必须在备注栏中说明对使用的影响。</w:t>
      </w:r>
    </w:p>
    <w:p>
      <w:pPr>
        <w:spacing w:line="34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2.该表可扩展</w:t>
      </w: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八、商务条款偏离表格式</w:t>
      </w:r>
    </w:p>
    <w:p>
      <w:pPr>
        <w:spacing w:line="360" w:lineRule="auto"/>
        <w:jc w:val="center"/>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商务条款偏离表</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投标人名称：                                     项目编号：</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分项（子包）号：                                 分项（子包）名称：</w:t>
      </w:r>
    </w:p>
    <w:tbl>
      <w:tblPr>
        <w:tblStyle w:val="25"/>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126"/>
        <w:gridCol w:w="1701"/>
        <w:gridCol w:w="1560"/>
        <w:gridCol w:w="1984"/>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spacing w:line="360" w:lineRule="auto"/>
              <w:jc w:val="center"/>
              <w:rPr>
                <w:rFonts w:asciiTheme="minorEastAsia" w:hAnsiTheme="minorEastAsia" w:eastAsiaTheme="minorEastAsia" w:cstheme="minorEastAsia"/>
                <w:szCs w:val="20"/>
              </w:rPr>
            </w:pPr>
            <w:r>
              <w:rPr>
                <w:rFonts w:hint="eastAsia" w:asciiTheme="minorEastAsia" w:hAnsiTheme="minorEastAsia" w:eastAsiaTheme="minorEastAsia" w:cstheme="minorEastAsia"/>
                <w:szCs w:val="20"/>
              </w:rPr>
              <w:t>序号</w:t>
            </w:r>
          </w:p>
        </w:tc>
        <w:tc>
          <w:tcPr>
            <w:tcW w:w="2126" w:type="dxa"/>
            <w:vAlign w:val="center"/>
          </w:tcPr>
          <w:p>
            <w:pPr>
              <w:spacing w:line="420" w:lineRule="exact"/>
              <w:jc w:val="center"/>
              <w:rPr>
                <w:rFonts w:asciiTheme="minorEastAsia" w:hAnsiTheme="minorEastAsia" w:eastAsiaTheme="minorEastAsia" w:cstheme="minorEastAsia"/>
                <w:szCs w:val="20"/>
              </w:rPr>
            </w:pPr>
            <w:r>
              <w:rPr>
                <w:rFonts w:hint="eastAsia" w:asciiTheme="minorEastAsia" w:hAnsiTheme="minorEastAsia" w:eastAsiaTheme="minorEastAsia" w:cstheme="minorEastAsia"/>
                <w:szCs w:val="20"/>
              </w:rPr>
              <w:t>招标文件</w:t>
            </w:r>
          </w:p>
          <w:p>
            <w:pPr>
              <w:spacing w:line="420" w:lineRule="exact"/>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Cs w:val="20"/>
              </w:rPr>
              <w:t>内容条目号</w:t>
            </w:r>
          </w:p>
        </w:tc>
        <w:tc>
          <w:tcPr>
            <w:tcW w:w="1701" w:type="dxa"/>
            <w:vAlign w:val="center"/>
          </w:tcPr>
          <w:p>
            <w:pPr>
              <w:spacing w:line="420" w:lineRule="exact"/>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Cs w:val="20"/>
              </w:rPr>
              <w:t>招标文件商务要求</w:t>
            </w:r>
          </w:p>
        </w:tc>
        <w:tc>
          <w:tcPr>
            <w:tcW w:w="1560" w:type="dxa"/>
            <w:vAlign w:val="center"/>
          </w:tcPr>
          <w:p>
            <w:pPr>
              <w:spacing w:line="420" w:lineRule="exact"/>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Cs w:val="20"/>
              </w:rPr>
              <w:t>投标文件商务条款</w:t>
            </w:r>
          </w:p>
        </w:tc>
        <w:tc>
          <w:tcPr>
            <w:tcW w:w="1984" w:type="dxa"/>
            <w:vAlign w:val="center"/>
          </w:tcPr>
          <w:p>
            <w:pPr>
              <w:spacing w:line="420" w:lineRule="exact"/>
              <w:jc w:val="center"/>
              <w:rPr>
                <w:rFonts w:asciiTheme="minorEastAsia" w:hAnsiTheme="minorEastAsia" w:eastAsiaTheme="minorEastAsia" w:cstheme="minorEastAsia"/>
                <w:szCs w:val="20"/>
              </w:rPr>
            </w:pPr>
            <w:r>
              <w:rPr>
                <w:rFonts w:hint="eastAsia" w:asciiTheme="minorEastAsia" w:hAnsiTheme="minorEastAsia" w:eastAsiaTheme="minorEastAsia" w:cstheme="minorEastAsia"/>
                <w:szCs w:val="20"/>
              </w:rPr>
              <w:t>偏离说明</w:t>
            </w:r>
          </w:p>
        </w:tc>
        <w:tc>
          <w:tcPr>
            <w:tcW w:w="1701" w:type="dxa"/>
            <w:vAlign w:val="center"/>
          </w:tcPr>
          <w:p>
            <w:pPr>
              <w:spacing w:line="420" w:lineRule="exact"/>
              <w:jc w:val="center"/>
              <w:rPr>
                <w:rFonts w:asciiTheme="minorEastAsia" w:hAnsiTheme="minorEastAsia" w:eastAsiaTheme="minorEastAsia" w:cstheme="minorEastAsia"/>
                <w:szCs w:val="20"/>
              </w:rPr>
            </w:pPr>
            <w:r>
              <w:rPr>
                <w:rFonts w:hint="eastAsia" w:asciiTheme="minorEastAsia" w:hAnsiTheme="minorEastAsia" w:eastAsiaTheme="minorEastAsia" w:cstheme="minorEastAsia"/>
                <w:szCs w:val="2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tcPr>
          <w:p>
            <w:pPr>
              <w:spacing w:line="360" w:lineRule="auto"/>
              <w:rPr>
                <w:rFonts w:asciiTheme="minorEastAsia" w:hAnsiTheme="minorEastAsia" w:eastAsiaTheme="minorEastAsia" w:cstheme="minorEastAsia"/>
                <w:sz w:val="20"/>
                <w:szCs w:val="20"/>
              </w:rPr>
            </w:pPr>
          </w:p>
        </w:tc>
        <w:tc>
          <w:tcPr>
            <w:tcW w:w="2126" w:type="dxa"/>
          </w:tcPr>
          <w:p>
            <w:pPr>
              <w:spacing w:line="360" w:lineRule="auto"/>
              <w:rPr>
                <w:rFonts w:asciiTheme="minorEastAsia" w:hAnsiTheme="minorEastAsia" w:eastAsiaTheme="minorEastAsia" w:cstheme="minorEastAsia"/>
                <w:sz w:val="20"/>
                <w:szCs w:val="20"/>
              </w:rPr>
            </w:pPr>
          </w:p>
        </w:tc>
        <w:tc>
          <w:tcPr>
            <w:tcW w:w="1701" w:type="dxa"/>
          </w:tcPr>
          <w:p>
            <w:pPr>
              <w:spacing w:line="360" w:lineRule="auto"/>
              <w:rPr>
                <w:rFonts w:asciiTheme="minorEastAsia" w:hAnsiTheme="minorEastAsia" w:eastAsiaTheme="minorEastAsia" w:cstheme="minorEastAsia"/>
                <w:sz w:val="20"/>
                <w:szCs w:val="20"/>
              </w:rPr>
            </w:pPr>
          </w:p>
        </w:tc>
        <w:tc>
          <w:tcPr>
            <w:tcW w:w="1560" w:type="dxa"/>
          </w:tcPr>
          <w:p>
            <w:pPr>
              <w:spacing w:line="360" w:lineRule="auto"/>
              <w:rPr>
                <w:rFonts w:asciiTheme="minorEastAsia" w:hAnsiTheme="minorEastAsia" w:eastAsiaTheme="minorEastAsia" w:cstheme="minorEastAsia"/>
                <w:sz w:val="20"/>
                <w:szCs w:val="20"/>
              </w:rPr>
            </w:pPr>
          </w:p>
        </w:tc>
        <w:tc>
          <w:tcPr>
            <w:tcW w:w="1984" w:type="dxa"/>
          </w:tcPr>
          <w:p>
            <w:pPr>
              <w:spacing w:line="360" w:lineRule="auto"/>
              <w:rPr>
                <w:rFonts w:asciiTheme="minorEastAsia" w:hAnsiTheme="minorEastAsia" w:eastAsiaTheme="minorEastAsia" w:cstheme="minorEastAsia"/>
                <w:sz w:val="20"/>
                <w:szCs w:val="20"/>
              </w:rPr>
            </w:pPr>
          </w:p>
        </w:tc>
        <w:tc>
          <w:tcPr>
            <w:tcW w:w="1701" w:type="dxa"/>
          </w:tcPr>
          <w:p>
            <w:pPr>
              <w:spacing w:line="360" w:lineRule="auto"/>
              <w:rPr>
                <w:rFonts w:asciiTheme="minorEastAsia" w:hAnsiTheme="minorEastAsia" w:eastAsiaTheme="minorEastAsia" w:cstheme="minorEastAsia"/>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tcPr>
          <w:p>
            <w:pPr>
              <w:spacing w:line="360" w:lineRule="auto"/>
              <w:rPr>
                <w:rFonts w:asciiTheme="minorEastAsia" w:hAnsiTheme="minorEastAsia" w:eastAsiaTheme="minorEastAsia" w:cstheme="minorEastAsia"/>
                <w:sz w:val="20"/>
                <w:szCs w:val="20"/>
              </w:rPr>
            </w:pPr>
          </w:p>
        </w:tc>
        <w:tc>
          <w:tcPr>
            <w:tcW w:w="2126" w:type="dxa"/>
          </w:tcPr>
          <w:p>
            <w:pPr>
              <w:spacing w:line="360" w:lineRule="auto"/>
              <w:rPr>
                <w:rFonts w:asciiTheme="minorEastAsia" w:hAnsiTheme="minorEastAsia" w:eastAsiaTheme="minorEastAsia" w:cstheme="minorEastAsia"/>
                <w:sz w:val="20"/>
                <w:szCs w:val="20"/>
              </w:rPr>
            </w:pPr>
          </w:p>
        </w:tc>
        <w:tc>
          <w:tcPr>
            <w:tcW w:w="1701" w:type="dxa"/>
          </w:tcPr>
          <w:p>
            <w:pPr>
              <w:spacing w:line="360" w:lineRule="auto"/>
              <w:rPr>
                <w:rFonts w:asciiTheme="minorEastAsia" w:hAnsiTheme="minorEastAsia" w:eastAsiaTheme="minorEastAsia" w:cstheme="minorEastAsia"/>
                <w:sz w:val="20"/>
                <w:szCs w:val="20"/>
              </w:rPr>
            </w:pPr>
          </w:p>
        </w:tc>
        <w:tc>
          <w:tcPr>
            <w:tcW w:w="1560" w:type="dxa"/>
          </w:tcPr>
          <w:p>
            <w:pPr>
              <w:spacing w:line="360" w:lineRule="auto"/>
              <w:rPr>
                <w:rFonts w:asciiTheme="minorEastAsia" w:hAnsiTheme="minorEastAsia" w:eastAsiaTheme="minorEastAsia" w:cstheme="minorEastAsia"/>
                <w:sz w:val="20"/>
                <w:szCs w:val="20"/>
              </w:rPr>
            </w:pPr>
          </w:p>
        </w:tc>
        <w:tc>
          <w:tcPr>
            <w:tcW w:w="1984" w:type="dxa"/>
          </w:tcPr>
          <w:p>
            <w:pPr>
              <w:spacing w:line="360" w:lineRule="auto"/>
              <w:rPr>
                <w:rFonts w:asciiTheme="minorEastAsia" w:hAnsiTheme="minorEastAsia" w:eastAsiaTheme="minorEastAsia" w:cstheme="minorEastAsia"/>
                <w:sz w:val="20"/>
                <w:szCs w:val="20"/>
              </w:rPr>
            </w:pPr>
          </w:p>
        </w:tc>
        <w:tc>
          <w:tcPr>
            <w:tcW w:w="1701" w:type="dxa"/>
          </w:tcPr>
          <w:p>
            <w:pPr>
              <w:spacing w:line="360" w:lineRule="auto"/>
              <w:rPr>
                <w:rFonts w:asciiTheme="minorEastAsia" w:hAnsiTheme="minorEastAsia" w:eastAsiaTheme="minorEastAsia" w:cstheme="minorEastAsia"/>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tcPr>
          <w:p>
            <w:pPr>
              <w:spacing w:line="360" w:lineRule="auto"/>
              <w:rPr>
                <w:rFonts w:asciiTheme="minorEastAsia" w:hAnsiTheme="minorEastAsia" w:eastAsiaTheme="minorEastAsia" w:cstheme="minorEastAsia"/>
                <w:sz w:val="20"/>
                <w:szCs w:val="20"/>
              </w:rPr>
            </w:pPr>
          </w:p>
        </w:tc>
        <w:tc>
          <w:tcPr>
            <w:tcW w:w="2126" w:type="dxa"/>
          </w:tcPr>
          <w:p>
            <w:pPr>
              <w:spacing w:line="360" w:lineRule="auto"/>
              <w:rPr>
                <w:rFonts w:asciiTheme="minorEastAsia" w:hAnsiTheme="minorEastAsia" w:eastAsiaTheme="minorEastAsia" w:cstheme="minorEastAsia"/>
                <w:sz w:val="20"/>
                <w:szCs w:val="20"/>
              </w:rPr>
            </w:pPr>
          </w:p>
        </w:tc>
        <w:tc>
          <w:tcPr>
            <w:tcW w:w="1701" w:type="dxa"/>
          </w:tcPr>
          <w:p>
            <w:pPr>
              <w:spacing w:line="360" w:lineRule="auto"/>
              <w:rPr>
                <w:rFonts w:asciiTheme="minorEastAsia" w:hAnsiTheme="minorEastAsia" w:eastAsiaTheme="minorEastAsia" w:cstheme="minorEastAsia"/>
                <w:sz w:val="20"/>
                <w:szCs w:val="20"/>
              </w:rPr>
            </w:pPr>
          </w:p>
        </w:tc>
        <w:tc>
          <w:tcPr>
            <w:tcW w:w="1560" w:type="dxa"/>
          </w:tcPr>
          <w:p>
            <w:pPr>
              <w:spacing w:line="360" w:lineRule="auto"/>
              <w:rPr>
                <w:rFonts w:asciiTheme="minorEastAsia" w:hAnsiTheme="minorEastAsia" w:eastAsiaTheme="minorEastAsia" w:cstheme="minorEastAsia"/>
                <w:sz w:val="20"/>
                <w:szCs w:val="20"/>
              </w:rPr>
            </w:pPr>
          </w:p>
        </w:tc>
        <w:tc>
          <w:tcPr>
            <w:tcW w:w="1984" w:type="dxa"/>
          </w:tcPr>
          <w:p>
            <w:pPr>
              <w:spacing w:line="360" w:lineRule="auto"/>
              <w:rPr>
                <w:rFonts w:asciiTheme="minorEastAsia" w:hAnsiTheme="minorEastAsia" w:eastAsiaTheme="minorEastAsia" w:cstheme="minorEastAsia"/>
                <w:sz w:val="20"/>
                <w:szCs w:val="20"/>
              </w:rPr>
            </w:pPr>
          </w:p>
        </w:tc>
        <w:tc>
          <w:tcPr>
            <w:tcW w:w="1701" w:type="dxa"/>
          </w:tcPr>
          <w:p>
            <w:pPr>
              <w:spacing w:line="360" w:lineRule="auto"/>
              <w:rPr>
                <w:rFonts w:asciiTheme="minorEastAsia" w:hAnsiTheme="minorEastAsia" w:eastAsiaTheme="minorEastAsia" w:cstheme="minorEastAsia"/>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tcPr>
          <w:p>
            <w:pPr>
              <w:spacing w:line="360" w:lineRule="auto"/>
              <w:rPr>
                <w:rFonts w:asciiTheme="minorEastAsia" w:hAnsiTheme="minorEastAsia" w:eastAsiaTheme="minorEastAsia" w:cstheme="minorEastAsia"/>
                <w:sz w:val="20"/>
                <w:szCs w:val="20"/>
              </w:rPr>
            </w:pPr>
          </w:p>
        </w:tc>
        <w:tc>
          <w:tcPr>
            <w:tcW w:w="2126" w:type="dxa"/>
          </w:tcPr>
          <w:p>
            <w:pPr>
              <w:spacing w:line="360" w:lineRule="auto"/>
              <w:rPr>
                <w:rFonts w:asciiTheme="minorEastAsia" w:hAnsiTheme="minorEastAsia" w:eastAsiaTheme="minorEastAsia" w:cstheme="minorEastAsia"/>
                <w:sz w:val="20"/>
                <w:szCs w:val="20"/>
              </w:rPr>
            </w:pPr>
          </w:p>
        </w:tc>
        <w:tc>
          <w:tcPr>
            <w:tcW w:w="1701" w:type="dxa"/>
          </w:tcPr>
          <w:p>
            <w:pPr>
              <w:spacing w:line="360" w:lineRule="auto"/>
              <w:rPr>
                <w:rFonts w:asciiTheme="minorEastAsia" w:hAnsiTheme="minorEastAsia" w:eastAsiaTheme="minorEastAsia" w:cstheme="minorEastAsia"/>
                <w:sz w:val="20"/>
                <w:szCs w:val="20"/>
              </w:rPr>
            </w:pPr>
          </w:p>
        </w:tc>
        <w:tc>
          <w:tcPr>
            <w:tcW w:w="1560" w:type="dxa"/>
          </w:tcPr>
          <w:p>
            <w:pPr>
              <w:spacing w:line="360" w:lineRule="auto"/>
              <w:rPr>
                <w:rFonts w:asciiTheme="minorEastAsia" w:hAnsiTheme="minorEastAsia" w:eastAsiaTheme="minorEastAsia" w:cstheme="minorEastAsia"/>
                <w:sz w:val="20"/>
                <w:szCs w:val="20"/>
              </w:rPr>
            </w:pPr>
          </w:p>
        </w:tc>
        <w:tc>
          <w:tcPr>
            <w:tcW w:w="1984" w:type="dxa"/>
          </w:tcPr>
          <w:p>
            <w:pPr>
              <w:spacing w:line="360" w:lineRule="auto"/>
              <w:rPr>
                <w:rFonts w:asciiTheme="minorEastAsia" w:hAnsiTheme="minorEastAsia" w:eastAsiaTheme="minorEastAsia" w:cstheme="minorEastAsia"/>
                <w:sz w:val="20"/>
                <w:szCs w:val="20"/>
              </w:rPr>
            </w:pPr>
          </w:p>
        </w:tc>
        <w:tc>
          <w:tcPr>
            <w:tcW w:w="1701" w:type="dxa"/>
          </w:tcPr>
          <w:p>
            <w:pPr>
              <w:spacing w:line="360" w:lineRule="auto"/>
              <w:rPr>
                <w:rFonts w:asciiTheme="minorEastAsia" w:hAnsiTheme="minorEastAsia" w:eastAsiaTheme="minorEastAsia" w:cstheme="minorEastAsia"/>
                <w:sz w:val="20"/>
                <w:szCs w:val="20"/>
              </w:rPr>
            </w:pPr>
          </w:p>
        </w:tc>
      </w:tr>
    </w:tbl>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投标人授权代表签字：</w:t>
      </w: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日期：</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（投标人公章）</w:t>
      </w: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授权代表移动电话：</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说明：</w:t>
      </w:r>
    </w:p>
    <w:p>
      <w:pPr>
        <w:spacing w:line="360" w:lineRule="auto"/>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1、供应商应对“第三篇 项目商务要求”和第六篇“合同格式”（</w:t>
      </w:r>
      <w:r>
        <w:rPr>
          <w:rFonts w:hint="eastAsia" w:asciiTheme="minorEastAsia" w:hAnsiTheme="minorEastAsia" w:eastAsiaTheme="minorEastAsia" w:cstheme="minorEastAsia"/>
          <w:b/>
          <w:sz w:val="21"/>
          <w:szCs w:val="21"/>
        </w:rPr>
        <w:t>只针对第六篇合同格式里第三篇专用条款未涉及的内容</w:t>
      </w:r>
      <w:r>
        <w:rPr>
          <w:rFonts w:hint="eastAsia" w:asciiTheme="minorEastAsia" w:hAnsiTheme="minorEastAsia" w:eastAsiaTheme="minorEastAsia" w:cstheme="minorEastAsia"/>
          <w:sz w:val="21"/>
          <w:szCs w:val="21"/>
        </w:rPr>
        <w:t>）中所列商务要求进行比较和响应。</w:t>
      </w:r>
    </w:p>
    <w:p>
      <w:pPr>
        <w:spacing w:line="360" w:lineRule="auto"/>
        <w:ind w:firstLine="422" w:firstLineChars="200"/>
        <w:jc w:val="both"/>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对“第三篇 项目商务要求”的专用条款应逐条对比应答，如实填写，根据响应情况在“偏离说明”栏填写“正偏离”或“负偏离”，完全符合的填写“无偏离”，同时填写正偏离或负偏离的详细内容，在“备注”栏注明该条在投标文件中的页码号。</w:t>
      </w:r>
    </w:p>
    <w:p>
      <w:pPr>
        <w:spacing w:line="360" w:lineRule="auto"/>
        <w:ind w:firstLine="422" w:firstLineChars="200"/>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第六篇“合同格式”内容（只针对第六篇合同格式里第三篇专用条款未涉及的内容）不要求逐条应答，</w:t>
      </w:r>
      <w:r>
        <w:rPr>
          <w:rFonts w:hint="eastAsia" w:asciiTheme="minorEastAsia" w:hAnsiTheme="minorEastAsia" w:eastAsiaTheme="minorEastAsia" w:cstheme="minorEastAsia"/>
          <w:sz w:val="21"/>
          <w:szCs w:val="21"/>
        </w:rPr>
        <w:t>若有差异，应在“偏离说明”栏填写“正偏离”或“负偏离”，同时填写正偏离或负偏离的详细内容，在“备注”栏注明该条款在投标文件中的页码号；对未在本表中填写出差异的条款，则视为供应商接受该内容，且对此内容无异议。</w:t>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b/>
          <w:sz w:val="21"/>
          <w:szCs w:val="21"/>
        </w:rPr>
        <w:t>招标文件第三篇“项目商务要求”和第六篇“合同格式”中标注（*）的条款为不可偏离条款</w:t>
      </w:r>
      <w:r>
        <w:rPr>
          <w:rFonts w:hint="eastAsia" w:asciiTheme="minorEastAsia" w:hAnsiTheme="minorEastAsia" w:eastAsiaTheme="minorEastAsia" w:cstheme="minorEastAsia"/>
          <w:sz w:val="21"/>
          <w:szCs w:val="21"/>
        </w:rPr>
        <w:t>。</w:t>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3、该表可扩展，可横排。</w:t>
      </w:r>
    </w:p>
    <w:p>
      <w:pPr>
        <w:pStyle w:val="4"/>
        <w:spacing w:line="360" w:lineRule="auto"/>
        <w:ind w:left="0"/>
        <w:rPr>
          <w:rFonts w:asciiTheme="minorEastAsia" w:hAnsiTheme="minorEastAsia" w:eastAsiaTheme="minorEastAsia" w:cstheme="minorEastAsia"/>
          <w:b w:val="0"/>
        </w:rPr>
        <w:sectPr>
          <w:pgSz w:w="11906" w:h="16838"/>
          <w:pgMar w:top="1418" w:right="1247" w:bottom="1247" w:left="1418" w:header="851" w:footer="851" w:gutter="0"/>
          <w:cols w:space="720" w:num="1"/>
          <w:docGrid w:linePitch="326" w:charSpace="0"/>
        </w:sectPr>
      </w:pP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九、售后服务承诺书格式</w:t>
      </w:r>
    </w:p>
    <w:p>
      <w:pPr>
        <w:spacing w:line="360" w:lineRule="auto"/>
        <w:jc w:val="center"/>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售后服务承诺书</w:t>
      </w:r>
    </w:p>
    <w:p>
      <w:pPr>
        <w:spacing w:line="360" w:lineRule="auto"/>
        <w:jc w:val="center"/>
        <w:rPr>
          <w:rFonts w:asciiTheme="minorEastAsia" w:hAnsiTheme="minorEastAsia" w:eastAsiaTheme="minorEastAsia" w:cstheme="minorEastAsia"/>
          <w:sz w:val="44"/>
          <w:szCs w:val="44"/>
        </w:rPr>
      </w:pPr>
    </w:p>
    <w:tbl>
      <w:tblPr>
        <w:tblStyle w:val="25"/>
        <w:tblW w:w="97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92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2" w:hRule="atLeast"/>
        </w:trPr>
        <w:tc>
          <w:tcPr>
            <w:tcW w:w="534" w:type="dxa"/>
            <w:vAlign w:val="center"/>
          </w:tcPr>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售</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后</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服</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务</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内</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容</w:t>
            </w:r>
          </w:p>
        </w:tc>
        <w:tc>
          <w:tcPr>
            <w:tcW w:w="9206" w:type="dxa"/>
          </w:tcPr>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1.免费保修年限：</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2.售后服务提供商：</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3.售后服务机构技术人员情况与体系： </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4.服务响应及到达现场服务时间与服务内容： （可另页）</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5.培训方案：（包括培训人次，培训地点等内容，可另页）</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6.本产品专用试剂的优惠供给计划：</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7.其它服务承诺： （可另页）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Align w:val="center"/>
          </w:tcPr>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可</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提</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供</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的</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优</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惠</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条</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件</w:t>
            </w:r>
          </w:p>
        </w:tc>
        <w:tc>
          <w:tcPr>
            <w:tcW w:w="9206" w:type="dxa"/>
          </w:tcPr>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1.保修期满后第一年的维保收费标准：</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2.保修期满后第二年的维保收费标准：</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3.保修期满后第三年的维保收费标准：</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4.保修期满后如不购年保，维修保养人工收费标准与计价方式：</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5.本产品的易损易耗件包括：</w:t>
            </w:r>
          </w:p>
          <w:p>
            <w:pPr>
              <w:spacing w:line="360" w:lineRule="auto"/>
              <w:ind w:firstLine="330" w:firstLineChars="15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它们的正常使用寿命分别为 ：</w:t>
            </w:r>
          </w:p>
          <w:p>
            <w:pPr>
              <w:spacing w:line="360" w:lineRule="auto"/>
              <w:ind w:firstLine="330" w:firstLineChars="15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更换时的优惠价格：</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6.制造厂商在中国大陆设置投标设备所用的备件库情况：</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7．保修期外的其它优惠：</w:t>
            </w:r>
          </w:p>
        </w:tc>
      </w:tr>
    </w:tbl>
    <w:p>
      <w:pPr>
        <w:spacing w:line="46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（注：</w:t>
      </w:r>
      <w:r>
        <w:rPr>
          <w:rFonts w:hint="eastAsia" w:asciiTheme="minorEastAsia" w:hAnsiTheme="minorEastAsia" w:eastAsiaTheme="minorEastAsia" w:cstheme="minorEastAsia"/>
          <w:b/>
          <w:sz w:val="22"/>
          <w:szCs w:val="22"/>
        </w:rPr>
        <w:t>售后服务承诺书必须按照上述格式填写，厂商特定售后服务可紧附其后</w:t>
      </w:r>
      <w:r>
        <w:rPr>
          <w:rFonts w:hint="eastAsia" w:asciiTheme="minorEastAsia" w:hAnsiTheme="minorEastAsia" w:eastAsiaTheme="minorEastAsia" w:cstheme="minorEastAsia"/>
          <w:sz w:val="22"/>
          <w:szCs w:val="22"/>
        </w:rPr>
        <w:t>）</w:t>
      </w:r>
    </w:p>
    <w:p>
      <w:pPr>
        <w:spacing w:line="46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投标人授权代表签字：日期：</w:t>
      </w:r>
    </w:p>
    <w:p>
      <w:pPr>
        <w:spacing w:line="46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（投标人公章）</w:t>
      </w:r>
    </w:p>
    <w:p>
      <w:pPr>
        <w:spacing w:line="46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授权代表移动电话：</w:t>
      </w:r>
    </w:p>
    <w:p>
      <w:pPr>
        <w:spacing w:line="420" w:lineRule="exact"/>
        <w:rPr>
          <w:rFonts w:asciiTheme="minorEastAsia" w:hAnsiTheme="minorEastAsia" w:eastAsiaTheme="minorEastAsia" w:cstheme="minorEastAsia"/>
          <w:sz w:val="22"/>
          <w:szCs w:val="22"/>
        </w:rPr>
      </w:pPr>
    </w:p>
    <w:p>
      <w:pPr>
        <w:spacing w:line="42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b/>
          <w:sz w:val="22"/>
          <w:szCs w:val="22"/>
        </w:rPr>
        <w:t>说明</w:t>
      </w:r>
      <w:r>
        <w:rPr>
          <w:rFonts w:hint="eastAsia" w:asciiTheme="minorEastAsia" w:hAnsiTheme="minorEastAsia" w:eastAsiaTheme="minorEastAsia" w:cstheme="minorEastAsia"/>
          <w:sz w:val="22"/>
          <w:szCs w:val="22"/>
        </w:rPr>
        <w:t>：供应商的售后服务承诺书必须对表格内容作出相应承诺，包括但不限于以上内容。</w:t>
      </w:r>
    </w:p>
    <w:p>
      <w:pPr>
        <w:spacing w:line="360" w:lineRule="auto"/>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4"/>
        <w:spacing w:line="360" w:lineRule="auto"/>
        <w:ind w:left="0"/>
        <w:rPr>
          <w:rFonts w:asciiTheme="minorEastAsia" w:hAnsiTheme="minorEastAsia" w:eastAsiaTheme="minorEastAsia" w:cstheme="minorEastAsia"/>
          <w:b w:val="0"/>
        </w:rPr>
      </w:pPr>
      <w:bookmarkStart w:id="156" w:name="_Toc465269291"/>
      <w:r>
        <w:rPr>
          <w:rFonts w:hint="eastAsia" w:asciiTheme="minorEastAsia" w:hAnsiTheme="minorEastAsia" w:eastAsiaTheme="minorEastAsia" w:cstheme="minorEastAsia"/>
          <w:b w:val="0"/>
        </w:rPr>
        <w:t>十、同类项目业绩格式</w:t>
      </w:r>
      <w:bookmarkEnd w:id="156"/>
    </w:p>
    <w:p>
      <w:pPr>
        <w:spacing w:line="360" w:lineRule="auto"/>
        <w:jc w:val="center"/>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2019年以来同类项目业绩情况</w:t>
      </w:r>
    </w:p>
    <w:tbl>
      <w:tblPr>
        <w:tblStyle w:val="25"/>
        <w:tblW w:w="10462" w:type="dxa"/>
        <w:tblInd w:w="-10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2"/>
        <w:gridCol w:w="1478"/>
        <w:gridCol w:w="1687"/>
        <w:gridCol w:w="1363"/>
        <w:gridCol w:w="1575"/>
        <w:gridCol w:w="1237"/>
        <w:gridCol w:w="950"/>
        <w:gridCol w:w="12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922" w:type="dxa"/>
            <w:vAlign w:val="center"/>
          </w:tcPr>
          <w:p>
            <w:pPr>
              <w:spacing w:line="360" w:lineRule="auto"/>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序号</w:t>
            </w:r>
          </w:p>
        </w:tc>
        <w:tc>
          <w:tcPr>
            <w:tcW w:w="1478" w:type="dxa"/>
          </w:tcPr>
          <w:p>
            <w:pPr>
              <w:spacing w:line="360" w:lineRule="auto"/>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项目名称及合同金额</w:t>
            </w:r>
          </w:p>
        </w:tc>
        <w:tc>
          <w:tcPr>
            <w:tcW w:w="1687" w:type="dxa"/>
            <w:vAlign w:val="center"/>
          </w:tcPr>
          <w:p>
            <w:pPr>
              <w:spacing w:line="360" w:lineRule="auto"/>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设备品牌型号</w:t>
            </w:r>
          </w:p>
        </w:tc>
        <w:tc>
          <w:tcPr>
            <w:tcW w:w="1363" w:type="dxa"/>
            <w:vAlign w:val="center"/>
          </w:tcPr>
          <w:p>
            <w:pPr>
              <w:spacing w:line="360" w:lineRule="auto"/>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配套情况</w:t>
            </w:r>
          </w:p>
        </w:tc>
        <w:tc>
          <w:tcPr>
            <w:tcW w:w="1575" w:type="dxa"/>
            <w:vAlign w:val="center"/>
          </w:tcPr>
          <w:p>
            <w:pPr>
              <w:spacing w:line="400" w:lineRule="exact"/>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中标/成交</w:t>
            </w:r>
          </w:p>
          <w:p>
            <w:pPr>
              <w:spacing w:line="400" w:lineRule="exact"/>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时间</w:t>
            </w:r>
          </w:p>
        </w:tc>
        <w:tc>
          <w:tcPr>
            <w:tcW w:w="1237" w:type="dxa"/>
            <w:vAlign w:val="center"/>
          </w:tcPr>
          <w:p>
            <w:pPr>
              <w:spacing w:line="360" w:lineRule="auto"/>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用户单位</w:t>
            </w:r>
          </w:p>
        </w:tc>
        <w:tc>
          <w:tcPr>
            <w:tcW w:w="950" w:type="dxa"/>
            <w:vAlign w:val="center"/>
          </w:tcPr>
          <w:p>
            <w:pPr>
              <w:spacing w:line="360" w:lineRule="auto"/>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用户代表</w:t>
            </w:r>
          </w:p>
        </w:tc>
        <w:tc>
          <w:tcPr>
            <w:tcW w:w="1250" w:type="dxa"/>
            <w:vAlign w:val="center"/>
          </w:tcPr>
          <w:p>
            <w:pPr>
              <w:spacing w:line="360" w:lineRule="auto"/>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手机与办公电话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22" w:type="dxa"/>
            <w:vAlign w:val="center"/>
          </w:tcPr>
          <w:p>
            <w:pPr>
              <w:spacing w:line="360" w:lineRule="auto"/>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w:t>
            </w:r>
          </w:p>
        </w:tc>
        <w:tc>
          <w:tcPr>
            <w:tcW w:w="1478" w:type="dxa"/>
          </w:tcPr>
          <w:p>
            <w:pPr>
              <w:spacing w:line="360" w:lineRule="auto"/>
              <w:jc w:val="center"/>
              <w:rPr>
                <w:rFonts w:asciiTheme="minorEastAsia" w:hAnsiTheme="minorEastAsia" w:eastAsiaTheme="minorEastAsia" w:cstheme="minorEastAsia"/>
                <w:sz w:val="22"/>
                <w:szCs w:val="22"/>
              </w:rPr>
            </w:pPr>
          </w:p>
        </w:tc>
        <w:tc>
          <w:tcPr>
            <w:tcW w:w="1687" w:type="dxa"/>
            <w:vAlign w:val="center"/>
          </w:tcPr>
          <w:p>
            <w:pPr>
              <w:spacing w:line="360" w:lineRule="auto"/>
              <w:jc w:val="center"/>
              <w:rPr>
                <w:rFonts w:asciiTheme="minorEastAsia" w:hAnsiTheme="minorEastAsia" w:eastAsiaTheme="minorEastAsia" w:cstheme="minorEastAsia"/>
                <w:sz w:val="22"/>
                <w:szCs w:val="22"/>
              </w:rPr>
            </w:pPr>
          </w:p>
        </w:tc>
        <w:tc>
          <w:tcPr>
            <w:tcW w:w="1363" w:type="dxa"/>
            <w:vAlign w:val="center"/>
          </w:tcPr>
          <w:p>
            <w:pPr>
              <w:spacing w:line="360" w:lineRule="auto"/>
              <w:jc w:val="center"/>
              <w:rPr>
                <w:rFonts w:asciiTheme="minorEastAsia" w:hAnsiTheme="minorEastAsia" w:eastAsiaTheme="minorEastAsia" w:cstheme="minorEastAsia"/>
                <w:sz w:val="22"/>
                <w:szCs w:val="22"/>
              </w:rPr>
            </w:pPr>
          </w:p>
        </w:tc>
        <w:tc>
          <w:tcPr>
            <w:tcW w:w="1575" w:type="dxa"/>
            <w:vAlign w:val="center"/>
          </w:tcPr>
          <w:p>
            <w:pPr>
              <w:spacing w:line="360" w:lineRule="auto"/>
              <w:jc w:val="center"/>
              <w:rPr>
                <w:rFonts w:asciiTheme="minorEastAsia" w:hAnsiTheme="minorEastAsia" w:eastAsiaTheme="minorEastAsia" w:cstheme="minorEastAsia"/>
                <w:sz w:val="22"/>
                <w:szCs w:val="22"/>
              </w:rPr>
            </w:pPr>
          </w:p>
        </w:tc>
        <w:tc>
          <w:tcPr>
            <w:tcW w:w="1237" w:type="dxa"/>
            <w:vAlign w:val="center"/>
          </w:tcPr>
          <w:p>
            <w:pPr>
              <w:spacing w:line="360" w:lineRule="auto"/>
              <w:jc w:val="center"/>
              <w:rPr>
                <w:rFonts w:asciiTheme="minorEastAsia" w:hAnsiTheme="minorEastAsia" w:eastAsiaTheme="minorEastAsia" w:cstheme="minorEastAsia"/>
                <w:sz w:val="22"/>
                <w:szCs w:val="22"/>
              </w:rPr>
            </w:pPr>
          </w:p>
        </w:tc>
        <w:tc>
          <w:tcPr>
            <w:tcW w:w="950" w:type="dxa"/>
            <w:vAlign w:val="center"/>
          </w:tcPr>
          <w:p>
            <w:pPr>
              <w:spacing w:line="360" w:lineRule="auto"/>
              <w:jc w:val="center"/>
              <w:rPr>
                <w:rFonts w:asciiTheme="minorEastAsia" w:hAnsiTheme="minorEastAsia" w:eastAsiaTheme="minorEastAsia" w:cstheme="minorEastAsia"/>
                <w:sz w:val="22"/>
                <w:szCs w:val="22"/>
              </w:rPr>
            </w:pPr>
          </w:p>
        </w:tc>
        <w:tc>
          <w:tcPr>
            <w:tcW w:w="1250" w:type="dxa"/>
            <w:vAlign w:val="center"/>
          </w:tcPr>
          <w:p>
            <w:pPr>
              <w:spacing w:line="360" w:lineRule="auto"/>
              <w:jc w:val="center"/>
              <w:rPr>
                <w:rFonts w:asciiTheme="minorEastAsia" w:hAnsiTheme="minorEastAsia" w:eastAsiaTheme="minorEastAsia" w:cstheme="minorEastAsia"/>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22" w:type="dxa"/>
            <w:vAlign w:val="center"/>
          </w:tcPr>
          <w:p>
            <w:pPr>
              <w:spacing w:line="360" w:lineRule="auto"/>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w:t>
            </w:r>
          </w:p>
        </w:tc>
        <w:tc>
          <w:tcPr>
            <w:tcW w:w="1478" w:type="dxa"/>
          </w:tcPr>
          <w:p>
            <w:pPr>
              <w:spacing w:line="360" w:lineRule="auto"/>
              <w:jc w:val="center"/>
              <w:rPr>
                <w:rFonts w:asciiTheme="minorEastAsia" w:hAnsiTheme="minorEastAsia" w:eastAsiaTheme="minorEastAsia" w:cstheme="minorEastAsia"/>
                <w:sz w:val="22"/>
                <w:szCs w:val="22"/>
              </w:rPr>
            </w:pPr>
          </w:p>
        </w:tc>
        <w:tc>
          <w:tcPr>
            <w:tcW w:w="1687" w:type="dxa"/>
            <w:vAlign w:val="center"/>
          </w:tcPr>
          <w:p>
            <w:pPr>
              <w:spacing w:line="360" w:lineRule="auto"/>
              <w:jc w:val="center"/>
              <w:rPr>
                <w:rFonts w:asciiTheme="minorEastAsia" w:hAnsiTheme="minorEastAsia" w:eastAsiaTheme="minorEastAsia" w:cstheme="minorEastAsia"/>
                <w:sz w:val="22"/>
                <w:szCs w:val="22"/>
              </w:rPr>
            </w:pPr>
          </w:p>
        </w:tc>
        <w:tc>
          <w:tcPr>
            <w:tcW w:w="1363" w:type="dxa"/>
            <w:vAlign w:val="center"/>
          </w:tcPr>
          <w:p>
            <w:pPr>
              <w:spacing w:line="360" w:lineRule="auto"/>
              <w:jc w:val="center"/>
              <w:rPr>
                <w:rFonts w:asciiTheme="minorEastAsia" w:hAnsiTheme="minorEastAsia" w:eastAsiaTheme="minorEastAsia" w:cstheme="minorEastAsia"/>
                <w:sz w:val="22"/>
                <w:szCs w:val="22"/>
              </w:rPr>
            </w:pPr>
          </w:p>
        </w:tc>
        <w:tc>
          <w:tcPr>
            <w:tcW w:w="1575" w:type="dxa"/>
            <w:vAlign w:val="center"/>
          </w:tcPr>
          <w:p>
            <w:pPr>
              <w:spacing w:line="360" w:lineRule="auto"/>
              <w:jc w:val="center"/>
              <w:rPr>
                <w:rFonts w:asciiTheme="minorEastAsia" w:hAnsiTheme="minorEastAsia" w:eastAsiaTheme="minorEastAsia" w:cstheme="minorEastAsia"/>
                <w:sz w:val="22"/>
                <w:szCs w:val="22"/>
              </w:rPr>
            </w:pPr>
          </w:p>
        </w:tc>
        <w:tc>
          <w:tcPr>
            <w:tcW w:w="1237" w:type="dxa"/>
            <w:vAlign w:val="center"/>
          </w:tcPr>
          <w:p>
            <w:pPr>
              <w:spacing w:line="360" w:lineRule="auto"/>
              <w:jc w:val="center"/>
              <w:rPr>
                <w:rFonts w:asciiTheme="minorEastAsia" w:hAnsiTheme="minorEastAsia" w:eastAsiaTheme="minorEastAsia" w:cstheme="minorEastAsia"/>
                <w:sz w:val="22"/>
                <w:szCs w:val="22"/>
              </w:rPr>
            </w:pPr>
          </w:p>
        </w:tc>
        <w:tc>
          <w:tcPr>
            <w:tcW w:w="950" w:type="dxa"/>
            <w:vAlign w:val="center"/>
          </w:tcPr>
          <w:p>
            <w:pPr>
              <w:spacing w:line="360" w:lineRule="auto"/>
              <w:jc w:val="center"/>
              <w:rPr>
                <w:rFonts w:asciiTheme="minorEastAsia" w:hAnsiTheme="minorEastAsia" w:eastAsiaTheme="minorEastAsia" w:cstheme="minorEastAsia"/>
                <w:sz w:val="22"/>
                <w:szCs w:val="22"/>
              </w:rPr>
            </w:pPr>
          </w:p>
        </w:tc>
        <w:tc>
          <w:tcPr>
            <w:tcW w:w="1250" w:type="dxa"/>
            <w:vAlign w:val="center"/>
          </w:tcPr>
          <w:p>
            <w:pPr>
              <w:spacing w:line="360" w:lineRule="auto"/>
              <w:jc w:val="center"/>
              <w:rPr>
                <w:rFonts w:asciiTheme="minorEastAsia" w:hAnsiTheme="minorEastAsia" w:eastAsiaTheme="minorEastAsia" w:cstheme="minorEastAsia"/>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22" w:type="dxa"/>
            <w:vAlign w:val="center"/>
          </w:tcPr>
          <w:p>
            <w:pPr>
              <w:spacing w:line="360" w:lineRule="auto"/>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w:t>
            </w:r>
          </w:p>
        </w:tc>
        <w:tc>
          <w:tcPr>
            <w:tcW w:w="1478" w:type="dxa"/>
          </w:tcPr>
          <w:p>
            <w:pPr>
              <w:spacing w:line="360" w:lineRule="auto"/>
              <w:jc w:val="center"/>
              <w:rPr>
                <w:rFonts w:asciiTheme="minorEastAsia" w:hAnsiTheme="minorEastAsia" w:eastAsiaTheme="minorEastAsia" w:cstheme="minorEastAsia"/>
                <w:sz w:val="22"/>
                <w:szCs w:val="22"/>
              </w:rPr>
            </w:pPr>
          </w:p>
        </w:tc>
        <w:tc>
          <w:tcPr>
            <w:tcW w:w="1687" w:type="dxa"/>
            <w:vAlign w:val="center"/>
          </w:tcPr>
          <w:p>
            <w:pPr>
              <w:spacing w:line="360" w:lineRule="auto"/>
              <w:jc w:val="center"/>
              <w:rPr>
                <w:rFonts w:asciiTheme="minorEastAsia" w:hAnsiTheme="minorEastAsia" w:eastAsiaTheme="minorEastAsia" w:cstheme="minorEastAsia"/>
                <w:sz w:val="22"/>
                <w:szCs w:val="22"/>
              </w:rPr>
            </w:pPr>
          </w:p>
        </w:tc>
        <w:tc>
          <w:tcPr>
            <w:tcW w:w="1363" w:type="dxa"/>
            <w:vAlign w:val="center"/>
          </w:tcPr>
          <w:p>
            <w:pPr>
              <w:spacing w:line="360" w:lineRule="auto"/>
              <w:jc w:val="center"/>
              <w:rPr>
                <w:rFonts w:asciiTheme="minorEastAsia" w:hAnsiTheme="minorEastAsia" w:eastAsiaTheme="minorEastAsia" w:cstheme="minorEastAsia"/>
                <w:sz w:val="22"/>
                <w:szCs w:val="22"/>
              </w:rPr>
            </w:pPr>
          </w:p>
        </w:tc>
        <w:tc>
          <w:tcPr>
            <w:tcW w:w="1575" w:type="dxa"/>
            <w:vAlign w:val="center"/>
          </w:tcPr>
          <w:p>
            <w:pPr>
              <w:spacing w:line="360" w:lineRule="auto"/>
              <w:jc w:val="center"/>
              <w:rPr>
                <w:rFonts w:asciiTheme="minorEastAsia" w:hAnsiTheme="minorEastAsia" w:eastAsiaTheme="minorEastAsia" w:cstheme="minorEastAsia"/>
                <w:sz w:val="22"/>
                <w:szCs w:val="22"/>
              </w:rPr>
            </w:pPr>
          </w:p>
        </w:tc>
        <w:tc>
          <w:tcPr>
            <w:tcW w:w="1237" w:type="dxa"/>
            <w:vAlign w:val="center"/>
          </w:tcPr>
          <w:p>
            <w:pPr>
              <w:spacing w:line="360" w:lineRule="auto"/>
              <w:jc w:val="center"/>
              <w:rPr>
                <w:rFonts w:asciiTheme="minorEastAsia" w:hAnsiTheme="minorEastAsia" w:eastAsiaTheme="minorEastAsia" w:cstheme="minorEastAsia"/>
                <w:sz w:val="22"/>
                <w:szCs w:val="22"/>
              </w:rPr>
            </w:pPr>
          </w:p>
        </w:tc>
        <w:tc>
          <w:tcPr>
            <w:tcW w:w="950" w:type="dxa"/>
            <w:vAlign w:val="center"/>
          </w:tcPr>
          <w:p>
            <w:pPr>
              <w:spacing w:line="360" w:lineRule="auto"/>
              <w:jc w:val="center"/>
              <w:rPr>
                <w:rFonts w:asciiTheme="minorEastAsia" w:hAnsiTheme="minorEastAsia" w:eastAsiaTheme="minorEastAsia" w:cstheme="minorEastAsia"/>
                <w:sz w:val="22"/>
                <w:szCs w:val="22"/>
              </w:rPr>
            </w:pPr>
          </w:p>
        </w:tc>
        <w:tc>
          <w:tcPr>
            <w:tcW w:w="1250" w:type="dxa"/>
            <w:vAlign w:val="center"/>
          </w:tcPr>
          <w:p>
            <w:pPr>
              <w:spacing w:line="360" w:lineRule="auto"/>
              <w:jc w:val="center"/>
              <w:rPr>
                <w:rFonts w:asciiTheme="minorEastAsia" w:hAnsiTheme="minorEastAsia" w:eastAsiaTheme="minorEastAsia" w:cstheme="minorEastAsia"/>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22" w:type="dxa"/>
            <w:vAlign w:val="center"/>
          </w:tcPr>
          <w:p>
            <w:pPr>
              <w:spacing w:line="360" w:lineRule="auto"/>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w:t>
            </w:r>
          </w:p>
        </w:tc>
        <w:tc>
          <w:tcPr>
            <w:tcW w:w="1478" w:type="dxa"/>
          </w:tcPr>
          <w:p>
            <w:pPr>
              <w:spacing w:line="360" w:lineRule="auto"/>
              <w:jc w:val="center"/>
              <w:rPr>
                <w:rFonts w:asciiTheme="minorEastAsia" w:hAnsiTheme="minorEastAsia" w:eastAsiaTheme="minorEastAsia" w:cstheme="minorEastAsia"/>
                <w:sz w:val="22"/>
                <w:szCs w:val="22"/>
              </w:rPr>
            </w:pPr>
          </w:p>
        </w:tc>
        <w:tc>
          <w:tcPr>
            <w:tcW w:w="1687" w:type="dxa"/>
            <w:vAlign w:val="center"/>
          </w:tcPr>
          <w:p>
            <w:pPr>
              <w:spacing w:line="360" w:lineRule="auto"/>
              <w:jc w:val="center"/>
              <w:rPr>
                <w:rFonts w:asciiTheme="minorEastAsia" w:hAnsiTheme="minorEastAsia" w:eastAsiaTheme="minorEastAsia" w:cstheme="minorEastAsia"/>
                <w:sz w:val="22"/>
                <w:szCs w:val="22"/>
              </w:rPr>
            </w:pPr>
          </w:p>
        </w:tc>
        <w:tc>
          <w:tcPr>
            <w:tcW w:w="1363" w:type="dxa"/>
            <w:vAlign w:val="center"/>
          </w:tcPr>
          <w:p>
            <w:pPr>
              <w:spacing w:line="360" w:lineRule="auto"/>
              <w:jc w:val="center"/>
              <w:rPr>
                <w:rFonts w:asciiTheme="minorEastAsia" w:hAnsiTheme="minorEastAsia" w:eastAsiaTheme="minorEastAsia" w:cstheme="minorEastAsia"/>
                <w:sz w:val="22"/>
                <w:szCs w:val="22"/>
              </w:rPr>
            </w:pPr>
          </w:p>
        </w:tc>
        <w:tc>
          <w:tcPr>
            <w:tcW w:w="1575" w:type="dxa"/>
            <w:vAlign w:val="center"/>
          </w:tcPr>
          <w:p>
            <w:pPr>
              <w:spacing w:line="360" w:lineRule="auto"/>
              <w:jc w:val="center"/>
              <w:rPr>
                <w:rFonts w:asciiTheme="minorEastAsia" w:hAnsiTheme="minorEastAsia" w:eastAsiaTheme="minorEastAsia" w:cstheme="minorEastAsia"/>
                <w:sz w:val="22"/>
                <w:szCs w:val="22"/>
              </w:rPr>
            </w:pPr>
          </w:p>
        </w:tc>
        <w:tc>
          <w:tcPr>
            <w:tcW w:w="1237" w:type="dxa"/>
            <w:vAlign w:val="center"/>
          </w:tcPr>
          <w:p>
            <w:pPr>
              <w:spacing w:line="360" w:lineRule="auto"/>
              <w:jc w:val="center"/>
              <w:rPr>
                <w:rFonts w:asciiTheme="minorEastAsia" w:hAnsiTheme="minorEastAsia" w:eastAsiaTheme="minorEastAsia" w:cstheme="minorEastAsia"/>
                <w:sz w:val="22"/>
                <w:szCs w:val="22"/>
              </w:rPr>
            </w:pPr>
          </w:p>
        </w:tc>
        <w:tc>
          <w:tcPr>
            <w:tcW w:w="950" w:type="dxa"/>
            <w:vAlign w:val="center"/>
          </w:tcPr>
          <w:p>
            <w:pPr>
              <w:spacing w:line="360" w:lineRule="auto"/>
              <w:jc w:val="center"/>
              <w:rPr>
                <w:rFonts w:asciiTheme="minorEastAsia" w:hAnsiTheme="minorEastAsia" w:eastAsiaTheme="minorEastAsia" w:cstheme="minorEastAsia"/>
                <w:sz w:val="22"/>
                <w:szCs w:val="22"/>
              </w:rPr>
            </w:pPr>
          </w:p>
        </w:tc>
        <w:tc>
          <w:tcPr>
            <w:tcW w:w="1250" w:type="dxa"/>
            <w:vAlign w:val="center"/>
          </w:tcPr>
          <w:p>
            <w:pPr>
              <w:spacing w:line="360" w:lineRule="auto"/>
              <w:jc w:val="center"/>
              <w:rPr>
                <w:rFonts w:asciiTheme="minorEastAsia" w:hAnsiTheme="minorEastAsia" w:eastAsiaTheme="minorEastAsia" w:cstheme="minorEastAsia"/>
                <w:sz w:val="22"/>
                <w:szCs w:val="22"/>
              </w:rPr>
            </w:pPr>
          </w:p>
        </w:tc>
      </w:tr>
    </w:tbl>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投标人（全称并加盖公章）：</w:t>
      </w: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投标代表签字：</w:t>
      </w: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日 期：      年   月  日</w:t>
      </w: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p>
    <w:p>
      <w:pPr>
        <w:spacing w:line="46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注：1.须提供合同复印件，合同须提供首页、标的物所在页、数量金额页及签字盖章页，若签字盖章页没有用户单位电话的，须提供电话供查询（原件备查）。</w:t>
      </w:r>
    </w:p>
    <w:p>
      <w:pPr>
        <w:spacing w:line="460" w:lineRule="exact"/>
        <w:jc w:val="both"/>
        <w:rPr>
          <w:rFonts w:asciiTheme="minorEastAsia" w:hAnsiTheme="minorEastAsia" w:eastAsiaTheme="minorEastAsia" w:cstheme="minorEastAsia"/>
        </w:rPr>
      </w:pPr>
      <w:r>
        <w:rPr>
          <w:rFonts w:hint="eastAsia" w:asciiTheme="minorEastAsia" w:hAnsiTheme="minorEastAsia" w:eastAsiaTheme="minorEastAsia" w:cstheme="minorEastAsia"/>
        </w:rPr>
        <w:t xml:space="preserve">    2.供应商提供的证明材料的复印件须页面清晰、完整、有效，并加盖公章，否则无效。</w:t>
      </w: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p>
    <w:p>
      <w:pPr>
        <w:pStyle w:val="2"/>
      </w:pPr>
    </w:p>
    <w:p/>
    <w:p>
      <w:pPr>
        <w:pStyle w:val="2"/>
      </w:pPr>
    </w:p>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 xml:space="preserve">十一、中小企业情况说明 </w:t>
      </w:r>
    </w:p>
    <w:p>
      <w:pPr>
        <w:rPr>
          <w:rFonts w:asciiTheme="minorEastAsia" w:hAnsiTheme="minorEastAsia" w:eastAsiaTheme="minorEastAsia" w:cstheme="minorEastAsia"/>
        </w:rPr>
      </w:pPr>
    </w:p>
    <w:p>
      <w:pPr>
        <w:rPr>
          <w:rFonts w:asciiTheme="minorEastAsia" w:hAnsiTheme="minorEastAsia" w:eastAsiaTheme="minorEastAsia" w:cstheme="minorEastAsia"/>
        </w:rPr>
      </w:pPr>
      <w:r>
        <w:rPr>
          <w:rFonts w:hint="eastAsia" w:asciiTheme="minorEastAsia" w:hAnsiTheme="minorEastAsia" w:eastAsiaTheme="minorEastAsia" w:cstheme="minorEastAsia"/>
        </w:rPr>
        <w:t>1</w:t>
      </w:r>
      <w:r>
        <w:rPr>
          <w:rFonts w:asciiTheme="minorEastAsia" w:hAnsiTheme="minorEastAsia" w:eastAsiaTheme="minorEastAsia" w:cstheme="minorEastAsia"/>
        </w:rPr>
        <w:t>0</w:t>
      </w:r>
      <w:r>
        <w:rPr>
          <w:rFonts w:hint="eastAsia" w:asciiTheme="minorEastAsia" w:hAnsiTheme="minorEastAsia" w:eastAsiaTheme="minorEastAsia" w:cstheme="minorEastAsia"/>
        </w:rPr>
        <w:t>-1中小企业声明函</w:t>
      </w:r>
    </w:p>
    <w:p>
      <w:pPr>
        <w:spacing w:line="460" w:lineRule="exact"/>
        <w:jc w:val="center"/>
        <w:rPr>
          <w:rFonts w:asciiTheme="minorEastAsia" w:hAnsiTheme="minorEastAsia" w:eastAsiaTheme="minorEastAsia" w:cstheme="minorEastAsia"/>
          <w:b/>
        </w:rPr>
      </w:pPr>
      <w:r>
        <w:rPr>
          <w:rFonts w:hint="eastAsia" w:asciiTheme="minorEastAsia" w:hAnsiTheme="minorEastAsia" w:eastAsiaTheme="minorEastAsia" w:cstheme="minorEastAsia"/>
          <w:b/>
        </w:rPr>
        <w:t>中小企业声明函（货物）</w:t>
      </w:r>
    </w:p>
    <w:p>
      <w:pPr>
        <w:spacing w:line="3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本公司（联合体）郑重声明，根据《政府采购促进中小企业发展管理办法》（财库﹝2020﹞46 号）的规定，本公司（联合体）参加 （单位名称） 的 （项目名称） 采购活动，提供的货物全部由符合政策要求的中小企业制造。相关企业（含联合体中的中小企业、签订分包意向协议的中小企业）的具体情况如下：</w:t>
      </w:r>
    </w:p>
    <w:p>
      <w:pPr>
        <w:spacing w:line="36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1.</w:t>
      </w:r>
      <w:r>
        <w:rPr>
          <w:rFonts w:hint="eastAsia" w:asciiTheme="minorEastAsia" w:hAnsiTheme="minorEastAsia" w:eastAsiaTheme="minorEastAsia" w:cstheme="minorEastAsia"/>
          <w:u w:val="single"/>
        </w:rPr>
        <w:t xml:space="preserve"> （标的名称） </w:t>
      </w:r>
      <w:r>
        <w:rPr>
          <w:rFonts w:hint="eastAsia" w:asciiTheme="minorEastAsia" w:hAnsiTheme="minorEastAsia" w:eastAsiaTheme="minorEastAsia" w:cstheme="minorEastAsia"/>
        </w:rPr>
        <w:t>，属于 （采购文件中明确的所属行业）行业 ；制造商为 （企业名称） ，从业人员____人，营业收入为____万元，资产总额为____万元，属于 （中型企业、小型企业、微型企业）____；</w:t>
      </w:r>
    </w:p>
    <w:p>
      <w:pPr>
        <w:spacing w:line="36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 xml:space="preserve">2. </w:t>
      </w:r>
      <w:r>
        <w:rPr>
          <w:rFonts w:hint="eastAsia" w:asciiTheme="minorEastAsia" w:hAnsiTheme="minorEastAsia" w:eastAsiaTheme="minorEastAsia" w:cstheme="minorEastAsia"/>
          <w:u w:val="single"/>
        </w:rPr>
        <w:t xml:space="preserve">（标的名称） </w:t>
      </w:r>
      <w:r>
        <w:rPr>
          <w:rFonts w:hint="eastAsia" w:asciiTheme="minorEastAsia" w:hAnsiTheme="minorEastAsia" w:eastAsiaTheme="minorEastAsia" w:cstheme="minorEastAsia"/>
        </w:rPr>
        <w:t>，属于 （采购文件中明确的所属行业）行业 ；制造商为 （企业名称） ，从业人员____人，营业收入为____万元，资产总额为____万元，属于 （中型企业、小型企业、微型企业）____ ；</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w:t>
      </w:r>
    </w:p>
    <w:p>
      <w:pPr>
        <w:spacing w:line="36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以上企业，不属于大企业的分支机构，不存在控股股东为大企业的情形，也不存在与大企业的负责人为同一人的情形。</w:t>
      </w:r>
    </w:p>
    <w:p>
      <w:pPr>
        <w:spacing w:line="3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本企业对上述声明内容的真实性负责。如有虚假，将依法承担相应责任。</w:t>
      </w:r>
    </w:p>
    <w:p>
      <w:pPr>
        <w:spacing w:line="360" w:lineRule="exact"/>
        <w:rPr>
          <w:rFonts w:asciiTheme="minorEastAsia" w:hAnsiTheme="minorEastAsia" w:eastAsiaTheme="minorEastAsia" w:cstheme="minorEastAsia"/>
        </w:rPr>
      </w:pPr>
    </w:p>
    <w:p>
      <w:pPr>
        <w:spacing w:line="360" w:lineRule="exact"/>
        <w:rPr>
          <w:rFonts w:asciiTheme="minorEastAsia" w:hAnsiTheme="minorEastAsia" w:eastAsiaTheme="minorEastAsia" w:cstheme="minorEastAsia"/>
        </w:rPr>
      </w:pP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企业名称（盖章）：</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日 期：</w:t>
      </w:r>
    </w:p>
    <w:p>
      <w:pPr>
        <w:spacing w:line="360" w:lineRule="exact"/>
        <w:rPr>
          <w:rFonts w:asciiTheme="minorEastAsia" w:hAnsiTheme="minorEastAsia" w:eastAsiaTheme="minorEastAsia" w:cstheme="minorEastAsia"/>
        </w:rPr>
      </w:pP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说明：</w:t>
      </w:r>
    </w:p>
    <w:p>
      <w:pPr>
        <w:spacing w:line="36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1.从业人员、营业收入、资产总额填报上一年度数据，无上一年度数据的新成立企业可不填报。</w:t>
      </w:r>
    </w:p>
    <w:p>
      <w:pPr>
        <w:spacing w:line="36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2.残疾人福利性单位（须附残疾人福利性单位声明函）、监狱企业（须附省级以上监狱管理局、戒毒管理局（含新疆生产建设兵团）出具的属于监狱企业的证明文件）视同小微企业填报本声明函。</w:t>
      </w:r>
    </w:p>
    <w:p>
      <w:pPr>
        <w:spacing w:line="36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3.本声明函仅填写由中小微制造商（企业）提货物（标的物）的情况，如某项货物（标的物）为大型制造商（企业）提供，相关标的内容无需填写。</w:t>
      </w:r>
    </w:p>
    <w:p>
      <w:pPr>
        <w:spacing w:line="36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4.投标人可根据《工业和信息化部、国家统计局、国家发展和改革委员会、财政部关于印发中小企业划型标准规定的通知》（工信部联企业[2011]300号）确定企业类型，也可通过国务院客户端或工业和信息化部网站的“中小企业规模类型自测小程序：</w:t>
      </w:r>
    </w:p>
    <w:p>
      <w:pPr>
        <w:spacing w:line="360" w:lineRule="exact"/>
        <w:jc w:val="both"/>
        <w:rPr>
          <w:rFonts w:asciiTheme="minorEastAsia" w:hAnsiTheme="minorEastAsia" w:eastAsiaTheme="minorEastAsia" w:cstheme="minorEastAsia"/>
        </w:rPr>
      </w:pPr>
      <w:r>
        <w:rPr>
          <w:rFonts w:hint="eastAsia" w:asciiTheme="minorEastAsia" w:hAnsiTheme="minorEastAsia" w:eastAsiaTheme="minorEastAsia" w:cstheme="minorEastAsia"/>
        </w:rPr>
        <w:t>http://202.106.120.146/baosong/appweb/orgScale.html”查询企业类型。</w:t>
      </w:r>
    </w:p>
    <w:p>
      <w:pPr>
        <w:jc w:val="both"/>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r>
        <w:rPr>
          <w:rFonts w:hint="eastAsia" w:asciiTheme="minorEastAsia" w:hAnsiTheme="minorEastAsia" w:eastAsiaTheme="minorEastAsia" w:cstheme="minorEastAsia"/>
        </w:rPr>
        <w:t>1</w:t>
      </w:r>
      <w:r>
        <w:rPr>
          <w:rFonts w:asciiTheme="minorEastAsia" w:hAnsiTheme="minorEastAsia" w:eastAsiaTheme="minorEastAsia" w:cstheme="minorEastAsia"/>
        </w:rPr>
        <w:t>0-</w:t>
      </w:r>
      <w:r>
        <w:rPr>
          <w:rFonts w:hint="eastAsia" w:asciiTheme="minorEastAsia" w:hAnsiTheme="minorEastAsia" w:eastAsiaTheme="minorEastAsia" w:cstheme="minorEastAsia"/>
        </w:rPr>
        <w:t>2、监狱企业声明函（投标文件格式）</w:t>
      </w:r>
    </w:p>
    <w:p>
      <w:pPr>
        <w:spacing w:line="460" w:lineRule="exact"/>
        <w:ind w:firstLine="480" w:firstLineChars="200"/>
        <w:rPr>
          <w:rFonts w:asciiTheme="minorEastAsia" w:hAnsiTheme="minorEastAsia" w:eastAsiaTheme="minorEastAsia" w:cstheme="minorEastAsia"/>
        </w:rPr>
      </w:pPr>
    </w:p>
    <w:p>
      <w:pPr>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本企业（单位）郑重声明下列事项： </w:t>
      </w:r>
    </w:p>
    <w:p>
      <w:pPr>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本企业（单位）为直接投标人提供本企业（单位）制造的货物____________。 </w:t>
      </w:r>
    </w:p>
    <w:p>
      <w:pPr>
        <w:spacing w:line="46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 xml:space="preserve">（1）本企业（单位）____ （请填写：是、不是）监狱企业。后附省级以上监狱管理局、戒毒管理局（含新疆生产建设兵团）出具的属于监狱企业的证明文件（复印件加盖公章）。 </w:t>
      </w:r>
    </w:p>
    <w:p>
      <w:pPr>
        <w:spacing w:line="46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（2）本企业（单位）____ （请填写：是、不是）为联合体一方，提供本企业（单位）制造的货物（由本单位承担工程/提供服务）____。</w:t>
      </w:r>
    </w:p>
    <w:p>
      <w:pPr>
        <w:spacing w:line="460" w:lineRule="exact"/>
        <w:ind w:firstLine="480" w:firstLineChars="200"/>
        <w:rPr>
          <w:rFonts w:asciiTheme="minorEastAsia" w:hAnsiTheme="minorEastAsia" w:eastAsiaTheme="minorEastAsia" w:cstheme="minorEastAsia"/>
        </w:rPr>
      </w:pPr>
    </w:p>
    <w:p>
      <w:pPr>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本企业（单位）对上述声明的真实性负责。如有虚假，将依法承担相应责任。 </w:t>
      </w:r>
    </w:p>
    <w:p>
      <w:pPr>
        <w:spacing w:line="460" w:lineRule="exact"/>
        <w:ind w:firstLine="480" w:firstLineChars="200"/>
        <w:rPr>
          <w:rFonts w:asciiTheme="minorEastAsia" w:hAnsiTheme="minorEastAsia" w:eastAsiaTheme="minorEastAsia" w:cstheme="minorEastAsia"/>
        </w:rPr>
      </w:pPr>
    </w:p>
    <w:p>
      <w:pPr>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 xml:space="preserve">企业名称（盖章）：__________ 日期：____年____月____日 </w:t>
      </w:r>
    </w:p>
    <w:p>
      <w:pPr>
        <w:spacing w:line="460" w:lineRule="exact"/>
        <w:ind w:firstLine="480" w:firstLineChars="200"/>
        <w:rPr>
          <w:rFonts w:asciiTheme="minorEastAsia" w:hAnsiTheme="minorEastAsia" w:eastAsiaTheme="minorEastAsia" w:cstheme="minorEastAsia"/>
        </w:rPr>
      </w:pPr>
    </w:p>
    <w:p>
      <w:pPr>
        <w:spacing w:line="460" w:lineRule="exact"/>
        <w:ind w:firstLine="480" w:firstLineChars="200"/>
        <w:rPr>
          <w:rFonts w:asciiTheme="minorEastAsia" w:hAnsiTheme="minorEastAsia" w:eastAsiaTheme="minorEastAsia" w:cstheme="minorEastAsia"/>
        </w:rPr>
      </w:pPr>
    </w:p>
    <w:p>
      <w:pPr>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注：如不适用可注明不适用</w:t>
      </w:r>
    </w:p>
    <w:p>
      <w:pPr>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1</w:t>
      </w:r>
      <w:r>
        <w:rPr>
          <w:rFonts w:asciiTheme="minorEastAsia" w:hAnsiTheme="minorEastAsia" w:eastAsiaTheme="minorEastAsia" w:cstheme="minorEastAsia"/>
        </w:rPr>
        <w:t>0</w:t>
      </w:r>
      <w:r>
        <w:rPr>
          <w:rFonts w:hint="eastAsia" w:asciiTheme="minorEastAsia" w:hAnsiTheme="minorEastAsia" w:eastAsiaTheme="minorEastAsia" w:cstheme="minorEastAsia"/>
        </w:rPr>
        <w:t xml:space="preserve">-3、残疾人福利性单位声明函（投标文件格式） </w:t>
      </w:r>
    </w:p>
    <w:p>
      <w:pPr>
        <w:spacing w:line="460" w:lineRule="exact"/>
        <w:ind w:firstLine="480" w:firstLineChars="200"/>
        <w:rPr>
          <w:rFonts w:asciiTheme="minorEastAsia" w:hAnsiTheme="minorEastAsia" w:eastAsiaTheme="minorEastAsia" w:cstheme="minorEastAsia"/>
        </w:rPr>
      </w:pPr>
    </w:p>
    <w:p>
      <w:pPr>
        <w:spacing w:line="46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本单位郑重声明，根据《财政部 民政部 中国残疾人联合会关于促进残疾人就业政府采购政策的通知》（财库〔2017〕141 号）的规定，本单位为符合条件的残疾人福利性单位，且本单位参加______单位的______项目采购活动提供本单位制造的货物（由本单位承担工程/提供服务）____，或者提供其他残疾人福利性单位制造的货物（不包括使用非残疾人福利性单位注册商标的货物）____。 </w:t>
      </w:r>
    </w:p>
    <w:p>
      <w:pPr>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本单位对上述声明的真实性负责。如有虚假，将依法承担相应责任。 </w:t>
      </w:r>
    </w:p>
    <w:p>
      <w:pPr>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 xml:space="preserve">企业名称（盖章）：__________ 日期：____年____月____日 </w:t>
      </w:r>
    </w:p>
    <w:p>
      <w:pPr>
        <w:spacing w:line="460" w:lineRule="exact"/>
        <w:ind w:firstLine="480" w:firstLineChars="200"/>
        <w:rPr>
          <w:rFonts w:asciiTheme="minorEastAsia" w:hAnsiTheme="minorEastAsia" w:eastAsiaTheme="minorEastAsia" w:cstheme="minorEastAsia"/>
        </w:rPr>
      </w:pPr>
    </w:p>
    <w:p>
      <w:pPr>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注：如不适用可注明不适用</w:t>
      </w:r>
    </w:p>
    <w:p>
      <w:pPr>
        <w:pStyle w:val="6"/>
        <w:rPr>
          <w:rFonts w:asciiTheme="minorEastAsia" w:hAnsiTheme="minorEastAsia" w:eastAsiaTheme="minorEastAsia" w:cstheme="minorEastAsia"/>
        </w:rPr>
      </w:pPr>
    </w:p>
    <w:p>
      <w:pPr>
        <w:pStyle w:val="6"/>
        <w:rPr>
          <w:rFonts w:asciiTheme="minorEastAsia" w:hAnsiTheme="minorEastAsia" w:eastAsiaTheme="minorEastAsia" w:cstheme="minorEastAsia"/>
        </w:rPr>
        <w:sectPr>
          <w:pgSz w:w="11906" w:h="16838"/>
          <w:pgMar w:top="1418" w:right="1247" w:bottom="1247" w:left="1418" w:header="851" w:footer="851" w:gutter="0"/>
          <w:cols w:space="720" w:num="1"/>
          <w:docGrid w:linePitch="326" w:charSpace="0"/>
        </w:sectPr>
      </w:pP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十二、承诺书</w:t>
      </w:r>
    </w:p>
    <w:p>
      <w:pPr>
        <w:pStyle w:val="2"/>
        <w:ind w:firstLine="402" w:firstLineChars="200"/>
        <w:rPr>
          <w:rFonts w:asciiTheme="minorEastAsia" w:hAnsiTheme="minorEastAsia" w:eastAsiaTheme="minorEastAsia" w:cstheme="minorEastAsia"/>
          <w:b/>
          <w:bCs/>
        </w:rPr>
      </w:pPr>
    </w:p>
    <w:p>
      <w:pPr>
        <w:pStyle w:val="2"/>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致：西南大学</w:t>
      </w:r>
    </w:p>
    <w:p>
      <w:pPr>
        <w:pStyle w:val="2"/>
        <w:ind w:firstLine="422" w:firstLineChars="200"/>
        <w:jc w:val="both"/>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我方郑重承诺，所投本项目产品功能及用途：获得对应物质的核磁共振谱图；对液体、可溶性有机物、无机物、聚合物、生物物质、各类有机化合物、天然产物、药物分子、多糖、脂质、肽链、蛋白质的分子结构和分子间相互作用研究，以及生物学、有机化学、生物化学、药学等方面的结构分析和性能研究。</w:t>
      </w:r>
    </w:p>
    <w:p>
      <w:pPr>
        <w:spacing w:line="40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特此承诺！</w:t>
      </w:r>
    </w:p>
    <w:p>
      <w:pPr>
        <w:spacing w:line="400" w:lineRule="exact"/>
        <w:rPr>
          <w:rFonts w:asciiTheme="minorEastAsia" w:hAnsiTheme="minorEastAsia" w:eastAsiaTheme="minorEastAsia" w:cstheme="minorEastAsia"/>
          <w:sz w:val="21"/>
          <w:szCs w:val="21"/>
        </w:rPr>
      </w:pPr>
    </w:p>
    <w:p>
      <w:pPr>
        <w:spacing w:line="40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投标人(全称并加盖章)：</w:t>
      </w:r>
    </w:p>
    <w:p>
      <w:pPr>
        <w:spacing w:line="400" w:lineRule="exact"/>
        <w:rPr>
          <w:rFonts w:asciiTheme="minorEastAsia" w:hAnsiTheme="minorEastAsia" w:eastAsiaTheme="minorEastAsia" w:cstheme="minorEastAsia"/>
          <w:sz w:val="21"/>
          <w:szCs w:val="21"/>
        </w:rPr>
      </w:pPr>
    </w:p>
    <w:p>
      <w:pPr>
        <w:spacing w:line="40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法定代表人或授权代表签字：</w:t>
      </w:r>
    </w:p>
    <w:p>
      <w:pPr>
        <w:spacing w:line="400" w:lineRule="exact"/>
        <w:rPr>
          <w:rFonts w:asciiTheme="minorEastAsia" w:hAnsiTheme="minorEastAsia" w:eastAsiaTheme="minorEastAsia" w:cstheme="minorEastAsia"/>
          <w:sz w:val="21"/>
          <w:szCs w:val="21"/>
        </w:rPr>
      </w:pPr>
    </w:p>
    <w:p>
      <w:pPr>
        <w:spacing w:line="40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日 期：</w:t>
      </w:r>
    </w:p>
    <w:p>
      <w:pPr>
        <w:widowControl/>
        <w:tabs>
          <w:tab w:val="left" w:pos="1134"/>
        </w:tabs>
        <w:spacing w:line="400" w:lineRule="exact"/>
        <w:rPr>
          <w:rFonts w:asciiTheme="minorEastAsia" w:hAnsiTheme="minorEastAsia" w:eastAsiaTheme="minorEastAsia" w:cstheme="minorEastAsia"/>
          <w:sz w:val="21"/>
          <w:szCs w:val="21"/>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sectPr>
          <w:pgSz w:w="11906" w:h="16838"/>
          <w:pgMar w:top="1418" w:right="1247" w:bottom="1247" w:left="1418" w:header="851" w:footer="851" w:gutter="0"/>
          <w:cols w:space="720" w:num="1"/>
          <w:docGrid w:linePitch="326" w:charSpace="0"/>
        </w:sectPr>
      </w:pP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十三、其它材料</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(一) 经营许可证或产品销售许可证复印件加盖单位印章</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(二) 安全生产许可证复印件、产品代理资格证明文件复印件加盖单位印章</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(三) 节能环保等资质证书或文件复印件加盖单位印章</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(四) 自主品牌、投标人的信誉、荣誉证书或文件复印件加盖单位印章</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(五) 投标人质量管理和环境认证体系等方面的资质证书或文件复印加盖单位印章件</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(六) 企业信誉情况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(七) 产品出厂标准、质量检测报告及精度检测报告或数据（格式自拟）</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(八) 产品安装、调试方案（格式自拟）</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(九)  产品验收标准、方法或方案（格式自拟）</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(十)投标人认为应提交或可以证明其能力或业绩的其他材料（格式自拟）</w:t>
      </w:r>
    </w:p>
    <w:p>
      <w:pPr>
        <w:spacing w:line="360" w:lineRule="auto"/>
        <w:ind w:left="-161" w:leftChars="-67"/>
        <w:rPr>
          <w:rFonts w:asciiTheme="minorEastAsia" w:hAnsiTheme="minorEastAsia" w:eastAsiaTheme="minorEastAsia" w:cstheme="minorEastAsia"/>
        </w:rPr>
      </w:pPr>
      <w:r>
        <w:rPr>
          <w:rFonts w:hint="eastAsia" w:asciiTheme="minorEastAsia" w:hAnsiTheme="minorEastAsia" w:eastAsiaTheme="minorEastAsia" w:cstheme="minorEastAsia"/>
        </w:rPr>
        <w:t>（十一）其他与项目有关的资料[如须由业主配合的内容（自附）]。</w:t>
      </w:r>
    </w:p>
    <w:p>
      <w:pPr>
        <w:spacing w:line="360" w:lineRule="auto"/>
        <w:ind w:left="-161" w:leftChars="-67"/>
        <w:rPr>
          <w:rFonts w:asciiTheme="minorEastAsia" w:hAnsiTheme="minorEastAsia" w:eastAsiaTheme="minorEastAsia" w:cstheme="minorEastAsia"/>
        </w:rPr>
      </w:pPr>
    </w:p>
    <w:p>
      <w:pPr>
        <w:spacing w:line="5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  （投标人公章）                               （签字或盖章）</w:t>
      </w:r>
    </w:p>
    <w:p>
      <w:pPr>
        <w:spacing w:line="500" w:lineRule="exact"/>
        <w:ind w:firstLine="6000" w:firstLineChars="2500"/>
        <w:rPr>
          <w:rFonts w:asciiTheme="minorEastAsia" w:hAnsiTheme="minorEastAsia" w:eastAsiaTheme="minorEastAsia" w:cstheme="minorEastAsia"/>
        </w:rPr>
      </w:pPr>
      <w:r>
        <w:rPr>
          <w:rFonts w:hint="eastAsia" w:asciiTheme="minorEastAsia" w:hAnsiTheme="minorEastAsia" w:eastAsiaTheme="minorEastAsia" w:cstheme="minorEastAsia"/>
        </w:rPr>
        <w:t xml:space="preserve">     年     月     日</w:t>
      </w:r>
    </w:p>
    <w:p>
      <w:pPr>
        <w:tabs>
          <w:tab w:val="left" w:pos="6300"/>
        </w:tabs>
        <w:snapToGrid w:val="0"/>
        <w:spacing w:line="500" w:lineRule="exact"/>
        <w:jc w:val="center"/>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注：本页材料由投标人根据项目实际情况自行选择提供，如因遗漏材料造成投标无效或影响评审得分的， 其责任由投标人自行承担。</w:t>
      </w:r>
    </w:p>
    <w:p>
      <w:pPr>
        <w:tabs>
          <w:tab w:val="left" w:pos="6300"/>
        </w:tabs>
        <w:snapToGrid w:val="0"/>
        <w:spacing w:line="500" w:lineRule="exact"/>
        <w:jc w:val="center"/>
        <w:rPr>
          <w:rFonts w:asciiTheme="minorEastAsia" w:hAnsiTheme="minorEastAsia" w:eastAsiaTheme="minorEastAsia" w:cstheme="minorEastAsia"/>
        </w:rPr>
      </w:pPr>
    </w:p>
    <w:p>
      <w:pPr>
        <w:tabs>
          <w:tab w:val="left" w:pos="6300"/>
        </w:tabs>
        <w:snapToGrid w:val="0"/>
        <w:spacing w:line="500" w:lineRule="exact"/>
        <w:jc w:val="center"/>
        <w:rPr>
          <w:rFonts w:asciiTheme="minorEastAsia" w:hAnsiTheme="minorEastAsia" w:eastAsiaTheme="minorEastAsia" w:cstheme="minorEastAsia"/>
        </w:rPr>
      </w:pPr>
      <w:r>
        <w:rPr>
          <w:rFonts w:hint="eastAsia" w:asciiTheme="minorEastAsia" w:hAnsiTheme="minorEastAsia" w:eastAsiaTheme="minorEastAsia" w:cstheme="minorEastAsia"/>
        </w:rPr>
        <w:t>（结束）</w:t>
      </w:r>
    </w:p>
    <w:p>
      <w:pPr>
        <w:pStyle w:val="35"/>
        <w:spacing w:line="360" w:lineRule="auto"/>
        <w:rPr>
          <w:rFonts w:asciiTheme="minorEastAsia" w:hAnsiTheme="minorEastAsia" w:eastAsiaTheme="minorEastAsia" w:cstheme="minorEastAsia"/>
          <w:color w:val="auto"/>
        </w:rPr>
      </w:pPr>
    </w:p>
    <w:p>
      <w:pPr>
        <w:wordWrap w:val="0"/>
        <w:jc w:val="cente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tabs>
          <w:tab w:val="left" w:pos="6060"/>
        </w:tabs>
        <w:rPr>
          <w:rFonts w:asciiTheme="minorEastAsia" w:hAnsiTheme="minorEastAsia" w:eastAsiaTheme="minorEastAsia" w:cstheme="minorEastAsia"/>
        </w:rPr>
      </w:pPr>
      <w:r>
        <w:rPr>
          <w:rFonts w:asciiTheme="minorEastAsia" w:hAnsiTheme="minorEastAsia" w:eastAsiaTheme="minorEastAsia" w:cstheme="minorEastAsia"/>
        </w:rPr>
        <w:tab/>
      </w:r>
    </w:p>
    <w:sectPr>
      <w:pgSz w:w="11906" w:h="16838"/>
      <w:pgMar w:top="1418" w:right="1247" w:bottom="1247" w:left="1418" w:header="851" w:footer="851" w:gutter="0"/>
      <w:cols w:space="720" w:num="1"/>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andale mono">
    <w:altName w:val="MV Boli"/>
    <w:panose1 w:val="00000000000000000000"/>
    <w:charset w:val="00"/>
    <w:family w:val="modern"/>
    <w:pitch w:val="default"/>
    <w:sig w:usb0="00000000" w:usb1="00000000" w:usb2="00000000" w:usb3="00000000" w:csb0="00000000" w:csb1="00000000"/>
  </w:font>
  <w:font w:name="Microsoft Sans Serif">
    <w:panose1 w:val="020B0604020202020204"/>
    <w:charset w:val="00"/>
    <w:family w:val="swiss"/>
    <w:pitch w:val="default"/>
    <w:sig w:usb0="E5002EFF" w:usb1="C000605B" w:usb2="00000029" w:usb3="00000000" w:csb0="200101FF" w:csb1="20280000"/>
  </w:font>
  <w:font w:name="Arial Black">
    <w:panose1 w:val="020B0A04020102020204"/>
    <w:charset w:val="00"/>
    <w:family w:val="swiss"/>
    <w:pitch w:val="default"/>
    <w:sig w:usb0="A00002AF" w:usb1="400078FB" w:usb2="00000000" w:usb3="00000000" w:csb0="6000009F" w:csb1="DFD70000"/>
  </w:font>
  <w:font w:name="微软雅黑">
    <w:panose1 w:val="020B0503020204020204"/>
    <w:charset w:val="86"/>
    <w:family w:val="swiss"/>
    <w:pitch w:val="default"/>
    <w:sig w:usb0="80000287" w:usb1="2ACF3C50" w:usb2="00000016" w:usb3="00000000" w:csb0="0004001F" w:csb1="00000000"/>
  </w:font>
  <w:font w:name="MV Boli">
    <w:panose1 w:val="02000500030200090000"/>
    <w:charset w:val="00"/>
    <w:family w:val="auto"/>
    <w:pitch w:val="default"/>
    <w:sig w:usb0="00000003" w:usb1="00000000" w:usb2="000001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rPr>
        <w:rFonts w:ascii="宋体" w:hAnsi="宋体"/>
      </w:rPr>
    </w:pPr>
  </w:p>
  <w:p>
    <w:pPr>
      <w:pStyle w:val="1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rPr>
        <w:rFonts w:ascii="宋体" w:hAnsi="宋体"/>
      </w:rPr>
    </w:pPr>
  </w:p>
  <w:p>
    <w:pPr>
      <w:pStyle w:val="14"/>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57426372"/>
    </w:sdtPr>
    <w:sdtContent>
      <w:p>
        <w:pPr>
          <w:pStyle w:val="14"/>
          <w:jc w:val="center"/>
        </w:pPr>
        <w:r>
          <w:fldChar w:fldCharType="begin"/>
        </w:r>
        <w:r>
          <w:instrText xml:space="preserve">PAGE   \* MERGEFORMAT</w:instrText>
        </w:r>
        <w:r>
          <w:fldChar w:fldCharType="separate"/>
        </w:r>
        <w:r>
          <w:rPr>
            <w:lang w:val="zh-CN"/>
          </w:rPr>
          <w:t>10</w:t>
        </w:r>
        <w:r>
          <w:fldChar w:fldCharType="end"/>
        </w:r>
      </w:p>
    </w:sdtContent>
  </w:sdt>
  <w:p>
    <w:pPr>
      <w:pStyle w:val="1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rPr>
        <w:rFonts w:ascii="宋体" w:hAnsi="宋体"/>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4"/>
                          </w:pPr>
                          <w:r>
                            <w:fldChar w:fldCharType="begin"/>
                          </w:r>
                          <w:r>
                            <w:instrText xml:space="preserve"> PAGE  \* MERGEFORMAT </w:instrText>
                          </w:r>
                          <w:r>
                            <w:fldChar w:fldCharType="separate"/>
                          </w:r>
                          <w:r>
                            <w:t>45</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hxXCMIBAACPAwAADgAAAGRycy9lMm9Eb2MueG1srVPNjtMwEL6vxDtY&#10;vlNni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lvKHHc4sTPP3+cfz2eH74T&#10;9KFAfYAa8+4CZqbhvR8wefYDOjPvQUWbv8iIYBzlPV3klUMiIj9aLVerCkMCY/MF8dnT8xAhfZDe&#10;kmw0NOL8iqz8+AnSmDqn5GrO32pjygyN+8uBmNnDcu9jj9lKw26YCO18e0I+PY6+oQ43nRLz0aGy&#10;eUtmI87GbjJyDQjvDgkLl34y6gg1FcM5FUbTTuVF+PNesp7+o81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FIcVwjCAQAAjwMAAA4AAAAAAAAAAQAgAAAAHgEAAGRycy9lMm9Eb2MueG1sUEsF&#10;BgAAAAAGAAYAWQEAAFIFAAAAAA==&#10;">
              <v:fill on="f" focussize="0,0"/>
              <v:stroke on="f"/>
              <v:imagedata o:title=""/>
              <o:lock v:ext="edit" aspectratio="f"/>
              <v:textbox inset="0mm,0mm,0mm,0mm" style="mso-fit-shape-to-text:t;">
                <w:txbxContent>
                  <w:p>
                    <w:pPr>
                      <w:pStyle w:val="14"/>
                    </w:pPr>
                    <w:r>
                      <w:fldChar w:fldCharType="begin"/>
                    </w:r>
                    <w:r>
                      <w:instrText xml:space="preserve"> PAGE  \* MERGEFORMAT </w:instrText>
                    </w:r>
                    <w:r>
                      <w:fldChar w:fldCharType="separate"/>
                    </w:r>
                    <w:r>
                      <w:t>45</w:t>
                    </w:r>
                    <w:r>
                      <w:fldChar w:fldCharType="end"/>
                    </w:r>
                  </w:p>
                </w:txbxContent>
              </v:textbox>
            </v:shape>
          </w:pict>
        </mc:Fallback>
      </mc:AlternateContent>
    </w:r>
  </w:p>
  <w:p>
    <w:pPr>
      <w:pStyle w:val="14"/>
      <w:ind w:firstLine="360"/>
      <w:rPr>
        <w:rFonts w:ascii="宋体" w:hAnsi="宋体"/>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57490530"/>
    </w:sdtPr>
    <w:sdtContent>
      <w:p>
        <w:pPr>
          <w:pStyle w:val="14"/>
          <w:jc w:val="center"/>
        </w:pPr>
        <w:r>
          <w:fldChar w:fldCharType="begin"/>
        </w:r>
        <w:r>
          <w:instrText xml:space="preserve">PAGE   \* MERGEFORMAT</w:instrText>
        </w:r>
        <w:r>
          <w:fldChar w:fldCharType="separate"/>
        </w:r>
        <w:r>
          <w:rPr>
            <w:lang w:val="zh-CN"/>
          </w:rPr>
          <w:t>89</w:t>
        </w:r>
        <w:r>
          <w:fldChar w:fldCharType="end"/>
        </w:r>
      </w:p>
    </w:sdtContent>
  </w:sdt>
  <w:p>
    <w:pPr>
      <w:pStyle w:val="14"/>
      <w:ind w:firstLine="360"/>
      <w:rPr>
        <w:rFonts w:hint="eastAsia" w:ascii="andale mono" w:hAnsi="andale mon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rPr>
        <w:szCs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w:object>
        <v:shape id="_x0000_i1025" o:spt="75" type="#_x0000_t75" style="height:13.5pt;width:108pt;" o:ole="t" filled="f" o:preferrelative="t" stroked="f" coordsize="21600,21600">
          <v:path/>
          <v:fill on="f" focussize="0,0"/>
          <v:stroke on="f" joinstyle="miter"/>
          <v:imagedata r:id="rId2" o:title=""/>
          <o:lock v:ext="edit" aspectratio="t"/>
          <w10:wrap type="none"/>
          <w10:anchorlock/>
        </v:shape>
        <o:OLEObject Type="Embed" ProgID="MSPhotoEd.3" ShapeID="_x0000_i1025" DrawAspect="Content" ObjectID="_1468075725" r:id="rId1">
          <o:LockedField>false</o:LockedField>
        </o:OLEObject>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rPr>
        <w:szCs w:val="21"/>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rPr>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4054F6"/>
    <w:multiLevelType w:val="multilevel"/>
    <w:tmpl w:val="074054F6"/>
    <w:lvl w:ilvl="0" w:tentative="0">
      <w:start w:val="1"/>
      <w:numFmt w:val="decimal"/>
      <w:pStyle w:val="47"/>
      <w:lvlText w:val="第%1章"/>
      <w:lvlJc w:val="left"/>
      <w:pPr>
        <w:tabs>
          <w:tab w:val="left" w:pos="574"/>
        </w:tabs>
        <w:ind w:left="574" w:hanging="432"/>
      </w:pPr>
      <w:rPr>
        <w:rFonts w:hint="eastAsia"/>
        <w:lang w:val="en-US"/>
      </w:rPr>
    </w:lvl>
    <w:lvl w:ilvl="1" w:tentative="0">
      <w:start w:val="1"/>
      <w:numFmt w:val="decimal"/>
      <w:lvlText w:val="%1.%2"/>
      <w:lvlJc w:val="left"/>
      <w:pPr>
        <w:tabs>
          <w:tab w:val="left" w:pos="718"/>
        </w:tabs>
        <w:ind w:left="718" w:hanging="576"/>
      </w:pPr>
      <w:rPr>
        <w:rFonts w:hint="eastAsia"/>
      </w:rPr>
    </w:lvl>
    <w:lvl w:ilvl="2" w:tentative="0">
      <w:start w:val="1"/>
      <w:numFmt w:val="decimal"/>
      <w:lvlText w:val="%1.%2.%3"/>
      <w:lvlJc w:val="left"/>
      <w:pPr>
        <w:tabs>
          <w:tab w:val="left" w:pos="862"/>
        </w:tabs>
        <w:ind w:left="862" w:hanging="720"/>
      </w:pPr>
      <w:rPr>
        <w:rFonts w:hint="eastAsia"/>
      </w:rPr>
    </w:lvl>
    <w:lvl w:ilvl="3" w:tentative="0">
      <w:start w:val="1"/>
      <w:numFmt w:val="decimal"/>
      <w:lvlText w:val="%1.%2.%3.%4"/>
      <w:lvlJc w:val="left"/>
      <w:pPr>
        <w:tabs>
          <w:tab w:val="left" w:pos="1006"/>
        </w:tabs>
        <w:ind w:left="1006" w:hanging="864"/>
      </w:pPr>
      <w:rPr>
        <w:rFonts w:hint="eastAsia"/>
      </w:rPr>
    </w:lvl>
    <w:lvl w:ilvl="4" w:tentative="0">
      <w:start w:val="1"/>
      <w:numFmt w:val="decimal"/>
      <w:lvlText w:val="%1.%2.%3.%4.%5"/>
      <w:lvlJc w:val="left"/>
      <w:pPr>
        <w:tabs>
          <w:tab w:val="left" w:pos="1150"/>
        </w:tabs>
        <w:ind w:left="1150" w:hanging="1008"/>
      </w:pPr>
      <w:rPr>
        <w:rFonts w:hint="eastAsia"/>
      </w:rPr>
    </w:lvl>
    <w:lvl w:ilvl="5" w:tentative="0">
      <w:start w:val="1"/>
      <w:numFmt w:val="decimal"/>
      <w:lvlText w:val="%1.%2.%3.%4.%5.%6"/>
      <w:lvlJc w:val="left"/>
      <w:pPr>
        <w:tabs>
          <w:tab w:val="left" w:pos="1294"/>
        </w:tabs>
        <w:ind w:left="1294" w:hanging="1152"/>
      </w:pPr>
      <w:rPr>
        <w:rFonts w:hint="eastAsia"/>
      </w:rPr>
    </w:lvl>
    <w:lvl w:ilvl="6" w:tentative="0">
      <w:start w:val="1"/>
      <w:numFmt w:val="decimal"/>
      <w:lvlText w:val="%1.%2.%3.%4.%5.%6.%7"/>
      <w:lvlJc w:val="left"/>
      <w:pPr>
        <w:tabs>
          <w:tab w:val="left" w:pos="1438"/>
        </w:tabs>
        <w:ind w:left="1438" w:hanging="1296"/>
      </w:pPr>
      <w:rPr>
        <w:rFonts w:hint="eastAsia"/>
      </w:rPr>
    </w:lvl>
    <w:lvl w:ilvl="7" w:tentative="0">
      <w:start w:val="1"/>
      <w:numFmt w:val="decimal"/>
      <w:lvlText w:val="%1.%2.%3.%4.%5.%6.%7.%8"/>
      <w:lvlJc w:val="left"/>
      <w:pPr>
        <w:tabs>
          <w:tab w:val="left" w:pos="1582"/>
        </w:tabs>
        <w:ind w:left="1582" w:hanging="1440"/>
      </w:pPr>
      <w:rPr>
        <w:rFonts w:hint="eastAsia"/>
      </w:rPr>
    </w:lvl>
    <w:lvl w:ilvl="8" w:tentative="0">
      <w:start w:val="1"/>
      <w:numFmt w:val="decimal"/>
      <w:lvlText w:val="%1.%2.%3.%4.%5.%6.%7.%8.%9"/>
      <w:lvlJc w:val="left"/>
      <w:pPr>
        <w:tabs>
          <w:tab w:val="left" w:pos="1726"/>
        </w:tabs>
        <w:ind w:left="1726" w:hanging="1584"/>
      </w:pPr>
      <w:rPr>
        <w:rFonts w:hint="eastAsia"/>
      </w:rPr>
    </w:lvl>
  </w:abstractNum>
  <w:abstractNum w:abstractNumId="1">
    <w:nsid w:val="432D3EDB"/>
    <w:multiLevelType w:val="singleLevel"/>
    <w:tmpl w:val="432D3EDB"/>
    <w:lvl w:ilvl="0" w:tentative="0">
      <w:start w:val="1"/>
      <w:numFmt w:val="decimal"/>
      <w:suff w:val="nothing"/>
      <w:lvlText w:val="%1."/>
      <w:lvlJc w:val="left"/>
      <w:pPr>
        <w:ind w:left="425" w:hanging="425"/>
      </w:p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1"/>
  <w:bordersDoNotSurroundFooter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Q5NzY2MDMyN2NiNDgyN2RlYzkwNWQ5NmQ3MzY3ODYifQ=="/>
  </w:docVars>
  <w:rsids>
    <w:rsidRoot w:val="58162554"/>
    <w:rsid w:val="00000C84"/>
    <w:rsid w:val="00002409"/>
    <w:rsid w:val="00002703"/>
    <w:rsid w:val="000045D4"/>
    <w:rsid w:val="00006DAA"/>
    <w:rsid w:val="00011582"/>
    <w:rsid w:val="00011645"/>
    <w:rsid w:val="0001636A"/>
    <w:rsid w:val="00020567"/>
    <w:rsid w:val="000220F8"/>
    <w:rsid w:val="000234AA"/>
    <w:rsid w:val="0002793C"/>
    <w:rsid w:val="0003019A"/>
    <w:rsid w:val="00030535"/>
    <w:rsid w:val="00035E4D"/>
    <w:rsid w:val="00035EE2"/>
    <w:rsid w:val="00046C27"/>
    <w:rsid w:val="00047DC8"/>
    <w:rsid w:val="000513B5"/>
    <w:rsid w:val="00051D78"/>
    <w:rsid w:val="00053CAF"/>
    <w:rsid w:val="00055EDA"/>
    <w:rsid w:val="00063BD7"/>
    <w:rsid w:val="00063CD6"/>
    <w:rsid w:val="00065256"/>
    <w:rsid w:val="000670DF"/>
    <w:rsid w:val="00072D85"/>
    <w:rsid w:val="000741C9"/>
    <w:rsid w:val="00074BD1"/>
    <w:rsid w:val="00075E10"/>
    <w:rsid w:val="00076641"/>
    <w:rsid w:val="0008027C"/>
    <w:rsid w:val="0008109A"/>
    <w:rsid w:val="00083164"/>
    <w:rsid w:val="000841C9"/>
    <w:rsid w:val="00086E8A"/>
    <w:rsid w:val="00087566"/>
    <w:rsid w:val="00087E7A"/>
    <w:rsid w:val="00090512"/>
    <w:rsid w:val="00093A58"/>
    <w:rsid w:val="00095979"/>
    <w:rsid w:val="000965C5"/>
    <w:rsid w:val="000A3598"/>
    <w:rsid w:val="000A7AD0"/>
    <w:rsid w:val="000A7CC8"/>
    <w:rsid w:val="000B18D0"/>
    <w:rsid w:val="000B28CA"/>
    <w:rsid w:val="000B447B"/>
    <w:rsid w:val="000C617C"/>
    <w:rsid w:val="000D0E52"/>
    <w:rsid w:val="000D1552"/>
    <w:rsid w:val="000D545F"/>
    <w:rsid w:val="000D6FF1"/>
    <w:rsid w:val="000D7B8F"/>
    <w:rsid w:val="000E14F3"/>
    <w:rsid w:val="000E5824"/>
    <w:rsid w:val="000E7D86"/>
    <w:rsid w:val="000F1FF8"/>
    <w:rsid w:val="000F47D1"/>
    <w:rsid w:val="000F5A7E"/>
    <w:rsid w:val="000F77D7"/>
    <w:rsid w:val="001038C7"/>
    <w:rsid w:val="00106FDA"/>
    <w:rsid w:val="00111847"/>
    <w:rsid w:val="001126ED"/>
    <w:rsid w:val="00116FD2"/>
    <w:rsid w:val="00117768"/>
    <w:rsid w:val="00117E8F"/>
    <w:rsid w:val="00117F98"/>
    <w:rsid w:val="001240AC"/>
    <w:rsid w:val="0012601A"/>
    <w:rsid w:val="001264CF"/>
    <w:rsid w:val="001267D1"/>
    <w:rsid w:val="00130494"/>
    <w:rsid w:val="00140C69"/>
    <w:rsid w:val="00145650"/>
    <w:rsid w:val="0014624F"/>
    <w:rsid w:val="00146646"/>
    <w:rsid w:val="00152FED"/>
    <w:rsid w:val="00160AEE"/>
    <w:rsid w:val="001614A4"/>
    <w:rsid w:val="00164013"/>
    <w:rsid w:val="00165464"/>
    <w:rsid w:val="0017153F"/>
    <w:rsid w:val="00171AE2"/>
    <w:rsid w:val="00175099"/>
    <w:rsid w:val="00175E96"/>
    <w:rsid w:val="001800A1"/>
    <w:rsid w:val="0018152A"/>
    <w:rsid w:val="00182411"/>
    <w:rsid w:val="001825DA"/>
    <w:rsid w:val="00184734"/>
    <w:rsid w:val="00184B97"/>
    <w:rsid w:val="00185D47"/>
    <w:rsid w:val="00190A52"/>
    <w:rsid w:val="00190FA1"/>
    <w:rsid w:val="001938B0"/>
    <w:rsid w:val="00193BDC"/>
    <w:rsid w:val="00195F7B"/>
    <w:rsid w:val="001A0C75"/>
    <w:rsid w:val="001A1FD4"/>
    <w:rsid w:val="001A2806"/>
    <w:rsid w:val="001A620E"/>
    <w:rsid w:val="001A66B5"/>
    <w:rsid w:val="001A6E0F"/>
    <w:rsid w:val="001A733A"/>
    <w:rsid w:val="001B1202"/>
    <w:rsid w:val="001B1633"/>
    <w:rsid w:val="001B5025"/>
    <w:rsid w:val="001B510C"/>
    <w:rsid w:val="001B5EDE"/>
    <w:rsid w:val="001B620C"/>
    <w:rsid w:val="001B6215"/>
    <w:rsid w:val="001B6F5A"/>
    <w:rsid w:val="001C0DC7"/>
    <w:rsid w:val="001C3932"/>
    <w:rsid w:val="001C3F17"/>
    <w:rsid w:val="001C5397"/>
    <w:rsid w:val="001C5866"/>
    <w:rsid w:val="001C5E03"/>
    <w:rsid w:val="001D3443"/>
    <w:rsid w:val="001D35B0"/>
    <w:rsid w:val="001D6E22"/>
    <w:rsid w:val="001E178B"/>
    <w:rsid w:val="001F2DCE"/>
    <w:rsid w:val="001F360E"/>
    <w:rsid w:val="002014CD"/>
    <w:rsid w:val="00201B4D"/>
    <w:rsid w:val="0020753E"/>
    <w:rsid w:val="0021045D"/>
    <w:rsid w:val="00213247"/>
    <w:rsid w:val="002139EA"/>
    <w:rsid w:val="0021622A"/>
    <w:rsid w:val="00217AD1"/>
    <w:rsid w:val="00222D81"/>
    <w:rsid w:val="00223FA3"/>
    <w:rsid w:val="00225069"/>
    <w:rsid w:val="00227CA0"/>
    <w:rsid w:val="0023186B"/>
    <w:rsid w:val="00234038"/>
    <w:rsid w:val="002410D7"/>
    <w:rsid w:val="00244918"/>
    <w:rsid w:val="00245EE7"/>
    <w:rsid w:val="00250406"/>
    <w:rsid w:val="00252CBF"/>
    <w:rsid w:val="002551BF"/>
    <w:rsid w:val="00256D9E"/>
    <w:rsid w:val="002618AE"/>
    <w:rsid w:val="00261A52"/>
    <w:rsid w:val="0027190D"/>
    <w:rsid w:val="00274AAB"/>
    <w:rsid w:val="002764E6"/>
    <w:rsid w:val="00277B17"/>
    <w:rsid w:val="00281CC4"/>
    <w:rsid w:val="002863C2"/>
    <w:rsid w:val="0028757F"/>
    <w:rsid w:val="002913FA"/>
    <w:rsid w:val="00291BC8"/>
    <w:rsid w:val="0029327A"/>
    <w:rsid w:val="00293299"/>
    <w:rsid w:val="00293911"/>
    <w:rsid w:val="00293B32"/>
    <w:rsid w:val="002A0302"/>
    <w:rsid w:val="002A625B"/>
    <w:rsid w:val="002B3BDE"/>
    <w:rsid w:val="002B618C"/>
    <w:rsid w:val="002C2FB9"/>
    <w:rsid w:val="002C30C1"/>
    <w:rsid w:val="002C5555"/>
    <w:rsid w:val="002D7241"/>
    <w:rsid w:val="002D7F3A"/>
    <w:rsid w:val="002E2213"/>
    <w:rsid w:val="002E2676"/>
    <w:rsid w:val="002E6C42"/>
    <w:rsid w:val="002F5A15"/>
    <w:rsid w:val="002F5CDF"/>
    <w:rsid w:val="002F6C4B"/>
    <w:rsid w:val="00301C69"/>
    <w:rsid w:val="0030299A"/>
    <w:rsid w:val="00302FED"/>
    <w:rsid w:val="00303D77"/>
    <w:rsid w:val="00304ED0"/>
    <w:rsid w:val="003052E1"/>
    <w:rsid w:val="00306099"/>
    <w:rsid w:val="00307447"/>
    <w:rsid w:val="003074A5"/>
    <w:rsid w:val="00307FBA"/>
    <w:rsid w:val="0031483D"/>
    <w:rsid w:val="00316D90"/>
    <w:rsid w:val="00321B66"/>
    <w:rsid w:val="003221EF"/>
    <w:rsid w:val="00323477"/>
    <w:rsid w:val="0032432E"/>
    <w:rsid w:val="00324520"/>
    <w:rsid w:val="00324BE9"/>
    <w:rsid w:val="00331D59"/>
    <w:rsid w:val="003331A8"/>
    <w:rsid w:val="00336CC9"/>
    <w:rsid w:val="00341265"/>
    <w:rsid w:val="00341EBB"/>
    <w:rsid w:val="0034480A"/>
    <w:rsid w:val="00345ECC"/>
    <w:rsid w:val="0035263A"/>
    <w:rsid w:val="003533B5"/>
    <w:rsid w:val="003546F3"/>
    <w:rsid w:val="003560AB"/>
    <w:rsid w:val="00356108"/>
    <w:rsid w:val="00356757"/>
    <w:rsid w:val="003649EF"/>
    <w:rsid w:val="00367478"/>
    <w:rsid w:val="00370986"/>
    <w:rsid w:val="0037344E"/>
    <w:rsid w:val="003747BA"/>
    <w:rsid w:val="00383817"/>
    <w:rsid w:val="00387B9D"/>
    <w:rsid w:val="00393E0D"/>
    <w:rsid w:val="00394572"/>
    <w:rsid w:val="00394A1D"/>
    <w:rsid w:val="00396703"/>
    <w:rsid w:val="00396A87"/>
    <w:rsid w:val="003A2ECB"/>
    <w:rsid w:val="003A4E49"/>
    <w:rsid w:val="003A5291"/>
    <w:rsid w:val="003A5C41"/>
    <w:rsid w:val="003A7711"/>
    <w:rsid w:val="003B1624"/>
    <w:rsid w:val="003B4357"/>
    <w:rsid w:val="003B5424"/>
    <w:rsid w:val="003B7D41"/>
    <w:rsid w:val="003C1531"/>
    <w:rsid w:val="003C43B5"/>
    <w:rsid w:val="003C4C95"/>
    <w:rsid w:val="003C5ECB"/>
    <w:rsid w:val="003C6374"/>
    <w:rsid w:val="003D2546"/>
    <w:rsid w:val="003D2D5B"/>
    <w:rsid w:val="003E2023"/>
    <w:rsid w:val="003E7FCA"/>
    <w:rsid w:val="003F0CE1"/>
    <w:rsid w:val="003F1DB2"/>
    <w:rsid w:val="003F309A"/>
    <w:rsid w:val="003F35E7"/>
    <w:rsid w:val="003F61FE"/>
    <w:rsid w:val="00404AED"/>
    <w:rsid w:val="0040774A"/>
    <w:rsid w:val="00410A13"/>
    <w:rsid w:val="004117C7"/>
    <w:rsid w:val="00411B57"/>
    <w:rsid w:val="00411C01"/>
    <w:rsid w:val="00412DE6"/>
    <w:rsid w:val="00414158"/>
    <w:rsid w:val="004147BE"/>
    <w:rsid w:val="00425F30"/>
    <w:rsid w:val="00431DAE"/>
    <w:rsid w:val="00433461"/>
    <w:rsid w:val="00434B22"/>
    <w:rsid w:val="0044231C"/>
    <w:rsid w:val="00442D75"/>
    <w:rsid w:val="00444FA7"/>
    <w:rsid w:val="00446C57"/>
    <w:rsid w:val="00447875"/>
    <w:rsid w:val="00447996"/>
    <w:rsid w:val="00451231"/>
    <w:rsid w:val="00451FB7"/>
    <w:rsid w:val="00452E02"/>
    <w:rsid w:val="00456DDE"/>
    <w:rsid w:val="00457C19"/>
    <w:rsid w:val="00460125"/>
    <w:rsid w:val="00461AE8"/>
    <w:rsid w:val="0046206C"/>
    <w:rsid w:val="004635EF"/>
    <w:rsid w:val="00463618"/>
    <w:rsid w:val="004644DD"/>
    <w:rsid w:val="00471C29"/>
    <w:rsid w:val="00477CA1"/>
    <w:rsid w:val="004838E6"/>
    <w:rsid w:val="00484870"/>
    <w:rsid w:val="00484FE1"/>
    <w:rsid w:val="00486F45"/>
    <w:rsid w:val="004917E1"/>
    <w:rsid w:val="00497E35"/>
    <w:rsid w:val="004A002A"/>
    <w:rsid w:val="004A0CC8"/>
    <w:rsid w:val="004A2408"/>
    <w:rsid w:val="004A35CB"/>
    <w:rsid w:val="004A73FE"/>
    <w:rsid w:val="004B017B"/>
    <w:rsid w:val="004B0E2F"/>
    <w:rsid w:val="004B4B7C"/>
    <w:rsid w:val="004B5726"/>
    <w:rsid w:val="004B680A"/>
    <w:rsid w:val="004B79EB"/>
    <w:rsid w:val="004C07FC"/>
    <w:rsid w:val="004C3C68"/>
    <w:rsid w:val="004C523E"/>
    <w:rsid w:val="004D21C1"/>
    <w:rsid w:val="004D2A8D"/>
    <w:rsid w:val="004D4B61"/>
    <w:rsid w:val="004D7A13"/>
    <w:rsid w:val="004E3707"/>
    <w:rsid w:val="004F3708"/>
    <w:rsid w:val="004F4099"/>
    <w:rsid w:val="004F5D92"/>
    <w:rsid w:val="00505103"/>
    <w:rsid w:val="00506F93"/>
    <w:rsid w:val="00521918"/>
    <w:rsid w:val="005231DD"/>
    <w:rsid w:val="005246C0"/>
    <w:rsid w:val="00525770"/>
    <w:rsid w:val="00531C15"/>
    <w:rsid w:val="005367E3"/>
    <w:rsid w:val="005430B6"/>
    <w:rsid w:val="00543BBC"/>
    <w:rsid w:val="005442EC"/>
    <w:rsid w:val="005503B0"/>
    <w:rsid w:val="00551410"/>
    <w:rsid w:val="00554325"/>
    <w:rsid w:val="005552C0"/>
    <w:rsid w:val="00564CD6"/>
    <w:rsid w:val="0056663C"/>
    <w:rsid w:val="00570028"/>
    <w:rsid w:val="00573EA2"/>
    <w:rsid w:val="005835AB"/>
    <w:rsid w:val="00586852"/>
    <w:rsid w:val="00586F88"/>
    <w:rsid w:val="0058750C"/>
    <w:rsid w:val="005952D5"/>
    <w:rsid w:val="005A196A"/>
    <w:rsid w:val="005A2F7B"/>
    <w:rsid w:val="005A3FF1"/>
    <w:rsid w:val="005A4E64"/>
    <w:rsid w:val="005B4A70"/>
    <w:rsid w:val="005B6101"/>
    <w:rsid w:val="005B6943"/>
    <w:rsid w:val="005B7651"/>
    <w:rsid w:val="005C1D38"/>
    <w:rsid w:val="005C33E8"/>
    <w:rsid w:val="005C6D13"/>
    <w:rsid w:val="005D067B"/>
    <w:rsid w:val="005D130F"/>
    <w:rsid w:val="005D4D50"/>
    <w:rsid w:val="005D607F"/>
    <w:rsid w:val="005D6866"/>
    <w:rsid w:val="005E31A6"/>
    <w:rsid w:val="005F20BA"/>
    <w:rsid w:val="005F25EA"/>
    <w:rsid w:val="005F3DD3"/>
    <w:rsid w:val="005F5B4F"/>
    <w:rsid w:val="005F64DD"/>
    <w:rsid w:val="0060084D"/>
    <w:rsid w:val="006063DC"/>
    <w:rsid w:val="006066C0"/>
    <w:rsid w:val="0060793F"/>
    <w:rsid w:val="00607AD2"/>
    <w:rsid w:val="00607F24"/>
    <w:rsid w:val="00611030"/>
    <w:rsid w:val="00611247"/>
    <w:rsid w:val="00615E28"/>
    <w:rsid w:val="00616114"/>
    <w:rsid w:val="00617169"/>
    <w:rsid w:val="00617B98"/>
    <w:rsid w:val="00621AE6"/>
    <w:rsid w:val="00624F21"/>
    <w:rsid w:val="00630763"/>
    <w:rsid w:val="006317D2"/>
    <w:rsid w:val="00631BEE"/>
    <w:rsid w:val="006373AF"/>
    <w:rsid w:val="0064122E"/>
    <w:rsid w:val="00652133"/>
    <w:rsid w:val="0065418D"/>
    <w:rsid w:val="00654250"/>
    <w:rsid w:val="006542A8"/>
    <w:rsid w:val="00655A3A"/>
    <w:rsid w:val="00661230"/>
    <w:rsid w:val="0066299A"/>
    <w:rsid w:val="006641D8"/>
    <w:rsid w:val="006653E7"/>
    <w:rsid w:val="00670F75"/>
    <w:rsid w:val="00672F3A"/>
    <w:rsid w:val="00673A36"/>
    <w:rsid w:val="00674502"/>
    <w:rsid w:val="006754B7"/>
    <w:rsid w:val="006768A3"/>
    <w:rsid w:val="00676A87"/>
    <w:rsid w:val="0068037D"/>
    <w:rsid w:val="006825A2"/>
    <w:rsid w:val="006829D2"/>
    <w:rsid w:val="00682AB1"/>
    <w:rsid w:val="0068374D"/>
    <w:rsid w:val="006843C0"/>
    <w:rsid w:val="00686FC1"/>
    <w:rsid w:val="006935EB"/>
    <w:rsid w:val="006A5D86"/>
    <w:rsid w:val="006B3121"/>
    <w:rsid w:val="006B34D9"/>
    <w:rsid w:val="006B7DEB"/>
    <w:rsid w:val="006C3056"/>
    <w:rsid w:val="006C4371"/>
    <w:rsid w:val="006D40C9"/>
    <w:rsid w:val="006D4F69"/>
    <w:rsid w:val="006E1266"/>
    <w:rsid w:val="006E30C7"/>
    <w:rsid w:val="006E5A2C"/>
    <w:rsid w:val="006F2177"/>
    <w:rsid w:val="006F3394"/>
    <w:rsid w:val="006F6D68"/>
    <w:rsid w:val="006F7F37"/>
    <w:rsid w:val="00702637"/>
    <w:rsid w:val="00702863"/>
    <w:rsid w:val="00704FD4"/>
    <w:rsid w:val="00712058"/>
    <w:rsid w:val="007153DD"/>
    <w:rsid w:val="007172FD"/>
    <w:rsid w:val="00721F5B"/>
    <w:rsid w:val="00722D57"/>
    <w:rsid w:val="007231BF"/>
    <w:rsid w:val="0072511D"/>
    <w:rsid w:val="00726269"/>
    <w:rsid w:val="00730A67"/>
    <w:rsid w:val="00732106"/>
    <w:rsid w:val="0073423D"/>
    <w:rsid w:val="00734570"/>
    <w:rsid w:val="0073603C"/>
    <w:rsid w:val="0073653F"/>
    <w:rsid w:val="007414D9"/>
    <w:rsid w:val="00746219"/>
    <w:rsid w:val="0074694E"/>
    <w:rsid w:val="00752583"/>
    <w:rsid w:val="0075552C"/>
    <w:rsid w:val="00755C43"/>
    <w:rsid w:val="007567B6"/>
    <w:rsid w:val="00763F53"/>
    <w:rsid w:val="00764482"/>
    <w:rsid w:val="00766BE1"/>
    <w:rsid w:val="00771830"/>
    <w:rsid w:val="007731E9"/>
    <w:rsid w:val="0077330F"/>
    <w:rsid w:val="00781125"/>
    <w:rsid w:val="0078548C"/>
    <w:rsid w:val="00786BDF"/>
    <w:rsid w:val="0078780C"/>
    <w:rsid w:val="007907B4"/>
    <w:rsid w:val="00792127"/>
    <w:rsid w:val="00792FE8"/>
    <w:rsid w:val="00793997"/>
    <w:rsid w:val="00794A0B"/>
    <w:rsid w:val="00796B83"/>
    <w:rsid w:val="007A0873"/>
    <w:rsid w:val="007A18D3"/>
    <w:rsid w:val="007A68B1"/>
    <w:rsid w:val="007B11AB"/>
    <w:rsid w:val="007B193B"/>
    <w:rsid w:val="007B2237"/>
    <w:rsid w:val="007B253D"/>
    <w:rsid w:val="007B4F54"/>
    <w:rsid w:val="007B66CD"/>
    <w:rsid w:val="007B674C"/>
    <w:rsid w:val="007C0722"/>
    <w:rsid w:val="007C3E32"/>
    <w:rsid w:val="007C4D27"/>
    <w:rsid w:val="007C6FE8"/>
    <w:rsid w:val="007C7104"/>
    <w:rsid w:val="007C7147"/>
    <w:rsid w:val="007C7EC8"/>
    <w:rsid w:val="007D0C91"/>
    <w:rsid w:val="007D5FDE"/>
    <w:rsid w:val="007E32EA"/>
    <w:rsid w:val="007E4FBF"/>
    <w:rsid w:val="007E61DB"/>
    <w:rsid w:val="007E6A75"/>
    <w:rsid w:val="007E6FDC"/>
    <w:rsid w:val="007E7813"/>
    <w:rsid w:val="007F044A"/>
    <w:rsid w:val="007F33D0"/>
    <w:rsid w:val="007F3E10"/>
    <w:rsid w:val="007F5A63"/>
    <w:rsid w:val="00800832"/>
    <w:rsid w:val="008020A2"/>
    <w:rsid w:val="00803C28"/>
    <w:rsid w:val="00804D51"/>
    <w:rsid w:val="008121E7"/>
    <w:rsid w:val="00816792"/>
    <w:rsid w:val="00817C57"/>
    <w:rsid w:val="00821243"/>
    <w:rsid w:val="008242EA"/>
    <w:rsid w:val="00825C24"/>
    <w:rsid w:val="00826C67"/>
    <w:rsid w:val="0082767D"/>
    <w:rsid w:val="00835F4A"/>
    <w:rsid w:val="00836009"/>
    <w:rsid w:val="00840918"/>
    <w:rsid w:val="00840B01"/>
    <w:rsid w:val="008422E2"/>
    <w:rsid w:val="0084257C"/>
    <w:rsid w:val="0084424C"/>
    <w:rsid w:val="00846D2B"/>
    <w:rsid w:val="008511B1"/>
    <w:rsid w:val="00852621"/>
    <w:rsid w:val="00852A7A"/>
    <w:rsid w:val="00852F9B"/>
    <w:rsid w:val="00854503"/>
    <w:rsid w:val="0085773B"/>
    <w:rsid w:val="00864B37"/>
    <w:rsid w:val="00870C0D"/>
    <w:rsid w:val="00870D6D"/>
    <w:rsid w:val="00871219"/>
    <w:rsid w:val="00876EA0"/>
    <w:rsid w:val="008801E1"/>
    <w:rsid w:val="008838ED"/>
    <w:rsid w:val="00886D33"/>
    <w:rsid w:val="008908DD"/>
    <w:rsid w:val="00896306"/>
    <w:rsid w:val="008976C7"/>
    <w:rsid w:val="008B372F"/>
    <w:rsid w:val="008C0189"/>
    <w:rsid w:val="008C11B3"/>
    <w:rsid w:val="008C233F"/>
    <w:rsid w:val="008C2C76"/>
    <w:rsid w:val="008C2D1E"/>
    <w:rsid w:val="008C48CD"/>
    <w:rsid w:val="008C6123"/>
    <w:rsid w:val="008D1151"/>
    <w:rsid w:val="008D6D14"/>
    <w:rsid w:val="008E00E1"/>
    <w:rsid w:val="008E0629"/>
    <w:rsid w:val="008E07D1"/>
    <w:rsid w:val="008E516E"/>
    <w:rsid w:val="008E7D3F"/>
    <w:rsid w:val="008F05A2"/>
    <w:rsid w:val="008F09CF"/>
    <w:rsid w:val="008F0C88"/>
    <w:rsid w:val="008F18EA"/>
    <w:rsid w:val="008F3DD4"/>
    <w:rsid w:val="008F7564"/>
    <w:rsid w:val="0090143C"/>
    <w:rsid w:val="009016D3"/>
    <w:rsid w:val="009018AC"/>
    <w:rsid w:val="00902A4F"/>
    <w:rsid w:val="00920F5D"/>
    <w:rsid w:val="00925276"/>
    <w:rsid w:val="009265EF"/>
    <w:rsid w:val="009326B9"/>
    <w:rsid w:val="00932DB5"/>
    <w:rsid w:val="009333E1"/>
    <w:rsid w:val="00934F1B"/>
    <w:rsid w:val="009367AB"/>
    <w:rsid w:val="0094225A"/>
    <w:rsid w:val="009466A7"/>
    <w:rsid w:val="00954ECA"/>
    <w:rsid w:val="009628BE"/>
    <w:rsid w:val="0096377F"/>
    <w:rsid w:val="009650F3"/>
    <w:rsid w:val="0097242D"/>
    <w:rsid w:val="00974B5C"/>
    <w:rsid w:val="009853EB"/>
    <w:rsid w:val="00986EB7"/>
    <w:rsid w:val="00991E25"/>
    <w:rsid w:val="00994BE3"/>
    <w:rsid w:val="009952BC"/>
    <w:rsid w:val="00995566"/>
    <w:rsid w:val="009A28C1"/>
    <w:rsid w:val="009A5094"/>
    <w:rsid w:val="009A6319"/>
    <w:rsid w:val="009B152E"/>
    <w:rsid w:val="009B47A3"/>
    <w:rsid w:val="009B4DB0"/>
    <w:rsid w:val="009C047B"/>
    <w:rsid w:val="009C1CB0"/>
    <w:rsid w:val="009C3561"/>
    <w:rsid w:val="009C5985"/>
    <w:rsid w:val="009C64BF"/>
    <w:rsid w:val="009D02D4"/>
    <w:rsid w:val="009D1493"/>
    <w:rsid w:val="009D43FD"/>
    <w:rsid w:val="009D5783"/>
    <w:rsid w:val="009E128B"/>
    <w:rsid w:val="009E24ED"/>
    <w:rsid w:val="009E3C11"/>
    <w:rsid w:val="009E4E14"/>
    <w:rsid w:val="009E74B8"/>
    <w:rsid w:val="009F4F22"/>
    <w:rsid w:val="009F5D81"/>
    <w:rsid w:val="00A02FC8"/>
    <w:rsid w:val="00A06B1D"/>
    <w:rsid w:val="00A12211"/>
    <w:rsid w:val="00A15E32"/>
    <w:rsid w:val="00A16E0C"/>
    <w:rsid w:val="00A16EC1"/>
    <w:rsid w:val="00A211C6"/>
    <w:rsid w:val="00A2233A"/>
    <w:rsid w:val="00A22EC4"/>
    <w:rsid w:val="00A26A71"/>
    <w:rsid w:val="00A3391D"/>
    <w:rsid w:val="00A34526"/>
    <w:rsid w:val="00A35A05"/>
    <w:rsid w:val="00A36842"/>
    <w:rsid w:val="00A36928"/>
    <w:rsid w:val="00A45EE1"/>
    <w:rsid w:val="00A50C6D"/>
    <w:rsid w:val="00A61974"/>
    <w:rsid w:val="00A63A20"/>
    <w:rsid w:val="00A63F88"/>
    <w:rsid w:val="00A6779A"/>
    <w:rsid w:val="00A67ECA"/>
    <w:rsid w:val="00A71AA8"/>
    <w:rsid w:val="00A723C6"/>
    <w:rsid w:val="00A72EFA"/>
    <w:rsid w:val="00A72F6E"/>
    <w:rsid w:val="00A7370B"/>
    <w:rsid w:val="00A75263"/>
    <w:rsid w:val="00A7539D"/>
    <w:rsid w:val="00A75419"/>
    <w:rsid w:val="00A7645C"/>
    <w:rsid w:val="00A82932"/>
    <w:rsid w:val="00A870FF"/>
    <w:rsid w:val="00A905B4"/>
    <w:rsid w:val="00A906B1"/>
    <w:rsid w:val="00A96C98"/>
    <w:rsid w:val="00AA156A"/>
    <w:rsid w:val="00AA258A"/>
    <w:rsid w:val="00AA2848"/>
    <w:rsid w:val="00AA500D"/>
    <w:rsid w:val="00AA5A76"/>
    <w:rsid w:val="00AA5B40"/>
    <w:rsid w:val="00AA7DBE"/>
    <w:rsid w:val="00AA7FB8"/>
    <w:rsid w:val="00AB16D7"/>
    <w:rsid w:val="00AB198E"/>
    <w:rsid w:val="00AB4E8E"/>
    <w:rsid w:val="00AC00FD"/>
    <w:rsid w:val="00AC2630"/>
    <w:rsid w:val="00AC406F"/>
    <w:rsid w:val="00AC46F4"/>
    <w:rsid w:val="00AC5D2B"/>
    <w:rsid w:val="00AD00F8"/>
    <w:rsid w:val="00AD2A08"/>
    <w:rsid w:val="00AD6AEF"/>
    <w:rsid w:val="00AD7665"/>
    <w:rsid w:val="00AD79F4"/>
    <w:rsid w:val="00AE0D14"/>
    <w:rsid w:val="00AE5632"/>
    <w:rsid w:val="00AE612D"/>
    <w:rsid w:val="00AF3A21"/>
    <w:rsid w:val="00AF3D35"/>
    <w:rsid w:val="00AF60C9"/>
    <w:rsid w:val="00B01EEA"/>
    <w:rsid w:val="00B10463"/>
    <w:rsid w:val="00B10B33"/>
    <w:rsid w:val="00B14E97"/>
    <w:rsid w:val="00B27445"/>
    <w:rsid w:val="00B323B3"/>
    <w:rsid w:val="00B34C5D"/>
    <w:rsid w:val="00B41004"/>
    <w:rsid w:val="00B4223A"/>
    <w:rsid w:val="00B42F72"/>
    <w:rsid w:val="00B46455"/>
    <w:rsid w:val="00B46C93"/>
    <w:rsid w:val="00B472BE"/>
    <w:rsid w:val="00B51B80"/>
    <w:rsid w:val="00B51D46"/>
    <w:rsid w:val="00B52C85"/>
    <w:rsid w:val="00B54A86"/>
    <w:rsid w:val="00B6082D"/>
    <w:rsid w:val="00B63A8C"/>
    <w:rsid w:val="00B63D40"/>
    <w:rsid w:val="00B64A7D"/>
    <w:rsid w:val="00B650EA"/>
    <w:rsid w:val="00B6563A"/>
    <w:rsid w:val="00B7157B"/>
    <w:rsid w:val="00B738FB"/>
    <w:rsid w:val="00B75166"/>
    <w:rsid w:val="00B8005D"/>
    <w:rsid w:val="00B80EFB"/>
    <w:rsid w:val="00B8218C"/>
    <w:rsid w:val="00B84223"/>
    <w:rsid w:val="00B85B7A"/>
    <w:rsid w:val="00B9301E"/>
    <w:rsid w:val="00B94993"/>
    <w:rsid w:val="00BA0C6C"/>
    <w:rsid w:val="00BA2C18"/>
    <w:rsid w:val="00BA599D"/>
    <w:rsid w:val="00BB2F31"/>
    <w:rsid w:val="00BB2FF3"/>
    <w:rsid w:val="00BB5DDD"/>
    <w:rsid w:val="00BB669C"/>
    <w:rsid w:val="00BB69EA"/>
    <w:rsid w:val="00BB79D1"/>
    <w:rsid w:val="00BC0ADC"/>
    <w:rsid w:val="00BC3BB1"/>
    <w:rsid w:val="00BC4164"/>
    <w:rsid w:val="00BD275E"/>
    <w:rsid w:val="00BD31E7"/>
    <w:rsid w:val="00BE1EF4"/>
    <w:rsid w:val="00BE202E"/>
    <w:rsid w:val="00BE62B0"/>
    <w:rsid w:val="00BF05AB"/>
    <w:rsid w:val="00BF2F2A"/>
    <w:rsid w:val="00BF5212"/>
    <w:rsid w:val="00BF5708"/>
    <w:rsid w:val="00C0094D"/>
    <w:rsid w:val="00C00EA3"/>
    <w:rsid w:val="00C01695"/>
    <w:rsid w:val="00C020D5"/>
    <w:rsid w:val="00C04AE6"/>
    <w:rsid w:val="00C04F95"/>
    <w:rsid w:val="00C11A58"/>
    <w:rsid w:val="00C1526C"/>
    <w:rsid w:val="00C166BC"/>
    <w:rsid w:val="00C213BA"/>
    <w:rsid w:val="00C226A6"/>
    <w:rsid w:val="00C2367B"/>
    <w:rsid w:val="00C2401B"/>
    <w:rsid w:val="00C24A5C"/>
    <w:rsid w:val="00C272A8"/>
    <w:rsid w:val="00C278D9"/>
    <w:rsid w:val="00C27E71"/>
    <w:rsid w:val="00C27E84"/>
    <w:rsid w:val="00C306E6"/>
    <w:rsid w:val="00C310BE"/>
    <w:rsid w:val="00C32C45"/>
    <w:rsid w:val="00C356F3"/>
    <w:rsid w:val="00C3796E"/>
    <w:rsid w:val="00C424A6"/>
    <w:rsid w:val="00C4327C"/>
    <w:rsid w:val="00C467D8"/>
    <w:rsid w:val="00C471D8"/>
    <w:rsid w:val="00C51C9F"/>
    <w:rsid w:val="00C52E05"/>
    <w:rsid w:val="00C52F91"/>
    <w:rsid w:val="00C66217"/>
    <w:rsid w:val="00C662B9"/>
    <w:rsid w:val="00C711D1"/>
    <w:rsid w:val="00C758C6"/>
    <w:rsid w:val="00C7705A"/>
    <w:rsid w:val="00C77A65"/>
    <w:rsid w:val="00C808E5"/>
    <w:rsid w:val="00C8326C"/>
    <w:rsid w:val="00C83AA4"/>
    <w:rsid w:val="00C84B4E"/>
    <w:rsid w:val="00C84C25"/>
    <w:rsid w:val="00C873C0"/>
    <w:rsid w:val="00C90438"/>
    <w:rsid w:val="00C93F83"/>
    <w:rsid w:val="00CA2083"/>
    <w:rsid w:val="00CB1E73"/>
    <w:rsid w:val="00CB239C"/>
    <w:rsid w:val="00CB276F"/>
    <w:rsid w:val="00CB79FB"/>
    <w:rsid w:val="00CC4976"/>
    <w:rsid w:val="00CC49E3"/>
    <w:rsid w:val="00CC4F87"/>
    <w:rsid w:val="00CD3DD0"/>
    <w:rsid w:val="00CD60E4"/>
    <w:rsid w:val="00CD6785"/>
    <w:rsid w:val="00CD698D"/>
    <w:rsid w:val="00CD7599"/>
    <w:rsid w:val="00CE484B"/>
    <w:rsid w:val="00CE65BD"/>
    <w:rsid w:val="00CF2A15"/>
    <w:rsid w:val="00CF4AA0"/>
    <w:rsid w:val="00CF5D4E"/>
    <w:rsid w:val="00D00D43"/>
    <w:rsid w:val="00D030A3"/>
    <w:rsid w:val="00D04F04"/>
    <w:rsid w:val="00D06C98"/>
    <w:rsid w:val="00D07D4F"/>
    <w:rsid w:val="00D10968"/>
    <w:rsid w:val="00D11057"/>
    <w:rsid w:val="00D13C01"/>
    <w:rsid w:val="00D142B3"/>
    <w:rsid w:val="00D17D3D"/>
    <w:rsid w:val="00D274CA"/>
    <w:rsid w:val="00D34607"/>
    <w:rsid w:val="00D378EF"/>
    <w:rsid w:val="00D4114F"/>
    <w:rsid w:val="00D42164"/>
    <w:rsid w:val="00D422F5"/>
    <w:rsid w:val="00D4770E"/>
    <w:rsid w:val="00D512F2"/>
    <w:rsid w:val="00D515CA"/>
    <w:rsid w:val="00D56F58"/>
    <w:rsid w:val="00D600F6"/>
    <w:rsid w:val="00D7158D"/>
    <w:rsid w:val="00D743BB"/>
    <w:rsid w:val="00D823F6"/>
    <w:rsid w:val="00D84123"/>
    <w:rsid w:val="00D865AC"/>
    <w:rsid w:val="00D91012"/>
    <w:rsid w:val="00D9361D"/>
    <w:rsid w:val="00DA007B"/>
    <w:rsid w:val="00DA20C4"/>
    <w:rsid w:val="00DA2702"/>
    <w:rsid w:val="00DA5A60"/>
    <w:rsid w:val="00DA6527"/>
    <w:rsid w:val="00DB111D"/>
    <w:rsid w:val="00DC01B7"/>
    <w:rsid w:val="00DC2BD7"/>
    <w:rsid w:val="00DC5F0D"/>
    <w:rsid w:val="00DC6103"/>
    <w:rsid w:val="00DD3797"/>
    <w:rsid w:val="00DE19B8"/>
    <w:rsid w:val="00DE291C"/>
    <w:rsid w:val="00DF00B2"/>
    <w:rsid w:val="00DF2525"/>
    <w:rsid w:val="00DF62F3"/>
    <w:rsid w:val="00E00677"/>
    <w:rsid w:val="00E07993"/>
    <w:rsid w:val="00E07DD7"/>
    <w:rsid w:val="00E106C0"/>
    <w:rsid w:val="00E11CC5"/>
    <w:rsid w:val="00E12E2E"/>
    <w:rsid w:val="00E130E6"/>
    <w:rsid w:val="00E1677E"/>
    <w:rsid w:val="00E16964"/>
    <w:rsid w:val="00E21666"/>
    <w:rsid w:val="00E22A3C"/>
    <w:rsid w:val="00E2583A"/>
    <w:rsid w:val="00E2670F"/>
    <w:rsid w:val="00E26883"/>
    <w:rsid w:val="00E31546"/>
    <w:rsid w:val="00E32B12"/>
    <w:rsid w:val="00E34D05"/>
    <w:rsid w:val="00E34DC5"/>
    <w:rsid w:val="00E360D8"/>
    <w:rsid w:val="00E40C9C"/>
    <w:rsid w:val="00E412A1"/>
    <w:rsid w:val="00E439B3"/>
    <w:rsid w:val="00E446FE"/>
    <w:rsid w:val="00E46A87"/>
    <w:rsid w:val="00E5379E"/>
    <w:rsid w:val="00E56515"/>
    <w:rsid w:val="00E60875"/>
    <w:rsid w:val="00E61913"/>
    <w:rsid w:val="00E64354"/>
    <w:rsid w:val="00E654F8"/>
    <w:rsid w:val="00E7486E"/>
    <w:rsid w:val="00E74D82"/>
    <w:rsid w:val="00E7575B"/>
    <w:rsid w:val="00E75CE0"/>
    <w:rsid w:val="00E75F12"/>
    <w:rsid w:val="00E75F38"/>
    <w:rsid w:val="00E76F9E"/>
    <w:rsid w:val="00E83167"/>
    <w:rsid w:val="00E85842"/>
    <w:rsid w:val="00E85B39"/>
    <w:rsid w:val="00E87A24"/>
    <w:rsid w:val="00E910B4"/>
    <w:rsid w:val="00E968D0"/>
    <w:rsid w:val="00E96CA7"/>
    <w:rsid w:val="00EA3C36"/>
    <w:rsid w:val="00EA4C41"/>
    <w:rsid w:val="00EB3896"/>
    <w:rsid w:val="00EB4CED"/>
    <w:rsid w:val="00EB58FA"/>
    <w:rsid w:val="00EB751F"/>
    <w:rsid w:val="00EC44B4"/>
    <w:rsid w:val="00EE0E7E"/>
    <w:rsid w:val="00EE7941"/>
    <w:rsid w:val="00EF0514"/>
    <w:rsid w:val="00EF06EC"/>
    <w:rsid w:val="00EF32B2"/>
    <w:rsid w:val="00EF4DC5"/>
    <w:rsid w:val="00EF5FB2"/>
    <w:rsid w:val="00EF7EBF"/>
    <w:rsid w:val="00F015B3"/>
    <w:rsid w:val="00F03D1F"/>
    <w:rsid w:val="00F0599E"/>
    <w:rsid w:val="00F0776B"/>
    <w:rsid w:val="00F101F4"/>
    <w:rsid w:val="00F12C6E"/>
    <w:rsid w:val="00F155B5"/>
    <w:rsid w:val="00F17F45"/>
    <w:rsid w:val="00F215BD"/>
    <w:rsid w:val="00F23F7E"/>
    <w:rsid w:val="00F23FD5"/>
    <w:rsid w:val="00F32629"/>
    <w:rsid w:val="00F415E6"/>
    <w:rsid w:val="00F41E21"/>
    <w:rsid w:val="00F43FEB"/>
    <w:rsid w:val="00F45D82"/>
    <w:rsid w:val="00F46335"/>
    <w:rsid w:val="00F471B2"/>
    <w:rsid w:val="00F5119D"/>
    <w:rsid w:val="00F51677"/>
    <w:rsid w:val="00F53F1F"/>
    <w:rsid w:val="00F53FF2"/>
    <w:rsid w:val="00F57844"/>
    <w:rsid w:val="00F615B5"/>
    <w:rsid w:val="00F62F67"/>
    <w:rsid w:val="00F67C3A"/>
    <w:rsid w:val="00F67FCC"/>
    <w:rsid w:val="00F71AFD"/>
    <w:rsid w:val="00F72C90"/>
    <w:rsid w:val="00F77408"/>
    <w:rsid w:val="00F80A3E"/>
    <w:rsid w:val="00F82B4C"/>
    <w:rsid w:val="00F84F5C"/>
    <w:rsid w:val="00F86FFE"/>
    <w:rsid w:val="00F900C1"/>
    <w:rsid w:val="00F92F51"/>
    <w:rsid w:val="00F953B5"/>
    <w:rsid w:val="00F96378"/>
    <w:rsid w:val="00FB10E8"/>
    <w:rsid w:val="00FB1D69"/>
    <w:rsid w:val="00FB6304"/>
    <w:rsid w:val="00FB782E"/>
    <w:rsid w:val="00FC1674"/>
    <w:rsid w:val="00FC16B7"/>
    <w:rsid w:val="00FC4188"/>
    <w:rsid w:val="00FC4A98"/>
    <w:rsid w:val="00FC53AA"/>
    <w:rsid w:val="00FC6F62"/>
    <w:rsid w:val="00FC7330"/>
    <w:rsid w:val="00FD08FE"/>
    <w:rsid w:val="00FD282F"/>
    <w:rsid w:val="00FD3848"/>
    <w:rsid w:val="00FD5CA3"/>
    <w:rsid w:val="00FD600D"/>
    <w:rsid w:val="00FD7714"/>
    <w:rsid w:val="00FE272E"/>
    <w:rsid w:val="00FE50A5"/>
    <w:rsid w:val="00FE6570"/>
    <w:rsid w:val="00FE6F0B"/>
    <w:rsid w:val="00FF0112"/>
    <w:rsid w:val="00FF10BB"/>
    <w:rsid w:val="00FF4885"/>
    <w:rsid w:val="00FF60D6"/>
    <w:rsid w:val="03076E95"/>
    <w:rsid w:val="032274FF"/>
    <w:rsid w:val="03A85635"/>
    <w:rsid w:val="04BE5FB8"/>
    <w:rsid w:val="059C5524"/>
    <w:rsid w:val="061B684C"/>
    <w:rsid w:val="09096F55"/>
    <w:rsid w:val="09AA5DE2"/>
    <w:rsid w:val="09CD45A7"/>
    <w:rsid w:val="09F00295"/>
    <w:rsid w:val="0AC459AA"/>
    <w:rsid w:val="0C132FA8"/>
    <w:rsid w:val="0FDF5034"/>
    <w:rsid w:val="11EA117E"/>
    <w:rsid w:val="11F03528"/>
    <w:rsid w:val="12011D23"/>
    <w:rsid w:val="127F2777"/>
    <w:rsid w:val="13B54A2A"/>
    <w:rsid w:val="14FB6736"/>
    <w:rsid w:val="174A46BB"/>
    <w:rsid w:val="1A4D469C"/>
    <w:rsid w:val="1ADA50FC"/>
    <w:rsid w:val="1B796F4B"/>
    <w:rsid w:val="1BA31936"/>
    <w:rsid w:val="1C1805A8"/>
    <w:rsid w:val="1CE96FB3"/>
    <w:rsid w:val="1D732CAB"/>
    <w:rsid w:val="1F13095A"/>
    <w:rsid w:val="20FD17BE"/>
    <w:rsid w:val="21D44D31"/>
    <w:rsid w:val="221F03FB"/>
    <w:rsid w:val="22A74EB8"/>
    <w:rsid w:val="22BA5F5F"/>
    <w:rsid w:val="22C92D43"/>
    <w:rsid w:val="23B961D2"/>
    <w:rsid w:val="240164F2"/>
    <w:rsid w:val="266E44ED"/>
    <w:rsid w:val="27791C41"/>
    <w:rsid w:val="277976C4"/>
    <w:rsid w:val="28444E00"/>
    <w:rsid w:val="286F2E10"/>
    <w:rsid w:val="28A4364F"/>
    <w:rsid w:val="28C71F3F"/>
    <w:rsid w:val="29272FC4"/>
    <w:rsid w:val="2B1C3B3B"/>
    <w:rsid w:val="2BE34A7A"/>
    <w:rsid w:val="2DC36602"/>
    <w:rsid w:val="2E0979F4"/>
    <w:rsid w:val="2E165357"/>
    <w:rsid w:val="2E8E7EF9"/>
    <w:rsid w:val="2EA747E3"/>
    <w:rsid w:val="2F2872A3"/>
    <w:rsid w:val="2F601395"/>
    <w:rsid w:val="2FD959E7"/>
    <w:rsid w:val="30D00938"/>
    <w:rsid w:val="313356F3"/>
    <w:rsid w:val="324666E3"/>
    <w:rsid w:val="33640C7D"/>
    <w:rsid w:val="353337C1"/>
    <w:rsid w:val="356C2617"/>
    <w:rsid w:val="35755627"/>
    <w:rsid w:val="357D7746"/>
    <w:rsid w:val="35DE0994"/>
    <w:rsid w:val="37C443DA"/>
    <w:rsid w:val="38B9372D"/>
    <w:rsid w:val="3BBD74AD"/>
    <w:rsid w:val="3C7857D3"/>
    <w:rsid w:val="3CBE19AA"/>
    <w:rsid w:val="3EE93279"/>
    <w:rsid w:val="40084E11"/>
    <w:rsid w:val="403269EF"/>
    <w:rsid w:val="40662AE7"/>
    <w:rsid w:val="41682533"/>
    <w:rsid w:val="41885269"/>
    <w:rsid w:val="439B47F3"/>
    <w:rsid w:val="441A71AE"/>
    <w:rsid w:val="44286F8B"/>
    <w:rsid w:val="443F631E"/>
    <w:rsid w:val="45184440"/>
    <w:rsid w:val="453352FC"/>
    <w:rsid w:val="46E713EF"/>
    <w:rsid w:val="47820C22"/>
    <w:rsid w:val="498779BB"/>
    <w:rsid w:val="49EE10E4"/>
    <w:rsid w:val="4AC52146"/>
    <w:rsid w:val="4ACF5D8A"/>
    <w:rsid w:val="4C3363A1"/>
    <w:rsid w:val="4D007ED2"/>
    <w:rsid w:val="4D556807"/>
    <w:rsid w:val="4E8F764A"/>
    <w:rsid w:val="4F612B46"/>
    <w:rsid w:val="50246BBE"/>
    <w:rsid w:val="51310E83"/>
    <w:rsid w:val="5179024D"/>
    <w:rsid w:val="519B3A54"/>
    <w:rsid w:val="52854FEC"/>
    <w:rsid w:val="52D801BA"/>
    <w:rsid w:val="530B071F"/>
    <w:rsid w:val="58162554"/>
    <w:rsid w:val="58501BF8"/>
    <w:rsid w:val="59701E3C"/>
    <w:rsid w:val="59D95C1D"/>
    <w:rsid w:val="5A706581"/>
    <w:rsid w:val="5A8E508B"/>
    <w:rsid w:val="5BBA55DA"/>
    <w:rsid w:val="5E514C70"/>
    <w:rsid w:val="5E9E75A3"/>
    <w:rsid w:val="5EE70564"/>
    <w:rsid w:val="62C56A29"/>
    <w:rsid w:val="62FA5CF6"/>
    <w:rsid w:val="63404106"/>
    <w:rsid w:val="634D4663"/>
    <w:rsid w:val="6446500C"/>
    <w:rsid w:val="65F53618"/>
    <w:rsid w:val="67F51835"/>
    <w:rsid w:val="67F85DB4"/>
    <w:rsid w:val="682C032D"/>
    <w:rsid w:val="69B95390"/>
    <w:rsid w:val="6A095754"/>
    <w:rsid w:val="6AE4163B"/>
    <w:rsid w:val="6AF6333E"/>
    <w:rsid w:val="6B372442"/>
    <w:rsid w:val="6BF674FB"/>
    <w:rsid w:val="6C8D3A71"/>
    <w:rsid w:val="6E0B17E4"/>
    <w:rsid w:val="6FAB7493"/>
    <w:rsid w:val="6FED1A1D"/>
    <w:rsid w:val="72B67CDD"/>
    <w:rsid w:val="72F14CA3"/>
    <w:rsid w:val="73AF5D9C"/>
    <w:rsid w:val="73D65EBD"/>
    <w:rsid w:val="74722A8A"/>
    <w:rsid w:val="754A3C0C"/>
    <w:rsid w:val="766215F7"/>
    <w:rsid w:val="76911902"/>
    <w:rsid w:val="77A84676"/>
    <w:rsid w:val="78546D77"/>
    <w:rsid w:val="7B7F31BE"/>
    <w:rsid w:val="7C54220A"/>
    <w:rsid w:val="7D787377"/>
    <w:rsid w:val="7E1079D2"/>
    <w:rsid w:val="7E4061F0"/>
    <w:rsid w:val="7E6671D0"/>
    <w:rsid w:val="7E6D67B0"/>
    <w:rsid w:val="7FE80F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Times New Roman" w:hAnsi="Times New Roman" w:eastAsia="宋体" w:cs="Times New Roman"/>
      <w:sz w:val="24"/>
      <w:szCs w:val="24"/>
      <w:lang w:val="en-US" w:eastAsia="zh-CN" w:bidi="ar-SA"/>
    </w:rPr>
  </w:style>
  <w:style w:type="paragraph" w:styleId="3">
    <w:name w:val="heading 1"/>
    <w:basedOn w:val="1"/>
    <w:next w:val="1"/>
    <w:link w:val="52"/>
    <w:qFormat/>
    <w:uiPriority w:val="99"/>
    <w:pPr>
      <w:keepNext/>
      <w:keepLines/>
      <w:spacing w:before="340" w:after="330" w:line="578" w:lineRule="atLeast"/>
      <w:ind w:left="1272" w:firstLine="288"/>
      <w:outlineLvl w:val="0"/>
    </w:pPr>
    <w:rPr>
      <w:b/>
      <w:bCs/>
      <w:kern w:val="44"/>
      <w:sz w:val="44"/>
      <w:szCs w:val="44"/>
    </w:rPr>
  </w:style>
  <w:style w:type="paragraph" w:styleId="4">
    <w:name w:val="heading 2"/>
    <w:basedOn w:val="1"/>
    <w:next w:val="1"/>
    <w:qFormat/>
    <w:uiPriority w:val="9"/>
    <w:pPr>
      <w:keepNext/>
      <w:keepLines/>
      <w:spacing w:before="260" w:after="260" w:line="416" w:lineRule="atLeast"/>
      <w:ind w:left="1814"/>
      <w:outlineLvl w:val="1"/>
    </w:pPr>
    <w:rPr>
      <w:rFonts w:ascii="Arial" w:hAnsi="Arial"/>
      <w:b/>
      <w:bCs/>
      <w:szCs w:val="32"/>
    </w:rPr>
  </w:style>
  <w:style w:type="paragraph" w:styleId="5">
    <w:name w:val="heading 3"/>
    <w:basedOn w:val="1"/>
    <w:next w:val="1"/>
    <w:qFormat/>
    <w:uiPriority w:val="99"/>
    <w:pPr>
      <w:keepNext/>
      <w:keepLines/>
      <w:spacing w:before="260" w:after="260" w:line="416" w:lineRule="auto"/>
      <w:outlineLvl w:val="2"/>
    </w:pPr>
    <w:rPr>
      <w:b/>
      <w:bCs/>
      <w:sz w:val="28"/>
      <w:szCs w:val="32"/>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58"/>
    <w:qFormat/>
    <w:uiPriority w:val="99"/>
    <w:pPr>
      <w:spacing w:after="120"/>
    </w:pPr>
    <w:rPr>
      <w:sz w:val="20"/>
      <w:szCs w:val="20"/>
    </w:rPr>
  </w:style>
  <w:style w:type="paragraph" w:styleId="6">
    <w:name w:val="Normal Indent"/>
    <w:basedOn w:val="1"/>
    <w:qFormat/>
    <w:uiPriority w:val="0"/>
    <w:pPr>
      <w:snapToGrid w:val="0"/>
      <w:spacing w:line="360" w:lineRule="auto"/>
      <w:ind w:firstLine="420"/>
      <w:jc w:val="both"/>
      <w:textAlignment w:val="auto"/>
    </w:pPr>
    <w:rPr>
      <w:szCs w:val="20"/>
    </w:rPr>
  </w:style>
  <w:style w:type="paragraph" w:styleId="7">
    <w:name w:val="annotation text"/>
    <w:basedOn w:val="1"/>
    <w:link w:val="54"/>
    <w:qFormat/>
    <w:uiPriority w:val="99"/>
    <w:rPr>
      <w:sz w:val="20"/>
      <w:szCs w:val="20"/>
    </w:rPr>
  </w:style>
  <w:style w:type="paragraph" w:styleId="8">
    <w:name w:val="Body Text Indent"/>
    <w:basedOn w:val="1"/>
    <w:unhideWhenUsed/>
    <w:qFormat/>
    <w:uiPriority w:val="99"/>
    <w:pPr>
      <w:spacing w:after="120"/>
      <w:ind w:left="420" w:leftChars="200"/>
    </w:pPr>
  </w:style>
  <w:style w:type="paragraph" w:styleId="9">
    <w:name w:val="Block Text"/>
    <w:basedOn w:val="1"/>
    <w:qFormat/>
    <w:uiPriority w:val="0"/>
    <w:pPr>
      <w:spacing w:line="300" w:lineRule="auto"/>
      <w:ind w:left="958" w:right="-120" w:rightChars="-120"/>
    </w:pPr>
    <w:rPr>
      <w:rFonts w:ascii="宋体" w:hAnsi="宋体"/>
      <w:sz w:val="28"/>
    </w:rPr>
  </w:style>
  <w:style w:type="paragraph" w:styleId="10">
    <w:name w:val="Plain Text"/>
    <w:basedOn w:val="1"/>
    <w:link w:val="41"/>
    <w:qFormat/>
    <w:uiPriority w:val="0"/>
    <w:pPr>
      <w:snapToGrid w:val="0"/>
      <w:spacing w:line="360" w:lineRule="auto"/>
      <w:jc w:val="both"/>
      <w:textAlignment w:val="auto"/>
    </w:pPr>
    <w:rPr>
      <w:rFonts w:ascii="宋体" w:hAnsi="Courier New"/>
      <w:kern w:val="2"/>
      <w:sz w:val="21"/>
      <w:szCs w:val="21"/>
    </w:rPr>
  </w:style>
  <w:style w:type="paragraph" w:styleId="11">
    <w:name w:val="Date"/>
    <w:basedOn w:val="1"/>
    <w:next w:val="1"/>
    <w:qFormat/>
    <w:uiPriority w:val="0"/>
    <w:pPr>
      <w:adjustRightInd/>
      <w:spacing w:line="240" w:lineRule="auto"/>
      <w:jc w:val="both"/>
      <w:textAlignment w:val="auto"/>
    </w:pPr>
    <w:rPr>
      <w:sz w:val="28"/>
      <w:szCs w:val="20"/>
    </w:rPr>
  </w:style>
  <w:style w:type="paragraph" w:styleId="12">
    <w:name w:val="Body Text Indent 2"/>
    <w:basedOn w:val="1"/>
    <w:link w:val="48"/>
    <w:qFormat/>
    <w:uiPriority w:val="0"/>
    <w:pPr>
      <w:spacing w:after="120" w:line="480" w:lineRule="auto"/>
      <w:ind w:left="420" w:leftChars="200"/>
    </w:pPr>
  </w:style>
  <w:style w:type="paragraph" w:styleId="13">
    <w:name w:val="Balloon Text"/>
    <w:basedOn w:val="1"/>
    <w:link w:val="42"/>
    <w:qFormat/>
    <w:uiPriority w:val="0"/>
    <w:pPr>
      <w:spacing w:line="240" w:lineRule="auto"/>
    </w:pPr>
    <w:rPr>
      <w:sz w:val="18"/>
      <w:szCs w:val="18"/>
    </w:rPr>
  </w:style>
  <w:style w:type="paragraph" w:styleId="14">
    <w:name w:val="footer"/>
    <w:basedOn w:val="1"/>
    <w:link w:val="57"/>
    <w:qFormat/>
    <w:uiPriority w:val="99"/>
    <w:pPr>
      <w:tabs>
        <w:tab w:val="center" w:pos="4153"/>
        <w:tab w:val="right" w:pos="8306"/>
      </w:tabs>
      <w:spacing w:line="240" w:lineRule="atLeast"/>
    </w:pPr>
    <w:rPr>
      <w:sz w:val="18"/>
      <w:szCs w:val="18"/>
    </w:rPr>
  </w:style>
  <w:style w:type="paragraph" w:styleId="15">
    <w:name w:val="header"/>
    <w:basedOn w:val="1"/>
    <w:qFormat/>
    <w:uiPriority w:val="99"/>
    <w:pPr>
      <w:pBdr>
        <w:bottom w:val="single" w:color="auto" w:sz="6" w:space="1"/>
      </w:pBdr>
      <w:tabs>
        <w:tab w:val="center" w:pos="4153"/>
        <w:tab w:val="right" w:pos="8306"/>
      </w:tabs>
      <w:spacing w:line="240" w:lineRule="atLeast"/>
      <w:jc w:val="center"/>
    </w:pPr>
    <w:rPr>
      <w:sz w:val="20"/>
      <w:szCs w:val="20"/>
    </w:rPr>
  </w:style>
  <w:style w:type="paragraph" w:styleId="16">
    <w:name w:val="toc 1"/>
    <w:basedOn w:val="1"/>
    <w:next w:val="1"/>
    <w:qFormat/>
    <w:uiPriority w:val="39"/>
    <w:pPr>
      <w:tabs>
        <w:tab w:val="right" w:leader="dot" w:pos="8721"/>
      </w:tabs>
    </w:pPr>
    <w:rPr>
      <w:rFonts w:ascii="宋体" w:hAnsi="宋体" w:cs="宋体"/>
      <w:color w:val="FF0000"/>
      <w:sz w:val="21"/>
      <w:szCs w:val="21"/>
    </w:rPr>
  </w:style>
  <w:style w:type="paragraph" w:styleId="17">
    <w:name w:val="Body Text Indent 3"/>
    <w:basedOn w:val="1"/>
    <w:qFormat/>
    <w:uiPriority w:val="0"/>
    <w:pPr>
      <w:adjustRightInd/>
      <w:spacing w:line="360" w:lineRule="auto"/>
      <w:ind w:firstLine="632"/>
      <w:jc w:val="both"/>
      <w:textAlignment w:val="auto"/>
    </w:pPr>
    <w:rPr>
      <w:rFonts w:ascii="黑体" w:eastAsia="黑体"/>
      <w:sz w:val="28"/>
      <w:szCs w:val="20"/>
    </w:rPr>
  </w:style>
  <w:style w:type="paragraph" w:styleId="18">
    <w:name w:val="toc 2"/>
    <w:basedOn w:val="1"/>
    <w:next w:val="1"/>
    <w:qFormat/>
    <w:uiPriority w:val="39"/>
    <w:pPr>
      <w:ind w:left="210"/>
    </w:pPr>
    <w:rPr>
      <w:rFonts w:asciiTheme="minorHAnsi" w:hAnsiTheme="minorHAnsi" w:cstheme="minorHAnsi"/>
      <w:smallCaps/>
      <w:sz w:val="20"/>
      <w:szCs w:val="20"/>
    </w:rPr>
  </w:style>
  <w:style w:type="paragraph" w:styleId="19">
    <w:name w:val="Body Text 2"/>
    <w:basedOn w:val="1"/>
    <w:next w:val="2"/>
    <w:qFormat/>
    <w:uiPriority w:val="0"/>
    <w:pPr>
      <w:snapToGrid w:val="0"/>
      <w:spacing w:after="120" w:line="480" w:lineRule="auto"/>
      <w:jc w:val="both"/>
      <w:textAlignment w:val="auto"/>
    </w:pPr>
    <w:rPr>
      <w:szCs w:val="20"/>
    </w:rPr>
  </w:style>
  <w:style w:type="paragraph" w:styleId="20">
    <w:name w:val="Normal (Web)"/>
    <w:basedOn w:val="1"/>
    <w:unhideWhenUsed/>
    <w:qFormat/>
    <w:uiPriority w:val="99"/>
    <w:pPr>
      <w:widowControl/>
      <w:adjustRightInd/>
      <w:spacing w:before="100" w:beforeAutospacing="1" w:after="100" w:afterAutospacing="1" w:line="240" w:lineRule="auto"/>
      <w:textAlignment w:val="auto"/>
    </w:pPr>
    <w:rPr>
      <w:rFonts w:ascii="宋体" w:hAnsi="宋体" w:cs="宋体"/>
    </w:rPr>
  </w:style>
  <w:style w:type="paragraph" w:styleId="21">
    <w:name w:val="Title"/>
    <w:basedOn w:val="1"/>
    <w:qFormat/>
    <w:uiPriority w:val="0"/>
    <w:pPr>
      <w:adjustRightInd/>
      <w:spacing w:before="240" w:after="60" w:line="240" w:lineRule="auto"/>
      <w:jc w:val="center"/>
      <w:textAlignment w:val="auto"/>
      <w:outlineLvl w:val="0"/>
    </w:pPr>
    <w:rPr>
      <w:b/>
      <w:bCs/>
      <w:sz w:val="20"/>
      <w:szCs w:val="20"/>
    </w:rPr>
  </w:style>
  <w:style w:type="paragraph" w:styleId="22">
    <w:name w:val="annotation subject"/>
    <w:basedOn w:val="7"/>
    <w:next w:val="7"/>
    <w:link w:val="55"/>
    <w:qFormat/>
    <w:uiPriority w:val="0"/>
    <w:rPr>
      <w:b/>
      <w:bCs/>
      <w:sz w:val="24"/>
      <w:szCs w:val="24"/>
    </w:rPr>
  </w:style>
  <w:style w:type="paragraph" w:styleId="23">
    <w:name w:val="Body Text First Indent 2"/>
    <w:basedOn w:val="8"/>
    <w:qFormat/>
    <w:uiPriority w:val="0"/>
    <w:pPr>
      <w:adjustRightInd/>
      <w:spacing w:line="240" w:lineRule="auto"/>
      <w:ind w:firstLine="420" w:firstLineChars="200"/>
      <w:jc w:val="both"/>
      <w:textAlignment w:val="auto"/>
    </w:pPr>
    <w:rPr>
      <w:sz w:val="44"/>
      <w:szCs w:val="20"/>
    </w:rPr>
  </w:style>
  <w:style w:type="table" w:styleId="25">
    <w:name w:val="Table Grid"/>
    <w:basedOn w:val="2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page number"/>
    <w:qFormat/>
    <w:uiPriority w:val="0"/>
  </w:style>
  <w:style w:type="character" w:styleId="28">
    <w:name w:val="FollowedHyperlink"/>
    <w:basedOn w:val="26"/>
    <w:qFormat/>
    <w:uiPriority w:val="0"/>
    <w:rPr>
      <w:color w:val="954F72" w:themeColor="followedHyperlink"/>
      <w:u w:val="single"/>
      <w14:textFill>
        <w14:solidFill>
          <w14:schemeClr w14:val="folHlink"/>
        </w14:solidFill>
      </w14:textFill>
    </w:rPr>
  </w:style>
  <w:style w:type="character" w:styleId="29">
    <w:name w:val="Hyperlink"/>
    <w:basedOn w:val="26"/>
    <w:qFormat/>
    <w:uiPriority w:val="99"/>
    <w:rPr>
      <w:color w:val="0000FF"/>
      <w:u w:val="single"/>
    </w:rPr>
  </w:style>
  <w:style w:type="character" w:styleId="30">
    <w:name w:val="annotation reference"/>
    <w:basedOn w:val="26"/>
    <w:qFormat/>
    <w:uiPriority w:val="0"/>
    <w:rPr>
      <w:sz w:val="21"/>
      <w:szCs w:val="21"/>
    </w:rPr>
  </w:style>
  <w:style w:type="paragraph" w:styleId="31">
    <w:name w:val="List Paragraph"/>
    <w:basedOn w:val="1"/>
    <w:link w:val="53"/>
    <w:qFormat/>
    <w:uiPriority w:val="34"/>
    <w:pPr>
      <w:adjustRightInd/>
      <w:spacing w:line="240" w:lineRule="auto"/>
      <w:ind w:firstLine="420" w:firstLineChars="200"/>
      <w:jc w:val="both"/>
      <w:textAlignment w:val="auto"/>
    </w:pPr>
    <w:rPr>
      <w:rFonts w:ascii="Calibri" w:hAnsi="Calibri"/>
      <w:kern w:val="2"/>
      <w:sz w:val="21"/>
      <w:szCs w:val="22"/>
    </w:rPr>
  </w:style>
  <w:style w:type="paragraph" w:customStyle="1" w:styleId="32">
    <w:name w:val="目录 11"/>
    <w:basedOn w:val="1"/>
    <w:next w:val="1"/>
    <w:qFormat/>
    <w:uiPriority w:val="39"/>
    <w:pPr>
      <w:tabs>
        <w:tab w:val="right" w:leader="dot" w:pos="8721"/>
      </w:tabs>
    </w:pPr>
    <w:rPr>
      <w:rFonts w:ascii="宋体" w:hAnsi="宋体" w:cs="宋体"/>
      <w:color w:val="FF0000"/>
      <w:sz w:val="21"/>
      <w:szCs w:val="21"/>
    </w:rPr>
  </w:style>
  <w:style w:type="paragraph" w:customStyle="1" w:styleId="33">
    <w:name w:val="样式 首行缩进:  2 字符"/>
    <w:basedOn w:val="1"/>
    <w:qFormat/>
    <w:uiPriority w:val="0"/>
    <w:pPr>
      <w:adjustRightInd/>
      <w:spacing w:line="400" w:lineRule="exact"/>
      <w:ind w:firstLine="200" w:firstLineChars="200"/>
      <w:jc w:val="both"/>
      <w:textAlignment w:val="auto"/>
    </w:pPr>
    <w:rPr>
      <w:rFonts w:cs="宋体"/>
      <w:kern w:val="2"/>
    </w:rPr>
  </w:style>
  <w:style w:type="paragraph" w:customStyle="1" w:styleId="34">
    <w:name w:val="列出段落1"/>
    <w:basedOn w:val="1"/>
    <w:qFormat/>
    <w:uiPriority w:val="0"/>
    <w:pPr>
      <w:ind w:firstLine="420" w:firstLineChars="200"/>
    </w:pPr>
  </w:style>
  <w:style w:type="paragraph" w:customStyle="1" w:styleId="3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6">
    <w:name w:val="楷体粗正文文字"/>
    <w:basedOn w:val="1"/>
    <w:next w:val="17"/>
    <w:qFormat/>
    <w:uiPriority w:val="0"/>
    <w:pPr>
      <w:snapToGrid w:val="0"/>
      <w:spacing w:line="480" w:lineRule="exact"/>
      <w:ind w:firstLine="560"/>
    </w:pPr>
    <w:rPr>
      <w:sz w:val="28"/>
    </w:rPr>
  </w:style>
  <w:style w:type="paragraph" w:customStyle="1" w:styleId="37">
    <w:name w:val="*正文"/>
    <w:basedOn w:val="1"/>
    <w:qFormat/>
    <w:uiPriority w:val="0"/>
    <w:pPr>
      <w:ind w:firstLine="200" w:firstLineChars="200"/>
    </w:pPr>
    <w:rPr>
      <w:rFonts w:ascii="宋体" w:hAnsi="宋体"/>
      <w:szCs w:val="22"/>
    </w:rPr>
  </w:style>
  <w:style w:type="character" w:customStyle="1" w:styleId="38">
    <w:name w:val="Char Char4"/>
    <w:qFormat/>
    <w:uiPriority w:val="0"/>
    <w:rPr>
      <w:rFonts w:eastAsia="宋体"/>
      <w:b/>
      <w:kern w:val="2"/>
      <w:sz w:val="21"/>
      <w:lang w:val="en-US" w:eastAsia="zh-CN"/>
    </w:rPr>
  </w:style>
  <w:style w:type="character" w:customStyle="1" w:styleId="39">
    <w:name w:val="font01"/>
    <w:basedOn w:val="26"/>
    <w:qFormat/>
    <w:uiPriority w:val="0"/>
    <w:rPr>
      <w:rFonts w:hint="eastAsia" w:ascii="宋体" w:hAnsi="宋体" w:eastAsia="宋体" w:cs="宋体"/>
      <w:b/>
      <w:bCs/>
      <w:color w:val="000000"/>
      <w:sz w:val="21"/>
      <w:szCs w:val="21"/>
      <w:u w:val="none"/>
    </w:rPr>
  </w:style>
  <w:style w:type="character" w:customStyle="1" w:styleId="40">
    <w:name w:val="font11"/>
    <w:basedOn w:val="26"/>
    <w:qFormat/>
    <w:uiPriority w:val="0"/>
    <w:rPr>
      <w:rFonts w:hint="eastAsia" w:ascii="宋体" w:hAnsi="宋体" w:eastAsia="宋体" w:cs="宋体"/>
      <w:color w:val="000000"/>
      <w:sz w:val="21"/>
      <w:szCs w:val="21"/>
      <w:u w:val="none"/>
    </w:rPr>
  </w:style>
  <w:style w:type="character" w:customStyle="1" w:styleId="41">
    <w:name w:val="纯文本 字符"/>
    <w:basedOn w:val="26"/>
    <w:link w:val="10"/>
    <w:qFormat/>
    <w:uiPriority w:val="0"/>
    <w:rPr>
      <w:rFonts w:ascii="宋体" w:hAnsi="Courier New"/>
      <w:kern w:val="2"/>
      <w:sz w:val="21"/>
      <w:szCs w:val="21"/>
    </w:rPr>
  </w:style>
  <w:style w:type="character" w:customStyle="1" w:styleId="42">
    <w:name w:val="批注框文本 字符"/>
    <w:basedOn w:val="26"/>
    <w:link w:val="13"/>
    <w:qFormat/>
    <w:uiPriority w:val="0"/>
    <w:rPr>
      <w:sz w:val="18"/>
      <w:szCs w:val="18"/>
    </w:rPr>
  </w:style>
  <w:style w:type="character" w:customStyle="1" w:styleId="43">
    <w:name w:val="纯文本 字符1"/>
    <w:qFormat/>
    <w:uiPriority w:val="0"/>
    <w:rPr>
      <w:rFonts w:ascii="andale mono" w:hAnsi="Microsoft Sans Serif"/>
      <w:kern w:val="2"/>
      <w:sz w:val="21"/>
    </w:rPr>
  </w:style>
  <w:style w:type="paragraph" w:styleId="44">
    <w:name w:val="No Spacing"/>
    <w:qFormat/>
    <w:uiPriority w:val="1"/>
    <w:pPr>
      <w:widowControl w:val="0"/>
      <w:jc w:val="both"/>
    </w:pPr>
    <w:rPr>
      <w:rFonts w:ascii="宋体" w:hAnsi="宋体" w:eastAsia="宋体" w:cs="Times New Roman"/>
      <w:kern w:val="2"/>
      <w:sz w:val="21"/>
      <w:szCs w:val="21"/>
      <w:lang w:val="en-US" w:eastAsia="zh-CN" w:bidi="ar-SA"/>
    </w:rPr>
  </w:style>
  <w:style w:type="character" w:customStyle="1" w:styleId="45">
    <w:name w:val="标题 Char"/>
    <w:qFormat/>
    <w:uiPriority w:val="0"/>
    <w:rPr>
      <w:rFonts w:ascii="Arial Black" w:hAnsi="Arial Black" w:cs="Arial"/>
      <w:b/>
      <w:bCs/>
      <w:kern w:val="2"/>
      <w:sz w:val="32"/>
      <w:szCs w:val="32"/>
    </w:rPr>
  </w:style>
  <w:style w:type="paragraph" w:customStyle="1" w:styleId="46">
    <w:name w:val="1"/>
    <w:basedOn w:val="1"/>
    <w:next w:val="10"/>
    <w:link w:val="49"/>
    <w:qFormat/>
    <w:uiPriority w:val="99"/>
    <w:rPr>
      <w:rFonts w:ascii="宋体" w:hAnsi="Courier New"/>
      <w:sz w:val="21"/>
    </w:rPr>
  </w:style>
  <w:style w:type="paragraph" w:customStyle="1" w:styleId="47">
    <w:name w:val="Style1"/>
    <w:next w:val="1"/>
    <w:qFormat/>
    <w:uiPriority w:val="0"/>
    <w:pPr>
      <w:numPr>
        <w:ilvl w:val="0"/>
        <w:numId w:val="1"/>
      </w:numPr>
      <w:tabs>
        <w:tab w:val="left" w:pos="432"/>
        <w:tab w:val="left" w:pos="720"/>
        <w:tab w:val="left" w:pos="1616"/>
        <w:tab w:val="left" w:pos="1914"/>
        <w:tab w:val="left" w:pos="2162"/>
        <w:tab w:val="left" w:pos="2411"/>
        <w:tab w:val="left" w:pos="2880"/>
        <w:tab w:val="left" w:pos="3600"/>
        <w:tab w:val="left" w:pos="3685"/>
        <w:tab w:val="left" w:pos="4320"/>
        <w:tab w:val="right" w:pos="4536"/>
        <w:tab w:val="left" w:pos="4819"/>
        <w:tab w:val="left" w:pos="5040"/>
        <w:tab w:val="left" w:pos="5760"/>
        <w:tab w:val="left" w:pos="5952"/>
        <w:tab w:val="left" w:pos="6480"/>
        <w:tab w:val="left" w:pos="7177"/>
        <w:tab w:val="left" w:pos="7920"/>
        <w:tab w:val="left" w:pos="8220"/>
        <w:tab w:val="left" w:pos="8640"/>
        <w:tab w:val="left" w:pos="9337"/>
        <w:tab w:val="left" w:pos="10488"/>
        <w:tab w:val="left" w:pos="11622"/>
        <w:tab w:val="left" w:pos="12756"/>
        <w:tab w:val="left" w:pos="13890"/>
        <w:tab w:val="left" w:pos="14377"/>
        <w:tab w:val="left" w:pos="15097"/>
        <w:tab w:val="left" w:pos="15817"/>
        <w:tab w:val="left" w:pos="16537"/>
        <w:tab w:val="left" w:pos="17257"/>
        <w:tab w:val="left" w:pos="17977"/>
        <w:tab w:val="left" w:pos="18697"/>
        <w:tab w:val="left" w:pos="19417"/>
        <w:tab w:val="left" w:pos="20137"/>
      </w:tabs>
      <w:spacing w:line="360" w:lineRule="auto"/>
      <w:jc w:val="center"/>
    </w:pPr>
    <w:rPr>
      <w:rFonts w:ascii="Times New Roman" w:hAnsi="Times New Roman" w:eastAsia="宋体" w:cs="andale mono"/>
      <w:b/>
      <w:kern w:val="24"/>
      <w:sz w:val="24"/>
      <w:lang w:val="en-GB" w:eastAsia="zh-CN" w:bidi="ar-SA"/>
    </w:rPr>
  </w:style>
  <w:style w:type="character" w:customStyle="1" w:styleId="48">
    <w:name w:val="正文文本缩进 2 字符"/>
    <w:basedOn w:val="26"/>
    <w:link w:val="12"/>
    <w:qFormat/>
    <w:uiPriority w:val="0"/>
    <w:rPr>
      <w:sz w:val="24"/>
      <w:szCs w:val="24"/>
    </w:rPr>
  </w:style>
  <w:style w:type="character" w:customStyle="1" w:styleId="49">
    <w:name w:val="1[858D7CFB-ED40-4347-BF05-701D383B685F]"/>
    <w:link w:val="46"/>
    <w:qFormat/>
    <w:uiPriority w:val="0"/>
    <w:rPr>
      <w:rFonts w:ascii="宋体" w:hAnsi="Courier New"/>
      <w:sz w:val="21"/>
      <w:szCs w:val="24"/>
    </w:rPr>
  </w:style>
  <w:style w:type="table" w:customStyle="1" w:styleId="50">
    <w:name w:val="网格型1"/>
    <w:basedOn w:val="24"/>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1">
    <w:name w:val="p"/>
    <w:basedOn w:val="1"/>
    <w:qFormat/>
    <w:uiPriority w:val="0"/>
    <w:pPr>
      <w:widowControl/>
      <w:adjustRightInd/>
      <w:spacing w:before="100" w:beforeAutospacing="1" w:after="100" w:afterAutospacing="1" w:line="240" w:lineRule="auto"/>
      <w:textAlignment w:val="auto"/>
    </w:pPr>
    <w:rPr>
      <w:rFonts w:ascii="宋体" w:hAnsi="宋体" w:cs="宋体"/>
    </w:rPr>
  </w:style>
  <w:style w:type="character" w:customStyle="1" w:styleId="52">
    <w:name w:val="标题 1 字符"/>
    <w:link w:val="3"/>
    <w:qFormat/>
    <w:uiPriority w:val="99"/>
    <w:rPr>
      <w:b/>
      <w:bCs/>
      <w:kern w:val="44"/>
      <w:sz w:val="44"/>
      <w:szCs w:val="44"/>
    </w:rPr>
  </w:style>
  <w:style w:type="character" w:customStyle="1" w:styleId="53">
    <w:name w:val="列表段落 字符"/>
    <w:link w:val="31"/>
    <w:qFormat/>
    <w:uiPriority w:val="99"/>
    <w:rPr>
      <w:rFonts w:ascii="Calibri" w:hAnsi="Calibri"/>
      <w:kern w:val="2"/>
      <w:sz w:val="21"/>
      <w:szCs w:val="22"/>
    </w:rPr>
  </w:style>
  <w:style w:type="character" w:customStyle="1" w:styleId="54">
    <w:name w:val="批注文字 字符"/>
    <w:basedOn w:val="26"/>
    <w:link w:val="7"/>
    <w:qFormat/>
    <w:uiPriority w:val="99"/>
  </w:style>
  <w:style w:type="character" w:customStyle="1" w:styleId="55">
    <w:name w:val="批注主题 字符"/>
    <w:basedOn w:val="54"/>
    <w:link w:val="22"/>
    <w:qFormat/>
    <w:uiPriority w:val="0"/>
    <w:rPr>
      <w:b/>
      <w:bCs/>
      <w:sz w:val="24"/>
      <w:szCs w:val="24"/>
    </w:rPr>
  </w:style>
  <w:style w:type="paragraph" w:customStyle="1" w:styleId="56">
    <w:name w:val="修订1"/>
    <w:hidden/>
    <w:semiHidden/>
    <w:qFormat/>
    <w:uiPriority w:val="99"/>
    <w:rPr>
      <w:rFonts w:ascii="Times New Roman" w:hAnsi="Times New Roman" w:eastAsia="宋体" w:cs="Times New Roman"/>
      <w:sz w:val="24"/>
      <w:szCs w:val="24"/>
      <w:lang w:val="en-US" w:eastAsia="zh-CN" w:bidi="ar-SA"/>
    </w:rPr>
  </w:style>
  <w:style w:type="character" w:customStyle="1" w:styleId="57">
    <w:name w:val="页脚 字符"/>
    <w:basedOn w:val="26"/>
    <w:link w:val="14"/>
    <w:qFormat/>
    <w:uiPriority w:val="99"/>
    <w:rPr>
      <w:sz w:val="18"/>
      <w:szCs w:val="18"/>
    </w:rPr>
  </w:style>
  <w:style w:type="character" w:customStyle="1" w:styleId="58">
    <w:name w:val="正文文本 字符"/>
    <w:basedOn w:val="26"/>
    <w:link w:val="2"/>
    <w:qFormat/>
    <w:uiPriority w:val="99"/>
  </w:style>
  <w:style w:type="paragraph" w:customStyle="1" w:styleId="59">
    <w:name w:val="修订2"/>
    <w:hidden/>
    <w:unhideWhenUsed/>
    <w:qFormat/>
    <w:uiPriority w:val="99"/>
    <w:rPr>
      <w:rFonts w:ascii="Times New Roman" w:hAnsi="Times New Roman" w:eastAsia="宋体" w:cs="Times New Roman"/>
      <w:sz w:val="24"/>
      <w:szCs w:val="24"/>
      <w:lang w:val="en-US" w:eastAsia="zh-CN" w:bidi="ar-SA"/>
    </w:rPr>
  </w:style>
  <w:style w:type="paragraph" w:customStyle="1" w:styleId="60">
    <w:name w:val="修订3"/>
    <w:hidden/>
    <w:unhideWhenUsed/>
    <w:qFormat/>
    <w:uiPriority w:val="99"/>
    <w:rPr>
      <w:rFonts w:ascii="Times New Roman" w:hAnsi="Times New Roman" w:eastAsia="宋体"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7" Type="http://schemas.openxmlformats.org/officeDocument/2006/relationships/fontTable" Target="fontTable.xml"/><Relationship Id="rId26" Type="http://schemas.openxmlformats.org/officeDocument/2006/relationships/customXml" Target="../customXml/item2.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5.png"/><Relationship Id="rId22" Type="http://schemas.openxmlformats.org/officeDocument/2006/relationships/image" Target="media/image4.png"/><Relationship Id="rId21" Type="http://schemas.openxmlformats.org/officeDocument/2006/relationships/image" Target="media/image3.jpeg"/><Relationship Id="rId20" Type="http://schemas.openxmlformats.org/officeDocument/2006/relationships/image" Target="media/image2.jpeg"/><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8.xml"/><Relationship Id="rId17" Type="http://schemas.openxmlformats.org/officeDocument/2006/relationships/header" Target="header6.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oleObject" Target="embeddings/oleObject1.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824F144-B15E-4BDF-A333-90C0C1993E09}">
  <ds:schemaRefs/>
</ds:datastoreItem>
</file>

<file path=docProps/app.xml><?xml version="1.0" encoding="utf-8"?>
<Properties xmlns="http://schemas.openxmlformats.org/officeDocument/2006/extended-properties" xmlns:vt="http://schemas.openxmlformats.org/officeDocument/2006/docPropsVTypes">
  <Template>Normal</Template>
  <Company>swu</Company>
  <Pages>90</Pages>
  <Words>9218</Words>
  <Characters>52547</Characters>
  <Lines>437</Lines>
  <Paragraphs>123</Paragraphs>
  <TotalTime>3</TotalTime>
  <ScaleCrop>false</ScaleCrop>
  <LinksUpToDate>false</LinksUpToDate>
  <CharactersWithSpaces>61642</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2023-09-27T09:44:00Z</dcterms:created>
  <dc:creator>火焰-IT</dc:creator>
  <cp:lastModifiedBy>空气</cp:lastModifiedBy>
  <cp:lastPrinted>2023-06-29T02:41:00Z</cp:lastPrinted>
  <dcterms:modified xsi:type="dcterms:W3CDTF">2023-10-13T03:34:58Z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2E5CA20537A84439BDC4D9CD2910C0E8_13</vt:lpwstr>
  </property>
</Properties>
</file>