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bookmarkStart w:id="4" w:name="_GoBack"/>
      <w:bookmarkEnd w:id="4"/>
      <w:r>
        <w:rPr>
          <w:rFonts w:ascii="宋体" w:hAnsi="宋体"/>
          <w:b/>
          <w:color w:val="auto"/>
          <w:sz w:val="24"/>
          <w:highlight w:val="none"/>
        </w:rPr>
        <w:br w:type="page"/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4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同步热分析仪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详见采购需求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tabs>
          <w:tab w:val="left" w:pos="720"/>
        </w:tabs>
        <w:adjustRightInd w:val="0"/>
        <w:snapToGrid w:val="0"/>
        <w:jc w:val="center"/>
        <w:rPr>
          <w:rFonts w:hint="eastAsia" w:hAnsi="宋体"/>
          <w:b/>
          <w:color w:val="auto"/>
          <w:sz w:val="24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二、总则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int="eastAsia" w:hAnsi="宋体"/>
          <w:b/>
          <w:color w:val="auto"/>
          <w:sz w:val="28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  <w:r>
        <w:rPr>
          <w:rFonts w:hAnsi="宋体"/>
          <w:b/>
          <w:color w:val="auto"/>
          <w:sz w:val="28"/>
          <w:highlight w:val="none"/>
        </w:rPr>
        <w:br w:type="page"/>
      </w:r>
      <w:r>
        <w:rPr>
          <w:rFonts w:hint="eastAsia" w:hAnsi="宋体"/>
          <w:b/>
          <w:color w:val="auto"/>
          <w:sz w:val="28"/>
          <w:highlight w:val="none"/>
        </w:rPr>
        <w:t>三、具体技术规格</w:t>
      </w:r>
    </w:p>
    <w:p>
      <w:pPr>
        <w:rPr>
          <w:rFonts w:hint="eastAsia"/>
          <w:color w:val="auto"/>
          <w:sz w:val="24"/>
          <w:highlight w:val="none"/>
        </w:rPr>
      </w:pPr>
    </w:p>
    <w:p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第1包 同步热分析仪</w:t>
      </w: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技术要求：</w:t>
      </w:r>
    </w:p>
    <w:p>
      <w:pPr>
        <w:rPr>
          <w:rFonts w:hint="eastAsia" w:ascii="宋体" w:hAnsi="宋体" w:cs="宋体"/>
          <w:b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rPr>
          <w:rFonts w:hint="eastAsia" w:ascii="宋体" w:hAnsi="宋体" w:cs="宋体"/>
          <w:color w:val="auto"/>
          <w:position w:val="-14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1.1 适于在气温为摄氏-40℃～＋50℃和相对湿度为90％的环境条件下运输和贮存。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1.2 适于在电源220V（±10％）/50Hz/16A、气温摄氏+15℃～＋30℃和相对湿度小于80％的环境条件下运行。能够连续正常工作。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1.3  配置符合中国有关标准要求的插头，如果没有这样的插头，则需提供适当的转换插座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设备用途：</w:t>
      </w:r>
    </w:p>
    <w:p>
      <w:pPr>
        <w:spacing w:line="360" w:lineRule="auto"/>
        <w:ind w:firstLine="42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热分析技术是表征材料的性质与温度关系的一组技术，包含有TG-DSC/DTA同步热分析及单独热重分析，它在定性、定量表征材料的热性能、物理性能、机械性能以及稳定性等方面有着广泛的应用，可用于相变材料、熔岩研究、金属冶金、金属材料腐蚀、高温陶瓷材料、无机物、高分子化合物、精细化工产品等领域。超高温综合热分析在高温陶瓷、合金、熔岩及相变材料领域有着重要应用意义，可应用于相变热定量分析、反应特性、气-固两相反应的动力学、材料比热准确测定、材料抗氧化研究/耐腐蚀等研究，以及表征材料的耐高温性能。主要用于相变材料、熔岩、碱土金属、高温合金材料以及表面耐高温涂层材料的开发及应用研究。</w:t>
      </w:r>
    </w:p>
    <w:p>
      <w:pPr>
        <w:spacing w:line="360" w:lineRule="auto"/>
        <w:rPr>
          <w:rFonts w:hint="eastAsia" w:hAnsi="等线" w:eastAsia="等线"/>
          <w:color w:val="auto"/>
          <w:szCs w:val="21"/>
          <w:highlight w:val="none"/>
          <w:lang w:val="en-AU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 整体设计：垂直炉体设计，配置不同温度段适用的即插即用式DSC及DTA及单独热重传感器，用户可在不使用工具条件下轻易切换炉体控温及测试传感器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3.2 温度范围：最高测试温度不低于1750℃，配置室温至1750℃的炉体控温及同步热分析传感器模块，配置室温至1000℃的炉体控温及同步热分析传感器模块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bookmarkStart w:id="0" w:name="_Hlk141972874"/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＃</w:t>
      </w:r>
      <w:bookmarkEnd w:id="0"/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3.3 升降温速率：0-100 K/min，全量程范围内均可实现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3.4 氧化性气氛：氧化性气氛下，单独TG及DTA-TG同步测试工作温度可达1750℃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bookmarkStart w:id="1" w:name="_Hlk141973428"/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bookmarkEnd w:id="1"/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3.5 高温恒温：氧化气氛下可长期高温恒温工作，可在1500℃恒温24h，仪器无损伤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3.6 炉体材料：石墨电阻材料加热元件，最高加热温度可至2400 ℃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3.7 天平：高性能抗干扰，开机即用，无需外接恒温设备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3.8 装样方式：TG-DSC联用及单独热重均采用悬挂式放置样品，可实现无坩埚放样，保证样品重心不变，提高测试重复性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3.9 最大载重量：35g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3.10 TG 量程：±200mg及±2000mg（软件内可自动切换，保证满足要求条件下的最高灵敏度）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3.11 TG 分辨率：0.02 μg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3.12 TG稳定性：1000℃，TG信号漂移小于0.6μg/h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3.13 TG重复性：基线重复误差小于10 μg</w:t>
      </w:r>
    </w:p>
    <w:p>
      <w:pPr>
        <w:spacing w:line="360" w:lineRule="auto"/>
        <w:jc w:val="left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3.14 成型样品测试：允许测试长度最大为</w:t>
      </w:r>
      <w:r>
        <w:rPr>
          <w:rFonts w:ascii="宋体" w:hAnsi="宋体" w:cs="宋体"/>
          <w:color w:val="auto"/>
          <w:sz w:val="24"/>
          <w:highlight w:val="none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0mm的柱状或片状样品，可直接悬挂大体积及不规则成型样品。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 xml:space="preserve">3.15 </w:t>
      </w:r>
      <w:r>
        <w:rPr>
          <w:rFonts w:hint="eastAsia" w:ascii="宋体" w:hAnsi="宋体" w:cs="宋体"/>
          <w:color w:val="auto"/>
          <w:sz w:val="24"/>
          <w:highlight w:val="none"/>
        </w:rPr>
        <w:t>温度精度：±0.4℃（基于标准金属样品验证）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</w:t>
      </w:r>
      <w:r>
        <w:rPr>
          <w:rFonts w:ascii="宋体" w:hAnsi="宋体" w:cs="宋体"/>
          <w:color w:val="auto"/>
          <w:sz w:val="24"/>
          <w:highlight w:val="none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量热准确度：±1%（基于标准金属样品验证）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</w:t>
      </w:r>
      <w:r>
        <w:rPr>
          <w:rFonts w:ascii="宋体" w:hAnsi="宋体" w:cs="宋体"/>
          <w:color w:val="auto"/>
          <w:sz w:val="24"/>
          <w:highlight w:val="none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DSC分辨率：0.4 µw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3.1</w:t>
      </w:r>
      <w:r>
        <w:rPr>
          <w:rFonts w:ascii="宋体" w:hAnsi="宋体" w:cs="宋体"/>
          <w:color w:val="auto"/>
          <w:sz w:val="24"/>
          <w:highlight w:val="none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保护型TG-DTA传感器：可测试腐蚀性样品，物质分解释放的腐蚀性产物不会与金属传感器部件接触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＃</w:t>
      </w:r>
      <w:r>
        <w:rPr>
          <w:rFonts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3.1</w:t>
      </w:r>
      <w:r>
        <w:rPr>
          <w:rFonts w:ascii="宋体" w:hAnsi="宋体" w:cs="宋体"/>
          <w:color w:val="auto"/>
          <w:sz w:val="24"/>
          <w:highlight w:val="none"/>
        </w:rPr>
        <w:t>9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可升级水蒸气模块：室温至1750℃温度范围内允许通入相对湿度为0至95%水蒸气气氛，实现单独TG及TG-DTA/DSC测试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</w:t>
      </w:r>
      <w:r>
        <w:rPr>
          <w:rFonts w:ascii="宋体" w:hAnsi="宋体" w:cs="宋体"/>
          <w:color w:val="auto"/>
          <w:sz w:val="24"/>
          <w:highlight w:val="none"/>
        </w:rPr>
        <w:t>20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吹扫气氛：气氛由上至下吹扫，与样品充分接触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3.2</w:t>
      </w:r>
      <w:r>
        <w:rPr>
          <w:rFonts w:ascii="宋体" w:hAnsi="宋体" w:cs="宋体"/>
          <w:color w:val="auto"/>
          <w:sz w:val="24"/>
          <w:highlight w:val="none"/>
        </w:rPr>
        <w:t>1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气氛：内置质量流量计控制3路气氛输入，软件内可实时调整气体流量及气体种类切换，单一炉体即可实现惰性，氧化，还原，水蒸汽、腐蚀气体下测试，方便与FTIR、MS等分析方法联用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3.2</w:t>
      </w:r>
      <w:r>
        <w:rPr>
          <w:rFonts w:ascii="宋体" w:hAnsi="宋体" w:cs="宋体"/>
          <w:color w:val="auto"/>
          <w:sz w:val="24"/>
          <w:highlight w:val="none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传感器配置：室温至800℃下使用TG-DSC传感器1只；室温至1600℃下使用TG-DSC传感器1只；室温至1750℃下使用保护型TG-DTA传感器1只（可应对腐蚀样品）1只；室温至1750℃下使用三对热电偶TG-DTA传感器1只（高灵敏度）1只，室温至1750℃下使用单独热重悬挂传感器1只；原厂氧化铝坩埚（带盖）20套；大容量氧化铝坩埚（体积1300 µl）1套； 国产氧化铝坩埚（带盖）200套；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</w:t>
      </w:r>
      <w:r>
        <w:rPr>
          <w:rFonts w:ascii="宋体" w:hAnsi="宋体" w:cs="宋体"/>
          <w:color w:val="auto"/>
          <w:sz w:val="24"/>
          <w:highlight w:val="none"/>
        </w:rPr>
        <w:t>3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分析软件包：包含可独立运行的实验编程与数据分析软件包，可实现软件程序控温、实验气氛种类软件自动切换控制、权限控制检索等专业应用功能；提供多种基线处理功能，及基线生成工具；数据可以多种文件格式或图形方式自由导出，可导入所有品牌热分析仪器实验数据。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3.2</w:t>
      </w:r>
      <w:r>
        <w:rPr>
          <w:rFonts w:ascii="宋体" w:hAnsi="宋体" w:cs="宋体"/>
          <w:color w:val="auto"/>
          <w:sz w:val="24"/>
          <w:highlight w:val="none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配置比热计算功能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jc w:val="left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4.产品配置要求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1、超高温综合热分析主机： 高灵敏度天平，配备自动去皮系统。加热炉，温度范围从室温到最高1750°C，水循环冷却。升温速率0.01°C/min至100°C/min。基于Windows热分析软件，用于数据收集和处理。1套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2、真空系统：带Pirani真空计的软件自动控制一级真空系统，1套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3、反应气氛控制系统：包含一个MFC（控制载气，最大流速200 ml/min）的气体控制系统，1套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4、同步测量必要配件：同步测试连接模块，1套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5、室温至1750℃同步热分析适用模块：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1）1750适用炉体控温热电偶及数据线，1套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2）1750℃适用样品温度数据线，1套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3）1750℃适用易插拔三对热电偶保护型 TG-DTA传感器，最高至1750℃，1只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4）1750℃适用易插拔三对热电偶TG-DTA传感器，最高至1750℃，1只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5）1750℃适用易插拔 TG-DSC传感器，最高至1600℃，1只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 xml:space="preserve">6）1750℃适用坩埚：原厂氧化铝坩埚及盖20套，国产氧化铝坩埚及盖200套， 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6、室温至1000℃同步热分析适用模块：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1）1000℃适用炉体控温热电偶及数据线，1套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2）1000℃适用样品温度数据线，1套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3）易插拔 TG-DSC传感器，最高至800℃，1只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7、室温至1750℃单独TG测试模块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1）大容量坩埚适用易插拔TGA传感器，1套，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2）1300µl 氧化铝坩埚一只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8、其他配套部件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1）恒温制冷水浴，1台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2）金属标样，(Sn, Pb, In, Zn,Al)，1套</w:t>
      </w:r>
    </w:p>
    <w:p>
      <w:pPr>
        <w:spacing w:line="360" w:lineRule="auto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3）控制电脑，1台</w:t>
      </w:r>
    </w:p>
    <w:p>
      <w:pPr>
        <w:spacing w:line="360" w:lineRule="auto"/>
        <w:rPr>
          <w:rFonts w:hint="eastAsia"/>
          <w:color w:val="auto"/>
          <w:highlight w:val="none"/>
        </w:rPr>
      </w:pPr>
    </w:p>
    <w:p>
      <w:pPr>
        <w:tabs>
          <w:tab w:val="left" w:pos="540"/>
        </w:tabs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5.  技术文件：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1.供方提供设备操作使用说明书、维修手册、设备安装说明书，其中正本1套，电子版一套。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2.分析、控制软件安装光盘（正版1套）。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3.合同签订后提供设备的预安装场地要求说明书</w:t>
      </w:r>
    </w:p>
    <w:p>
      <w:pPr>
        <w:spacing w:line="360" w:lineRule="auto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1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  <w:lang w:val="en-AU"/>
        </w:rPr>
        <w:t>设备安装及调试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1.1 合同签订后，投标货物原厂工程师需在客户场地准备完毕后2周内为客户提供场地测试服务，并出具详细的测试报告，对不满足安装要求的场地提出场地改造的建议和指导；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1.2 仪器到达用户所在地后，在接到用户通知后原厂工程师1周内在用户现场执行安装调试直至达到验收指标；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1.3 仪器的安装调试应在于15个工作日内完成；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2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  <w:lang w:val="en-AU"/>
        </w:rPr>
        <w:t>技术培训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2.1 设备安装完毕后，原厂工程师需在用户现场对用户操作人员提供投标货物的操作培训，培训内容包括但不限于设备的基本工作原理、软硬件操作方法、日常维护以及紧急状况应急处理措施；培训直到客户能掌握培训内容为止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2.2 投标货物质保期内，投标货物原厂需在和用户协商基础上，提供设备操作的应用提高培训1次，培训时间不少于2个工作日；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3</w:t>
      </w:r>
      <w:r>
        <w:rPr>
          <w:rFonts w:hint="eastAsia"/>
          <w:color w:val="auto"/>
          <w:sz w:val="24"/>
          <w:highlight w:val="none"/>
        </w:rPr>
        <w:t xml:space="preserve"> </w:t>
      </w:r>
      <w:r>
        <w:rPr>
          <w:rFonts w:hint="eastAsia"/>
          <w:color w:val="auto"/>
          <w:sz w:val="24"/>
          <w:highlight w:val="none"/>
          <w:lang w:val="en-AU"/>
        </w:rPr>
        <w:t>售后服务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3.1 由卖方负责设备开箱、安装到买方指定地点、调试以及精度检验，直至设备进入正常工作状态，并符合验收技术条件的指标要求；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3.2 在设备运行期间有故障发生时，售后服务方必须保证在24小时内进行反馈；如需工程师上门服务，售后服务工程师在接到用户请求后72小时内必须到场；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3.3 投标货物生产厂家必须设有售后服务中心；</w:t>
      </w:r>
    </w:p>
    <w:p>
      <w:pPr>
        <w:spacing w:line="360" w:lineRule="auto"/>
        <w:rPr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3.4 仪器自技术验收合格之日起，整机质量保证期一年，质保期内配件及服务均免费，质保期外终身提供维修服务。</w:t>
      </w:r>
    </w:p>
    <w:p>
      <w:pPr>
        <w:spacing w:line="360" w:lineRule="auto"/>
        <w:rPr>
          <w:rFonts w:hint="eastAsia"/>
          <w:color w:val="auto"/>
          <w:sz w:val="24"/>
          <w:highlight w:val="none"/>
          <w:lang w:val="en-AU"/>
        </w:rPr>
      </w:pPr>
      <w:r>
        <w:rPr>
          <w:rFonts w:hint="eastAsia"/>
          <w:color w:val="auto"/>
          <w:sz w:val="24"/>
          <w:highlight w:val="none"/>
          <w:lang w:val="en-AU"/>
        </w:rPr>
        <w:t>3.5 质保期外，投标货物制造厂家应保证15年内能够提供设备备件和相关维修服务；如发生故障，需更换零部件，按照成本价收取；</w:t>
      </w:r>
    </w:p>
    <w:p>
      <w:pPr>
        <w:spacing w:line="360" w:lineRule="auto"/>
        <w:rPr>
          <w:rFonts w:hint="eastAsia"/>
          <w:color w:val="auto"/>
          <w:highlight w:val="none"/>
          <w:lang w:val="en-AU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1套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4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交货地点：</w:t>
      </w:r>
    </w:p>
    <w:p>
      <w:pPr>
        <w:pStyle w:val="3"/>
        <w:spacing w:line="360" w:lineRule="auto"/>
        <w:rPr>
          <w:rFonts w:ascii="宋体"/>
          <w:color w:val="auto"/>
          <w:sz w:val="24"/>
          <w:szCs w:val="24"/>
          <w:highlight w:val="none"/>
          <w:u w:val="single"/>
        </w:rPr>
      </w:pPr>
      <w:bookmarkStart w:id="2" w:name="_Hlk141975480"/>
      <w:r>
        <w:rPr>
          <w:rFonts w:hint="eastAsia" w:ascii="宋体" w:hAnsi="宋体" w:cs="宋体"/>
          <w:bCs/>
          <w:color w:val="auto"/>
          <w:kern w:val="2"/>
          <w:sz w:val="24"/>
          <w:szCs w:val="24"/>
          <w:highlight w:val="none"/>
          <w:lang w:val="en-AU"/>
        </w:rPr>
        <w:t>中国科学院新疆理化技术研究所（新疆乌鲁木齐市新市区科学二街181号）</w:t>
      </w:r>
    </w:p>
    <w:bookmarkEnd w:id="2"/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bookmarkStart w:id="3" w:name="_Hlk143855887"/>
      <w:r>
        <w:rPr>
          <w:rFonts w:hint="eastAsia"/>
          <w:color w:val="auto"/>
          <w:sz w:val="24"/>
          <w:highlight w:val="none"/>
          <w:lang w:val="en-AU"/>
        </w:rPr>
        <w:t>供货周期：合同签订后</w:t>
      </w:r>
      <w:r>
        <w:rPr>
          <w:color w:val="auto"/>
          <w:sz w:val="24"/>
          <w:highlight w:val="none"/>
          <w:lang w:val="en-AU"/>
        </w:rPr>
        <w:t>6</w:t>
      </w:r>
      <w:r>
        <w:rPr>
          <w:rFonts w:hint="eastAsia"/>
          <w:color w:val="auto"/>
          <w:sz w:val="24"/>
          <w:highlight w:val="none"/>
          <w:lang w:val="en-AU"/>
        </w:rPr>
        <w:t>个月</w:t>
      </w:r>
      <w:bookmarkEnd w:id="3"/>
      <w:r>
        <w:rPr>
          <w:rFonts w:hint="eastAsia"/>
          <w:color w:val="auto"/>
          <w:sz w:val="24"/>
          <w:highlight w:val="none"/>
          <w:lang w:val="en-AU"/>
        </w:rPr>
        <w:t>内交货。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7D79592F"/>
    <w:multiLevelType w:val="singleLevel"/>
    <w:tmpl w:val="7D79592F"/>
    <w:lvl w:ilvl="0" w:tentative="0">
      <w:start w:val="4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kYzdjODk4ZWI5MDNiZmQ2YmU5MDUyNmUyYTY1OWUifQ=="/>
  </w:docVars>
  <w:rsids>
    <w:rsidRoot w:val="39563472"/>
    <w:rsid w:val="174B4EC3"/>
    <w:rsid w:val="3956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  <w:style w:type="paragraph" w:styleId="3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4189</Words>
  <Characters>4641</Characters>
  <Lines>0</Lines>
  <Paragraphs>0</Paragraphs>
  <TotalTime>0</TotalTime>
  <ScaleCrop>false</ScaleCrop>
  <LinksUpToDate>false</LinksUpToDate>
  <CharactersWithSpaces>4758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2023-09-04T09:45:00Z</dcterms:created>
  <dc:creator>godjiao</dc:creator>
  <cp:lastModifiedBy>空气</cp:lastModifiedBy>
  <dcterms:modified xsi:type="dcterms:W3CDTF">2023-09-05T06:56:27Z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1C691E93C9794A5AB3CF31700ED1A2B2_13</vt:lpwstr>
  </property>
</Properties>
</file>