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F08959">
      <w:pPr>
        <w:numPr>
          <w:ilvl w:val="2"/>
          <w:numId w:val="1"/>
        </w:numPr>
        <w:adjustRightInd w:val="0"/>
        <w:snapToGrid w:val="0"/>
        <w:ind w:left="1560" w:hanging="720"/>
        <w:jc w:val="center"/>
        <w:rPr>
          <w:rFonts w:hint="eastAsia" w:ascii="宋体" w:hAnsi="宋体"/>
          <w:b/>
          <w:sz w:val="30"/>
          <w:szCs w:val="30"/>
        </w:rPr>
      </w:pPr>
      <w:bookmarkStart w:id="4" w:name="_GoBack"/>
      <w:bookmarkEnd w:id="4"/>
      <w:r>
        <w:rPr>
          <w:rFonts w:hint="eastAsia" w:ascii="宋体" w:hAnsi="宋体"/>
          <w:b/>
          <w:sz w:val="30"/>
          <w:szCs w:val="30"/>
        </w:rPr>
        <w:t>货物需求一览表</w:t>
      </w:r>
    </w:p>
    <w:p w14:paraId="08E88382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tbl>
      <w:tblPr>
        <w:tblStyle w:val="6"/>
        <w:tblW w:w="964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62"/>
        <w:gridCol w:w="2640"/>
        <w:gridCol w:w="635"/>
        <w:gridCol w:w="1320"/>
        <w:gridCol w:w="1545"/>
        <w:gridCol w:w="2740"/>
      </w:tblGrid>
      <w:tr w14:paraId="1C06AC9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3" w:hRule="atLeast"/>
          <w:jc w:val="center"/>
        </w:trPr>
        <w:tc>
          <w:tcPr>
            <w:tcW w:w="762" w:type="dxa"/>
            <w:noWrap w:val="0"/>
            <w:vAlign w:val="center"/>
          </w:tcPr>
          <w:p w14:paraId="6DAD93D8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包号</w:t>
            </w:r>
          </w:p>
        </w:tc>
        <w:tc>
          <w:tcPr>
            <w:tcW w:w="2640" w:type="dxa"/>
            <w:noWrap w:val="0"/>
            <w:vAlign w:val="center"/>
          </w:tcPr>
          <w:p w14:paraId="0C790A6F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货物名称</w:t>
            </w:r>
          </w:p>
        </w:tc>
        <w:tc>
          <w:tcPr>
            <w:tcW w:w="635" w:type="dxa"/>
            <w:noWrap w:val="0"/>
            <w:vAlign w:val="center"/>
          </w:tcPr>
          <w:p w14:paraId="6C490AF4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数量</w:t>
            </w:r>
          </w:p>
        </w:tc>
        <w:tc>
          <w:tcPr>
            <w:tcW w:w="1320" w:type="dxa"/>
            <w:noWrap w:val="0"/>
            <w:vAlign w:val="center"/>
          </w:tcPr>
          <w:p w14:paraId="1150F8C0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交货期</w:t>
            </w:r>
          </w:p>
        </w:tc>
        <w:tc>
          <w:tcPr>
            <w:tcW w:w="1545" w:type="dxa"/>
            <w:noWrap w:val="0"/>
            <w:vAlign w:val="center"/>
          </w:tcPr>
          <w:p w14:paraId="12B71854">
            <w:pPr>
              <w:jc w:val="center"/>
              <w:rPr>
                <w:rFonts w:hint="eastAsia"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指定到货港</w:t>
            </w:r>
          </w:p>
        </w:tc>
        <w:tc>
          <w:tcPr>
            <w:tcW w:w="2740" w:type="dxa"/>
            <w:noWrap w:val="0"/>
            <w:vAlign w:val="center"/>
          </w:tcPr>
          <w:p w14:paraId="62F0B8B5">
            <w:pPr>
              <w:jc w:val="center"/>
              <w:rPr>
                <w:rFonts w:ascii="宋体" w:hAnsi="Bookman Old Style"/>
                <w:sz w:val="24"/>
                <w:shd w:val="pct10" w:color="auto" w:fill="FFFFFF"/>
              </w:rPr>
            </w:pPr>
            <w:r>
              <w:rPr>
                <w:rFonts w:hint="eastAsia" w:ascii="宋体" w:hAnsi="Bookman Old Style"/>
                <w:sz w:val="24"/>
              </w:rPr>
              <w:t>项目现场（交货地点）</w:t>
            </w:r>
          </w:p>
        </w:tc>
      </w:tr>
      <w:tr w14:paraId="6CFD5B2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677" w:hRule="atLeast"/>
          <w:jc w:val="center"/>
        </w:trPr>
        <w:tc>
          <w:tcPr>
            <w:tcW w:w="762" w:type="dxa"/>
            <w:noWrap w:val="0"/>
            <w:vAlign w:val="center"/>
          </w:tcPr>
          <w:p w14:paraId="436E251C">
            <w:pPr>
              <w:jc w:val="center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1</w:t>
            </w:r>
          </w:p>
        </w:tc>
        <w:tc>
          <w:tcPr>
            <w:tcW w:w="2640" w:type="dxa"/>
            <w:noWrap w:val="0"/>
            <w:vAlign w:val="center"/>
          </w:tcPr>
          <w:p w14:paraId="52177FCB">
            <w:pPr>
              <w:jc w:val="center"/>
              <w:rPr>
                <w:rFonts w:hint="eastAsia"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稀释制冷机</w:t>
            </w:r>
          </w:p>
        </w:tc>
        <w:tc>
          <w:tcPr>
            <w:tcW w:w="635" w:type="dxa"/>
            <w:noWrap w:val="0"/>
            <w:vAlign w:val="center"/>
          </w:tcPr>
          <w:p w14:paraId="55024EEA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1台</w:t>
            </w:r>
          </w:p>
        </w:tc>
        <w:tc>
          <w:tcPr>
            <w:tcW w:w="1320" w:type="dxa"/>
            <w:noWrap w:val="0"/>
            <w:vAlign w:val="center"/>
          </w:tcPr>
          <w:p w14:paraId="67DBF498">
            <w:pPr>
              <w:jc w:val="center"/>
              <w:rPr>
                <w:rFonts w:hint="eastAsia"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合同签订后 90日内交货并安装完毕。</w:t>
            </w:r>
          </w:p>
        </w:tc>
        <w:tc>
          <w:tcPr>
            <w:tcW w:w="1545" w:type="dxa"/>
            <w:noWrap w:val="0"/>
            <w:vAlign w:val="center"/>
          </w:tcPr>
          <w:p w14:paraId="13BBCB5E">
            <w:pPr>
              <w:jc w:val="center"/>
              <w:rPr>
                <w:rFonts w:hint="eastAsia"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/</w:t>
            </w:r>
          </w:p>
        </w:tc>
        <w:tc>
          <w:tcPr>
            <w:tcW w:w="2740" w:type="dxa"/>
            <w:noWrap w:val="0"/>
            <w:vAlign w:val="center"/>
          </w:tcPr>
          <w:p w14:paraId="65D4E213">
            <w:pPr>
              <w:rPr>
                <w:rFonts w:hint="eastAsia"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广东省惠州市惠城区新桥北路1号中国科学院近代物理研究所惠州园区。</w:t>
            </w:r>
          </w:p>
        </w:tc>
      </w:tr>
    </w:tbl>
    <w:p w14:paraId="20B596D8">
      <w:pPr>
        <w:rPr>
          <w:rFonts w:hint="eastAsia" w:ascii="Bookman Old Style" w:hAnsi="Bookman Old Style"/>
          <w:sz w:val="24"/>
        </w:rPr>
      </w:pPr>
      <w:r>
        <w:rPr>
          <w:rFonts w:hint="eastAsia"/>
          <w:sz w:val="24"/>
        </w:rPr>
        <w:t>注：投标人须对上述投标内容中完整的一包进行投标，</w:t>
      </w:r>
      <w:r>
        <w:rPr>
          <w:rFonts w:hint="eastAsia" w:ascii="Bookman Old Style" w:hAnsi="Bookman Old Style"/>
          <w:sz w:val="24"/>
        </w:rPr>
        <w:t>不完整的投标将视为非响应性投标予以拒绝。</w:t>
      </w:r>
    </w:p>
    <w:p w14:paraId="236EAA8C">
      <w:pPr>
        <w:adjustRightInd w:val="0"/>
        <w:snapToGrid w:val="0"/>
        <w:rPr>
          <w:rFonts w:hint="eastAsia" w:ascii="宋体" w:hAnsi="宋体"/>
          <w:szCs w:val="21"/>
        </w:rPr>
      </w:pPr>
    </w:p>
    <w:p w14:paraId="21F9B8D5">
      <w:pPr>
        <w:adjustRightInd w:val="0"/>
        <w:snapToGrid w:val="0"/>
        <w:rPr>
          <w:rFonts w:hint="eastAsia" w:ascii="宋体" w:hAnsi="宋体"/>
          <w:szCs w:val="21"/>
        </w:rPr>
      </w:pPr>
    </w:p>
    <w:p w14:paraId="4794A0EB">
      <w:pPr>
        <w:adjustRightInd w:val="0"/>
        <w:snapToGrid w:val="0"/>
        <w:rPr>
          <w:rFonts w:hint="eastAsia" w:ascii="宋体" w:hAnsi="宋体"/>
          <w:szCs w:val="21"/>
        </w:rPr>
      </w:pPr>
    </w:p>
    <w:p w14:paraId="28F8880B">
      <w:pPr>
        <w:adjustRightInd w:val="0"/>
        <w:snapToGrid w:val="0"/>
        <w:rPr>
          <w:rFonts w:hint="eastAsia" w:ascii="宋体" w:hAnsi="宋体"/>
          <w:szCs w:val="21"/>
        </w:rPr>
      </w:pPr>
    </w:p>
    <w:p w14:paraId="5D811845">
      <w:pPr>
        <w:adjustRightInd w:val="0"/>
        <w:snapToGrid w:val="0"/>
        <w:rPr>
          <w:rFonts w:hint="eastAsia" w:ascii="宋体" w:hAnsi="宋体"/>
          <w:szCs w:val="21"/>
        </w:rPr>
      </w:pPr>
    </w:p>
    <w:p w14:paraId="675551EF">
      <w:pPr>
        <w:adjustRightInd w:val="0"/>
        <w:snapToGrid w:val="0"/>
        <w:rPr>
          <w:rFonts w:hint="eastAsia" w:ascii="宋体" w:hAnsi="宋体"/>
          <w:szCs w:val="21"/>
        </w:rPr>
      </w:pPr>
    </w:p>
    <w:p w14:paraId="20E86196">
      <w:pPr>
        <w:adjustRightInd w:val="0"/>
        <w:snapToGrid w:val="0"/>
        <w:rPr>
          <w:rFonts w:hint="eastAsia" w:ascii="宋体" w:hAnsi="宋体"/>
          <w:szCs w:val="21"/>
        </w:rPr>
      </w:pPr>
    </w:p>
    <w:p w14:paraId="346F6233">
      <w:pPr>
        <w:adjustRightInd w:val="0"/>
        <w:snapToGrid w:val="0"/>
        <w:rPr>
          <w:rFonts w:hint="eastAsia" w:ascii="宋体" w:hAnsi="宋体"/>
          <w:szCs w:val="21"/>
        </w:rPr>
      </w:pPr>
    </w:p>
    <w:p w14:paraId="325A274A">
      <w:pPr>
        <w:adjustRightInd w:val="0"/>
        <w:snapToGrid w:val="0"/>
        <w:rPr>
          <w:rFonts w:hint="eastAsia" w:ascii="宋体" w:hAnsi="宋体"/>
          <w:szCs w:val="21"/>
        </w:rPr>
      </w:pPr>
    </w:p>
    <w:p w14:paraId="64F7CCB1">
      <w:pPr>
        <w:adjustRightInd w:val="0"/>
        <w:snapToGrid w:val="0"/>
        <w:rPr>
          <w:rFonts w:hint="eastAsia" w:ascii="宋体" w:hAnsi="宋体"/>
          <w:szCs w:val="21"/>
        </w:rPr>
      </w:pPr>
    </w:p>
    <w:p w14:paraId="0E57AF83">
      <w:pPr>
        <w:adjustRightInd w:val="0"/>
        <w:snapToGrid w:val="0"/>
        <w:rPr>
          <w:rFonts w:hint="eastAsia" w:ascii="宋体" w:hAnsi="宋体"/>
          <w:szCs w:val="21"/>
        </w:rPr>
      </w:pPr>
    </w:p>
    <w:p w14:paraId="7CFB8580">
      <w:pPr>
        <w:adjustRightInd w:val="0"/>
        <w:snapToGrid w:val="0"/>
        <w:rPr>
          <w:rFonts w:hint="eastAsia" w:ascii="宋体" w:hAnsi="宋体"/>
          <w:szCs w:val="21"/>
        </w:rPr>
      </w:pPr>
    </w:p>
    <w:p w14:paraId="60BA2C52">
      <w:pPr>
        <w:adjustRightInd w:val="0"/>
        <w:snapToGrid w:val="0"/>
        <w:rPr>
          <w:rFonts w:hint="eastAsia" w:ascii="宋体" w:hAnsi="宋体"/>
          <w:b/>
          <w:sz w:val="30"/>
          <w:szCs w:val="30"/>
        </w:rPr>
      </w:pPr>
      <w:r>
        <w:rPr>
          <w:rFonts w:ascii="宋体" w:hAnsi="宋体"/>
          <w:b/>
          <w:sz w:val="30"/>
          <w:szCs w:val="30"/>
        </w:rPr>
        <w:br w:type="page"/>
      </w:r>
    </w:p>
    <w:p w14:paraId="7D896108">
      <w:pPr>
        <w:numPr>
          <w:ilvl w:val="2"/>
          <w:numId w:val="1"/>
        </w:numPr>
        <w:tabs>
          <w:tab w:val="left" w:pos="720"/>
          <w:tab w:val="clear" w:pos="1560"/>
        </w:tabs>
        <w:adjustRightInd w:val="0"/>
        <w:snapToGrid w:val="0"/>
        <w:ind w:hanging="1560"/>
        <w:jc w:val="center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总则</w:t>
      </w:r>
    </w:p>
    <w:p w14:paraId="70C035E4"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sz w:val="28"/>
        </w:rPr>
      </w:pPr>
      <w:r>
        <w:rPr>
          <w:rFonts w:ascii="宋体" w:hAnsi="宋体"/>
          <w:b/>
          <w:sz w:val="28"/>
        </w:rPr>
        <w:t>1</w:t>
      </w:r>
      <w:r>
        <w:rPr>
          <w:rFonts w:hint="eastAsia" w:ascii="宋体" w:hAnsi="宋体"/>
          <w:b/>
          <w:sz w:val="28"/>
        </w:rPr>
        <w:t>、投标要求</w:t>
      </w:r>
    </w:p>
    <w:p w14:paraId="1336553D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 xml:space="preserve">1.1 </w:t>
      </w:r>
      <w:r>
        <w:rPr>
          <w:rFonts w:hint="eastAsia" w:ascii="宋体" w:hAnsi="宋体"/>
          <w:sz w:val="24"/>
        </w:rPr>
        <w:t xml:space="preserve"> 投标人在准备投标书时，务必在所提供的商品的技术规格文件中，标明型号、商标名称、目录号。</w:t>
      </w:r>
    </w:p>
    <w:p w14:paraId="09C762C4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2B1982D4">
      <w:pPr>
        <w:spacing w:line="360" w:lineRule="auto"/>
        <w:ind w:left="554" w:hanging="554" w:hangingChars="231"/>
        <w:rPr>
          <w:rFonts w:hint="eastAsia" w:ascii="宋体"/>
          <w:sz w:val="24"/>
        </w:rPr>
      </w:pPr>
      <w:r>
        <w:rPr>
          <w:rFonts w:hint="eastAsia" w:ascii="宋体" w:hAnsi="宋体"/>
          <w:sz w:val="24"/>
        </w:rPr>
        <w:t xml:space="preserve">1.3  </w:t>
      </w:r>
      <w:r>
        <w:rPr>
          <w:rFonts w:hint="eastAsia"/>
          <w:sz w:val="24"/>
        </w:rPr>
        <w:t>投标人提供的</w:t>
      </w:r>
      <w:r>
        <w:rPr>
          <w:rFonts w:hint="eastAsia" w:ascii="宋体"/>
          <w:sz w:val="24"/>
        </w:rPr>
        <w:t>产品</w:t>
      </w:r>
      <w:r>
        <w:rPr>
          <w:rFonts w:hint="eastAsia"/>
          <w:sz w:val="24"/>
        </w:rPr>
        <w:t>样本，必须是“原件”而非复印件，</w:t>
      </w:r>
      <w:r>
        <w:rPr>
          <w:rFonts w:hint="eastAsia" w:ascii="宋体"/>
          <w:sz w:val="24"/>
        </w:rPr>
        <w:t>图表、简图、电路图以及印刷电路板图等都应</w:t>
      </w:r>
      <w:r>
        <w:rPr>
          <w:rFonts w:hint="eastAsia"/>
          <w:sz w:val="24"/>
        </w:rPr>
        <w:t>清晰易读。买方有权</w:t>
      </w:r>
      <w:r>
        <w:rPr>
          <w:rFonts w:hint="eastAsia" w:ascii="宋体"/>
          <w:sz w:val="24"/>
        </w:rPr>
        <w:t>不付任何附加费用</w:t>
      </w:r>
      <w:r>
        <w:rPr>
          <w:rFonts w:hint="eastAsia"/>
          <w:sz w:val="24"/>
        </w:rPr>
        <w:t>复制这些资料</w:t>
      </w:r>
      <w:r>
        <w:rPr>
          <w:rFonts w:hint="eastAsia" w:ascii="宋体"/>
          <w:sz w:val="24"/>
        </w:rPr>
        <w:t>以供参考。</w:t>
      </w:r>
    </w:p>
    <w:p w14:paraId="6C1A6AE3">
      <w:pPr>
        <w:spacing w:line="360" w:lineRule="auto"/>
        <w:ind w:left="554" w:hanging="554" w:hangingChars="231"/>
        <w:rPr>
          <w:rFonts w:hint="eastAsia" w:ascii="宋体"/>
          <w:sz w:val="24"/>
        </w:rPr>
      </w:pPr>
      <w:r>
        <w:rPr>
          <w:rFonts w:hint="eastAsia" w:ascii="宋体"/>
          <w:sz w:val="24"/>
        </w:rPr>
        <w:t>1.4  投标人的投标产品应符合国家有关部门规定的相应技术、节能、安全和环保标准；如国家有关部门对投标人的投标产品有强制性规定或要求的，则投标人的投标产品必须符合相应规定或要求。</w:t>
      </w:r>
    </w:p>
    <w:p w14:paraId="13390A99"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2、评标标准</w:t>
      </w:r>
    </w:p>
    <w:p w14:paraId="0357EC28">
      <w:pPr>
        <w:spacing w:line="360" w:lineRule="auto"/>
        <w:ind w:left="554" w:hanging="554" w:hangingChars="231"/>
        <w:rPr>
          <w:rFonts w:hint="eastAsia" w:asci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 xml:space="preserve">1  </w:t>
      </w:r>
      <w:r>
        <w:rPr>
          <w:rFonts w:hint="eastAsia"/>
          <w:sz w:val="24"/>
        </w:rPr>
        <w:t>除招标文件中指定的附件和专用工具外，</w:t>
      </w:r>
      <w:r>
        <w:rPr>
          <w:rFonts w:hint="eastAsia" w:ascii="宋体"/>
          <w:sz w:val="24"/>
        </w:rPr>
        <w:t>投标人应提供仪器设备的正常运行和常规保养所需的全套标准附件、专用工具</w:t>
      </w:r>
      <w:r>
        <w:rPr>
          <w:rFonts w:hint="eastAsia"/>
          <w:sz w:val="24"/>
        </w:rPr>
        <w:t>和消耗品</w:t>
      </w:r>
      <w:r>
        <w:rPr>
          <w:rFonts w:hint="eastAsia" w:ascii="宋体"/>
          <w:sz w:val="24"/>
        </w:rPr>
        <w:t>。投标人在投标书中需列出这些附件和工具的数量和单价的清单，这些附件和工具的报价的总值需计入投标价中。</w:t>
      </w:r>
    </w:p>
    <w:p w14:paraId="115A6866">
      <w:pPr>
        <w:spacing w:line="360" w:lineRule="auto"/>
        <w:ind w:left="554" w:hanging="554" w:hangingChars="231"/>
        <w:rPr>
          <w:rFonts w:hint="eastAsia"/>
          <w:sz w:val="24"/>
        </w:rPr>
      </w:pPr>
      <w:r>
        <w:rPr>
          <w:rFonts w:hint="eastAsia" w:ascii="宋体" w:hAnsi="宋体"/>
          <w:sz w:val="24"/>
        </w:rPr>
        <w:t xml:space="preserve">2.2  </w:t>
      </w:r>
      <w:r>
        <w:rPr>
          <w:rFonts w:hint="eastAsia"/>
          <w:sz w:val="24"/>
        </w:rPr>
        <w:t>对于标书</w:t>
      </w:r>
      <w:r>
        <w:rPr>
          <w:rFonts w:hint="eastAsia" w:ascii="宋体"/>
          <w:sz w:val="24"/>
        </w:rPr>
        <w:t>技术规范中已列</w:t>
      </w:r>
      <w:r>
        <w:rPr>
          <w:rFonts w:hint="eastAsia"/>
          <w:sz w:val="24"/>
        </w:rPr>
        <w:t>出的作为查询选件的附件、零配件、专用工具和消耗品，投标书中</w:t>
      </w:r>
      <w:r>
        <w:rPr>
          <w:rFonts w:hint="eastAsia" w:ascii="宋体"/>
          <w:sz w:val="24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  <w:r>
        <w:rPr>
          <w:rFonts w:hint="eastAsia"/>
          <w:sz w:val="24"/>
        </w:rPr>
        <w:t>选件一旦为用户接受，其费用将加入合同价中。</w:t>
      </w:r>
    </w:p>
    <w:p w14:paraId="1BF19865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2.3  为便于用户进行接收仪器的准备工作，卖方应在合同生效后</w:t>
      </w:r>
      <w:r>
        <w:rPr>
          <w:rFonts w:hint="eastAsia" w:ascii="宋体" w:hAnsi="宋体"/>
          <w:b/>
          <w:sz w:val="24"/>
        </w:rPr>
        <w:t>60</w:t>
      </w:r>
      <w:r>
        <w:rPr>
          <w:rFonts w:hint="eastAsia" w:ascii="宋体" w:hAnsi="宋体"/>
          <w:sz w:val="24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373BF18F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</w:t>
      </w:r>
      <w:r>
        <w:rPr>
          <w:rFonts w:ascii="宋体" w:hAnsi="宋体"/>
          <w:sz w:val="24"/>
        </w:rPr>
        <w:t>.</w:t>
      </w:r>
      <w:r>
        <w:rPr>
          <w:rFonts w:hint="eastAsia" w:ascii="宋体" w:hAnsi="宋体"/>
          <w:sz w:val="24"/>
        </w:rPr>
        <w:t>4</w:t>
      </w:r>
      <w:r>
        <w:rPr>
          <w:rFonts w:ascii="宋体" w:hAnsi="宋体"/>
          <w:sz w:val="24"/>
        </w:rPr>
        <w:t xml:space="preserve"> </w:t>
      </w:r>
      <w:r>
        <w:rPr>
          <w:rFonts w:hint="eastAsia" w:ascii="宋体" w:hAnsi="宋体"/>
          <w:sz w:val="24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172A484D"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7CC2185B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</w:t>
      </w:r>
      <w:r>
        <w:rPr>
          <w:rFonts w:ascii="宋体" w:hAnsi="宋体"/>
          <w:sz w:val="24"/>
        </w:rPr>
        <w:t>.</w:t>
      </w:r>
      <w:r>
        <w:rPr>
          <w:rFonts w:hint="eastAsia" w:ascii="宋体" w:hAnsi="宋体"/>
          <w:sz w:val="24"/>
        </w:rPr>
        <w:t xml:space="preserve">6  </w:t>
      </w:r>
      <w:r>
        <w:rPr>
          <w:rFonts w:hint="eastAsia"/>
          <w:sz w:val="24"/>
        </w:rPr>
        <w:t>在评标过程中，买方有权向投标人索取任何与评标有关的资料，投标人务必在接到此类要求后，在规定时间内予以答复。对于无答复的投标人，买方有权拒绝其投标。</w:t>
      </w:r>
    </w:p>
    <w:p w14:paraId="223F6109"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3、工作条件</w:t>
      </w:r>
    </w:p>
    <w:p w14:paraId="3ED02242">
      <w:pPr>
        <w:spacing w:after="312" w:afterLines="100"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除非在技术规格中另有说明，所有仪器、设备和系统都应符合下列要求：</w:t>
      </w:r>
      <w:r>
        <w:rPr>
          <w:rFonts w:ascii="宋体" w:hAnsi="宋体"/>
          <w:sz w:val="24"/>
        </w:rPr>
        <w:t xml:space="preserve"> </w:t>
      </w:r>
    </w:p>
    <w:p w14:paraId="00A9DFCE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3.1  适于在气温为摄氏</w:t>
      </w:r>
      <w:r>
        <w:rPr>
          <w:rFonts w:ascii="宋体" w:hAnsi="宋体"/>
          <w:b/>
          <w:sz w:val="24"/>
        </w:rPr>
        <w:t>-40</w:t>
      </w:r>
      <w:r>
        <w:rPr>
          <w:rFonts w:hint="eastAsia" w:ascii="宋体" w:hAnsi="宋体"/>
          <w:b/>
          <w:sz w:val="24"/>
        </w:rPr>
        <w:t>℃～＋</w:t>
      </w:r>
      <w:r>
        <w:rPr>
          <w:rFonts w:ascii="宋体" w:hAnsi="宋体"/>
          <w:b/>
          <w:sz w:val="24"/>
        </w:rPr>
        <w:t>50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和相对湿度为</w:t>
      </w:r>
      <w:r>
        <w:rPr>
          <w:rFonts w:ascii="宋体" w:hAnsi="宋体"/>
          <w:b/>
          <w:sz w:val="24"/>
        </w:rPr>
        <w:t>90</w:t>
      </w:r>
      <w:r>
        <w:rPr>
          <w:rFonts w:hint="eastAsia" w:ascii="宋体" w:hAnsi="宋体"/>
          <w:b/>
          <w:sz w:val="24"/>
        </w:rPr>
        <w:t>％</w:t>
      </w:r>
      <w:r>
        <w:rPr>
          <w:rFonts w:hint="eastAsia" w:ascii="宋体" w:hAnsi="宋体"/>
          <w:sz w:val="24"/>
        </w:rPr>
        <w:t>的环境条件下运输和贮存。</w:t>
      </w:r>
    </w:p>
    <w:p w14:paraId="27177843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3.2  适于在电源</w:t>
      </w:r>
      <w:r>
        <w:rPr>
          <w:rFonts w:ascii="宋体" w:hAnsi="宋体"/>
          <w:b/>
          <w:sz w:val="24"/>
        </w:rPr>
        <w:t>220V</w:t>
      </w:r>
      <w:r>
        <w:rPr>
          <w:rFonts w:hint="eastAsia" w:ascii="宋体" w:hAnsi="宋体"/>
          <w:b/>
          <w:sz w:val="24"/>
        </w:rPr>
        <w:t>（</w:t>
      </w:r>
      <w:r>
        <w:rPr>
          <w:rFonts w:ascii="宋体" w:hAnsi="宋体"/>
          <w:b/>
          <w:sz w:val="24"/>
        </w:rPr>
        <w:sym w:font="Symbol" w:char="F0B1"/>
      </w:r>
      <w:r>
        <w:rPr>
          <w:rFonts w:ascii="宋体" w:hAnsi="宋体"/>
          <w:b/>
          <w:sz w:val="24"/>
        </w:rPr>
        <w:t>10</w:t>
      </w:r>
      <w:r>
        <w:rPr>
          <w:rFonts w:hint="eastAsia" w:ascii="宋体" w:hAnsi="宋体"/>
          <w:b/>
          <w:sz w:val="24"/>
        </w:rPr>
        <w:t>％）</w:t>
      </w:r>
      <w:r>
        <w:rPr>
          <w:rFonts w:ascii="宋体" w:hAnsi="宋体"/>
          <w:b/>
          <w:sz w:val="24"/>
        </w:rPr>
        <w:t>/50Hz</w:t>
      </w:r>
      <w:r>
        <w:rPr>
          <w:rFonts w:hint="eastAsia" w:ascii="宋体" w:hAnsi="宋体"/>
          <w:sz w:val="24"/>
        </w:rPr>
        <w:t>、气温摄氏</w:t>
      </w:r>
      <w:r>
        <w:rPr>
          <w:rFonts w:hint="eastAsia" w:ascii="宋体" w:hAnsi="宋体"/>
          <w:b/>
          <w:sz w:val="24"/>
        </w:rPr>
        <w:t>+1</w:t>
      </w:r>
      <w:r>
        <w:rPr>
          <w:rFonts w:ascii="宋体" w:hAnsi="宋体"/>
          <w:b/>
          <w:sz w:val="24"/>
        </w:rPr>
        <w:t>5</w:t>
      </w:r>
      <w:r>
        <w:rPr>
          <w:rFonts w:hint="eastAsia" w:ascii="宋体" w:hAnsi="宋体"/>
          <w:b/>
          <w:sz w:val="24"/>
        </w:rPr>
        <w:t>℃～＋3</w:t>
      </w:r>
      <w:r>
        <w:rPr>
          <w:rFonts w:ascii="宋体" w:hAnsi="宋体"/>
          <w:b/>
          <w:sz w:val="24"/>
        </w:rPr>
        <w:t>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和相对湿度小于</w:t>
      </w:r>
      <w:r>
        <w:rPr>
          <w:rFonts w:ascii="宋体" w:hAnsi="宋体"/>
          <w:b/>
          <w:sz w:val="24"/>
        </w:rPr>
        <w:t>8</w:t>
      </w:r>
      <w:r>
        <w:rPr>
          <w:rFonts w:hint="eastAsia" w:ascii="宋体" w:hAnsi="宋体"/>
          <w:b/>
          <w:sz w:val="24"/>
        </w:rPr>
        <w:t>0％</w:t>
      </w:r>
      <w:r>
        <w:rPr>
          <w:rFonts w:hint="eastAsia" w:ascii="宋体" w:hAnsi="宋体"/>
          <w:sz w:val="24"/>
        </w:rPr>
        <w:t>的环境条件下运行。</w:t>
      </w:r>
      <w:r>
        <w:rPr>
          <w:rFonts w:hint="eastAsia" w:ascii="宋体" w:hAnsi="宋体"/>
          <w:b/>
          <w:sz w:val="24"/>
        </w:rPr>
        <w:t>能够连续正常工作。</w:t>
      </w:r>
    </w:p>
    <w:p w14:paraId="74965990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3.3  配置符合中国有关标准要求的插头，如果没有这样的插头，则需</w:t>
      </w:r>
      <w:r>
        <w:rPr>
          <w:rFonts w:hint="eastAsia" w:ascii="宋体"/>
          <w:sz w:val="24"/>
        </w:rPr>
        <w:t>提供适当的转</w:t>
      </w:r>
      <w:r>
        <w:rPr>
          <w:rFonts w:hint="eastAsia" w:ascii="宋体" w:hAnsi="宋体"/>
          <w:sz w:val="24"/>
        </w:rPr>
        <w:t>换插座。</w:t>
      </w:r>
    </w:p>
    <w:p w14:paraId="00E40E65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31458572">
      <w:pPr>
        <w:rPr>
          <w:rFonts w:hint="eastAsia" w:eastAsia="黑体"/>
          <w:b/>
          <w:bCs/>
          <w:kern w:val="44"/>
          <w:sz w:val="24"/>
        </w:rPr>
      </w:pPr>
    </w:p>
    <w:p w14:paraId="106464C3"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4、验收标准</w:t>
      </w:r>
    </w:p>
    <w:p w14:paraId="44BDDFF1">
      <w:pPr>
        <w:spacing w:after="312" w:afterLines="100"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除非在技术规格中另有说明，所有仪器、设备和系统按下列要求进行验收：</w:t>
      </w:r>
      <w:r>
        <w:rPr>
          <w:rFonts w:ascii="宋体" w:hAnsi="宋体"/>
          <w:sz w:val="24"/>
        </w:rPr>
        <w:t xml:space="preserve"> </w:t>
      </w:r>
    </w:p>
    <w:p w14:paraId="49DD43FF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4.1  仪器设备运抵安装现场后，买方将与卖方共同开箱验收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如卖方届时不派人来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则验收结果应以买方的验收报告为最终验收结果。验收时发现短缺、破损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买方有权要求卖方负责更换。</w:t>
      </w:r>
    </w:p>
    <w:p w14:paraId="0BA982C2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4.2  </w:t>
      </w:r>
      <w:r>
        <w:rPr>
          <w:rFonts w:hint="eastAsia"/>
          <w:sz w:val="24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17528B71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4.3  </w:t>
      </w:r>
      <w:r>
        <w:rPr>
          <w:rFonts w:ascii="宋体" w:hAnsi="宋体"/>
          <w:sz w:val="24"/>
        </w:rPr>
        <w:t>验收由采购人、中标人及相关人员依国家有关标准、合同及有关附件要求进行，验收完毕由采购人及中标人在验收报告上签名。</w:t>
      </w:r>
    </w:p>
    <w:p w14:paraId="1BE50D70">
      <w:pPr>
        <w:widowControl w:val="0"/>
        <w:spacing w:line="360" w:lineRule="auto"/>
        <w:ind w:left="410" w:hanging="410" w:hangingChars="170"/>
        <w:jc w:val="both"/>
        <w:rPr>
          <w:rFonts w:hint="eastAsia" w:ascii="宋体" w:hAnsi="宋体" w:eastAsia="宋体" w:cs="Times New Roman"/>
          <w:b/>
          <w:kern w:val="2"/>
          <w:sz w:val="24"/>
          <w:szCs w:val="24"/>
          <w:lang w:val="en-US" w:eastAsia="zh-CN" w:bidi="ar-SA"/>
        </w:rPr>
      </w:pPr>
    </w:p>
    <w:p w14:paraId="75941631">
      <w:pPr>
        <w:widowControl w:val="0"/>
        <w:spacing w:line="360" w:lineRule="auto"/>
        <w:ind w:left="410" w:hanging="410" w:hangingChars="170"/>
        <w:jc w:val="both"/>
        <w:rPr>
          <w:rFonts w:hint="eastAsia" w:ascii="宋体" w:hAnsi="宋体" w:eastAsia="宋体" w:cs="Times New Roman"/>
          <w:b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b/>
          <w:kern w:val="2"/>
          <w:sz w:val="24"/>
          <w:szCs w:val="24"/>
          <w:lang w:val="en-US" w:eastAsia="zh-CN" w:bidi="ar-SA"/>
        </w:rPr>
        <w:t>5、本技术规格书中标注“*”号的为实质性要求，不满足其投标将被拒绝。</w:t>
      </w:r>
    </w:p>
    <w:p w14:paraId="384E0469">
      <w:pPr>
        <w:widowControl w:val="0"/>
        <w:spacing w:line="360" w:lineRule="auto"/>
        <w:jc w:val="both"/>
        <w:rPr>
          <w:rFonts w:hint="eastAsia" w:ascii="宋体" w:hAnsi="宋体" w:eastAsia="宋体" w:cs="Times New Roman"/>
          <w:b/>
          <w:kern w:val="2"/>
          <w:sz w:val="24"/>
          <w:szCs w:val="24"/>
          <w:lang w:val="en-US" w:eastAsia="zh-CN" w:bidi="ar-SA"/>
        </w:rPr>
      </w:pPr>
    </w:p>
    <w:p w14:paraId="7125002C">
      <w:pPr>
        <w:widowControl w:val="0"/>
        <w:spacing w:line="360" w:lineRule="auto"/>
        <w:jc w:val="both"/>
        <w:rPr>
          <w:rFonts w:hint="eastAsia" w:ascii="宋体" w:hAnsi="宋体" w:eastAsia="宋体" w:cs="Times New Roman"/>
          <w:b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b/>
          <w:kern w:val="2"/>
          <w:sz w:val="24"/>
          <w:szCs w:val="24"/>
          <w:lang w:val="en-US" w:eastAsia="zh-CN" w:bidi="ar-SA"/>
        </w:rPr>
        <w:t>6、如在具体技术规格中有本总则不一致之处，以具体技术规格中的要求为准。</w:t>
      </w:r>
    </w:p>
    <w:p w14:paraId="3A6EED97">
      <w:pPr>
        <w:widowControl w:val="0"/>
        <w:spacing w:line="300" w:lineRule="auto"/>
        <w:ind w:firstLine="0" w:firstLineChars="0"/>
        <w:jc w:val="left"/>
        <w:rPr>
          <w:rFonts w:hint="eastAsia" w:ascii="宋体" w:hAnsi="宋体" w:eastAsia="宋体" w:cs="Times New Roman"/>
          <w:b/>
          <w:kern w:val="2"/>
          <w:sz w:val="28"/>
          <w:szCs w:val="22"/>
          <w:lang w:val="en-US" w:eastAsia="zh-CN" w:bidi="ar-SA"/>
        </w:rPr>
      </w:pPr>
      <w:r>
        <w:rPr>
          <w:rFonts w:ascii="宋体" w:hAnsi="宋体" w:eastAsia="宋体" w:cs="Times New Roman"/>
          <w:b/>
          <w:kern w:val="2"/>
          <w:sz w:val="28"/>
          <w:szCs w:val="22"/>
          <w:lang w:val="en-US" w:eastAsia="zh-CN" w:bidi="ar-SA"/>
        </w:rPr>
        <w:br w:type="page"/>
      </w:r>
      <w:r>
        <w:rPr>
          <w:rFonts w:hint="eastAsia" w:ascii="宋体" w:hAnsi="宋体" w:eastAsia="宋体" w:cs="Times New Roman"/>
          <w:b/>
          <w:kern w:val="2"/>
          <w:sz w:val="28"/>
          <w:szCs w:val="22"/>
          <w:lang w:val="en-US" w:eastAsia="zh-CN" w:bidi="ar-SA"/>
        </w:rPr>
        <w:t>三、具体技术规格</w:t>
      </w:r>
    </w:p>
    <w:p w14:paraId="290C1FA1">
      <w:pPr>
        <w:widowControl w:val="0"/>
        <w:spacing w:after="160" w:line="360" w:lineRule="auto"/>
        <w:ind w:firstLine="0" w:firstLineChars="0"/>
        <w:jc w:val="left"/>
        <w:rPr>
          <w:rFonts w:hint="eastAsia" w:ascii="Times New Roman" w:hAnsi="Times New Roman" w:eastAsia="宋体" w:cs="仿宋"/>
          <w:b/>
          <w:kern w:val="2"/>
          <w:sz w:val="24"/>
          <w:szCs w:val="24"/>
          <w:lang w:val="en-US" w:eastAsia="zh-CN" w:bidi="ar-SA"/>
        </w:rPr>
      </w:pPr>
      <w:r>
        <w:rPr>
          <w:rFonts w:ascii="Times New Roman" w:hAnsi="Times New Roman" w:eastAsia="宋体" w:cs="Times New Roman"/>
          <w:bCs/>
          <w:kern w:val="2"/>
          <w:sz w:val="24"/>
          <w:szCs w:val="22"/>
          <w:lang w:val="en-US" w:eastAsia="zh-CN" w:bidi="ar-SA"/>
        </w:rPr>
        <w:t xml:space="preserve">  </w:t>
      </w:r>
      <w:r>
        <w:rPr>
          <w:rFonts w:hint="eastAsia" w:ascii="Times New Roman" w:hAnsi="Times New Roman" w:eastAsia="宋体" w:cs="仿宋"/>
          <w:b/>
          <w:kern w:val="2"/>
          <w:sz w:val="24"/>
          <w:szCs w:val="24"/>
          <w:lang w:val="en-US" w:eastAsia="zh-CN" w:bidi="ar-SA"/>
        </w:rPr>
        <w:t>一、采购项目用途说明：</w:t>
      </w:r>
    </w:p>
    <w:p w14:paraId="25F0FC9B">
      <w:pPr>
        <w:spacing w:after="160" w:line="360" w:lineRule="auto"/>
        <w:ind w:firstLine="480" w:firstLineChars="200"/>
        <w:rPr>
          <w:bCs/>
          <w:sz w:val="24"/>
        </w:rPr>
      </w:pPr>
      <w:r>
        <w:rPr>
          <w:bCs/>
          <w:sz w:val="24"/>
        </w:rPr>
        <w:t>稀释制冷机是研制“微量热器X射线能谱仪”的重要组成部分。主要包含恒温器、温控系统、振动隔离装置、磁场/电磁场屏蔽系统、样品腔连接结构等。稀释制冷机为低温X射线探头提供低温、恒温、低振动、低磁场、低电磁干扰等环境，从而提高探头对X射线、低能γ射线的灵敏度，实现微量热X射线能谱仪的高能量分辨能力。</w:t>
      </w:r>
    </w:p>
    <w:p w14:paraId="6B15C4C8">
      <w:pPr>
        <w:spacing w:after="160" w:line="360" w:lineRule="auto"/>
        <w:ind w:firstLine="480" w:firstLineChars="200"/>
        <w:rPr>
          <w:bCs/>
          <w:sz w:val="24"/>
        </w:rPr>
      </w:pPr>
    </w:p>
    <w:p w14:paraId="2FDCA3B9">
      <w:pPr>
        <w:numPr>
          <w:ilvl w:val="0"/>
          <w:numId w:val="2"/>
        </w:numPr>
        <w:spacing w:after="160" w:line="360" w:lineRule="auto"/>
        <w:ind w:left="425" w:hanging="425"/>
        <w:jc w:val="left"/>
        <w:rPr>
          <w:rFonts w:hint="eastAsia" w:cs="仿宋"/>
          <w:b/>
          <w:sz w:val="24"/>
        </w:rPr>
      </w:pPr>
      <w:r>
        <w:rPr>
          <w:rFonts w:hint="eastAsia" w:cs="仿宋"/>
          <w:b/>
          <w:sz w:val="24"/>
        </w:rPr>
        <w:t>工作条件：</w:t>
      </w:r>
    </w:p>
    <w:p w14:paraId="573BA644">
      <w:pPr>
        <w:numPr>
          <w:ilvl w:val="1"/>
          <w:numId w:val="2"/>
        </w:numPr>
        <w:spacing w:after="160" w:line="360" w:lineRule="auto"/>
        <w:ind w:left="567" w:hanging="567"/>
        <w:rPr>
          <w:sz w:val="24"/>
        </w:rPr>
      </w:pPr>
      <w:r>
        <w:rPr>
          <w:sz w:val="24"/>
        </w:rPr>
        <w:t xml:space="preserve"> 电源电压：交流 380V±10％，50Hz，三相；交流 220V±10％，50Hz，单相。</w:t>
      </w:r>
    </w:p>
    <w:p w14:paraId="4E7D737A">
      <w:pPr>
        <w:numPr>
          <w:ilvl w:val="1"/>
          <w:numId w:val="2"/>
        </w:numPr>
        <w:spacing w:after="160" w:line="360" w:lineRule="auto"/>
        <w:ind w:left="567" w:hanging="567"/>
        <w:rPr>
          <w:sz w:val="24"/>
        </w:rPr>
      </w:pPr>
      <w:r>
        <w:rPr>
          <w:sz w:val="24"/>
        </w:rPr>
        <w:t>环境温度：7-38℃。</w:t>
      </w:r>
    </w:p>
    <w:p w14:paraId="14F66001">
      <w:pPr>
        <w:numPr>
          <w:ilvl w:val="1"/>
          <w:numId w:val="2"/>
        </w:numPr>
        <w:spacing w:after="160" w:line="360" w:lineRule="auto"/>
        <w:ind w:left="567" w:hanging="567"/>
        <w:rPr>
          <w:sz w:val="24"/>
        </w:rPr>
      </w:pPr>
      <w:r>
        <w:rPr>
          <w:sz w:val="24"/>
        </w:rPr>
        <w:t>相对湿度：＜80%</w:t>
      </w:r>
      <w:r>
        <w:rPr>
          <w:rFonts w:hint="eastAsia"/>
          <w:sz w:val="24"/>
        </w:rPr>
        <w:t>。</w:t>
      </w:r>
    </w:p>
    <w:p w14:paraId="706AA7FC">
      <w:pPr>
        <w:numPr>
          <w:ilvl w:val="0"/>
          <w:numId w:val="2"/>
        </w:numPr>
        <w:spacing w:after="160" w:line="360" w:lineRule="auto"/>
        <w:ind w:left="425" w:hanging="425"/>
        <w:rPr>
          <w:rFonts w:hint="eastAsia" w:cs="仿宋"/>
          <w:b/>
          <w:sz w:val="24"/>
        </w:rPr>
      </w:pPr>
      <w:r>
        <w:rPr>
          <w:rFonts w:hint="eastAsia" w:cs="仿宋"/>
          <w:b/>
          <w:sz w:val="24"/>
        </w:rPr>
        <w:t>规格、技术要求及参数：</w:t>
      </w:r>
    </w:p>
    <w:p w14:paraId="2E6F4FAE">
      <w:pPr>
        <w:spacing w:after="160" w:line="360" w:lineRule="auto"/>
        <w:jc w:val="left"/>
        <w:rPr>
          <w:rFonts w:hint="eastAsia" w:cs="仿宋"/>
          <w:b/>
          <w:sz w:val="24"/>
        </w:rPr>
      </w:pPr>
      <w:r>
        <w:rPr>
          <w:rFonts w:hint="eastAsia" w:cs="仿宋"/>
          <w:b/>
          <w:sz w:val="24"/>
        </w:rPr>
        <w:t>#2.1.</w:t>
      </w:r>
      <w:r>
        <w:rPr>
          <w:rFonts w:hint="eastAsia"/>
          <w:b/>
          <w:sz w:val="24"/>
        </w:rPr>
        <w:t xml:space="preserve"> </w:t>
      </w:r>
      <w:r>
        <w:rPr>
          <w:b/>
          <w:sz w:val="24"/>
        </w:rPr>
        <w:t>能达到的最低</w:t>
      </w:r>
      <w:r>
        <w:rPr>
          <w:rFonts w:hint="eastAsia"/>
          <w:b/>
          <w:sz w:val="24"/>
        </w:rPr>
        <w:t>温度：</w:t>
      </w:r>
      <w:r>
        <w:rPr>
          <w:rFonts w:hint="eastAsia" w:cs="仿宋"/>
          <w:b/>
          <w:sz w:val="24"/>
        </w:rPr>
        <w:t>≤</w:t>
      </w:r>
      <w:r>
        <w:rPr>
          <w:b/>
          <w:sz w:val="24"/>
        </w:rPr>
        <w:t>10 mK</w:t>
      </w:r>
      <w:r>
        <w:rPr>
          <w:rFonts w:hint="eastAsia"/>
          <w:b/>
          <w:sz w:val="24"/>
        </w:rPr>
        <w:t>。</w:t>
      </w:r>
    </w:p>
    <w:p w14:paraId="2C124F99">
      <w:pPr>
        <w:spacing w:after="160" w:line="360" w:lineRule="auto"/>
        <w:jc w:val="left"/>
        <w:rPr>
          <w:b/>
          <w:sz w:val="24"/>
        </w:rPr>
      </w:pPr>
      <w:r>
        <w:rPr>
          <w:rFonts w:hint="eastAsia" w:cs="仿宋"/>
          <w:b/>
          <w:sz w:val="24"/>
        </w:rPr>
        <w:t>#2.2.</w:t>
      </w:r>
      <w:r>
        <w:rPr>
          <w:b/>
          <w:sz w:val="24"/>
        </w:rPr>
        <w:t xml:space="preserve"> 降至最低温所需时间:≤12</w:t>
      </w:r>
      <w:r>
        <w:rPr>
          <w:rFonts w:hint="eastAsia"/>
          <w:b/>
          <w:sz w:val="24"/>
        </w:rPr>
        <w:t xml:space="preserve"> </w:t>
      </w:r>
      <w:r>
        <w:rPr>
          <w:b/>
          <w:sz w:val="24"/>
        </w:rPr>
        <w:t>h。</w:t>
      </w:r>
    </w:p>
    <w:p w14:paraId="5BDEEE00">
      <w:pPr>
        <w:spacing w:after="160" w:line="360" w:lineRule="auto"/>
        <w:jc w:val="left"/>
        <w:rPr>
          <w:b/>
          <w:sz w:val="24"/>
        </w:rPr>
      </w:pPr>
      <w:r>
        <w:rPr>
          <w:rFonts w:hint="eastAsia" w:cs="仿宋"/>
          <w:b/>
          <w:sz w:val="24"/>
        </w:rPr>
        <w:t>#2.3.</w:t>
      </w:r>
      <w:r>
        <w:rPr>
          <w:rFonts w:hint="eastAsia"/>
          <w:b/>
          <w:sz w:val="24"/>
        </w:rPr>
        <w:t xml:space="preserve"> </w:t>
      </w:r>
      <w:r>
        <w:rPr>
          <w:b/>
          <w:sz w:val="24"/>
        </w:rPr>
        <w:t>工作在100 mK时制冷功率：＞300μW。</w:t>
      </w:r>
    </w:p>
    <w:p w14:paraId="15C690B1">
      <w:pPr>
        <w:spacing w:after="160" w:line="360" w:lineRule="auto"/>
        <w:rPr>
          <w:b/>
          <w:sz w:val="24"/>
        </w:rPr>
      </w:pPr>
      <w:r>
        <w:rPr>
          <w:rFonts w:hint="eastAsia" w:cs="仿宋"/>
          <w:b/>
          <w:sz w:val="24"/>
        </w:rPr>
        <w:t>#2.4.</w:t>
      </w:r>
      <w:r>
        <w:rPr>
          <w:rFonts w:hint="eastAsia"/>
          <w:b/>
          <w:sz w:val="24"/>
        </w:rPr>
        <w:t xml:space="preserve"> 为方便在不同实验场所使用，要求恒温器主机、气体处理系统和控制系统都是可移动的；要求气体处理系统和恒温器主机之间的连接管道采用软管，支持整机系统的可移动性。</w:t>
      </w:r>
    </w:p>
    <w:p w14:paraId="732B6985">
      <w:pPr>
        <w:spacing w:after="160" w:line="360" w:lineRule="auto"/>
        <w:rPr>
          <w:b/>
          <w:sz w:val="24"/>
        </w:rPr>
      </w:pPr>
      <w:r>
        <w:rPr>
          <w:rFonts w:hint="eastAsia" w:cs="仿宋"/>
          <w:b/>
          <w:sz w:val="24"/>
        </w:rPr>
        <w:t>#2.5.</w:t>
      </w:r>
      <w:r>
        <w:rPr>
          <w:rFonts w:hint="eastAsia"/>
          <w:b/>
          <w:sz w:val="24"/>
        </w:rPr>
        <w:t xml:space="preserve"> 为了方便操作以及保护设备安全。</w:t>
      </w:r>
      <w:r>
        <w:rPr>
          <w:b/>
          <w:sz w:val="24"/>
        </w:rPr>
        <w:t>系统</w:t>
      </w:r>
      <w:r>
        <w:rPr>
          <w:rFonts w:hint="eastAsia"/>
          <w:b/>
          <w:sz w:val="24"/>
        </w:rPr>
        <w:t>需</w:t>
      </w:r>
      <w:r>
        <w:rPr>
          <w:b/>
          <w:sz w:val="24"/>
        </w:rPr>
        <w:t>具备一键降温及断电后自动恢复功能，确保</w:t>
      </w:r>
      <w:r>
        <w:rPr>
          <w:b/>
          <w:sz w:val="24"/>
          <w:vertAlign w:val="superscript"/>
        </w:rPr>
        <w:t>3</w:t>
      </w:r>
      <w:r>
        <w:rPr>
          <w:b/>
          <w:sz w:val="24"/>
        </w:rPr>
        <w:t>He/</w:t>
      </w:r>
      <w:r>
        <w:rPr>
          <w:b/>
          <w:sz w:val="24"/>
          <w:vertAlign w:val="superscript"/>
        </w:rPr>
        <w:t>4</w:t>
      </w:r>
      <w:r>
        <w:rPr>
          <w:b/>
          <w:sz w:val="24"/>
        </w:rPr>
        <w:t>He混合气可安全回到储罐。无论稀释制冷机是否连接电脑，系统都应具备该功能。</w:t>
      </w:r>
    </w:p>
    <w:p w14:paraId="6E2AD9BB">
      <w:pPr>
        <w:spacing w:after="160" w:line="360" w:lineRule="auto"/>
        <w:rPr>
          <w:b/>
          <w:sz w:val="24"/>
        </w:rPr>
      </w:pPr>
      <w:r>
        <w:rPr>
          <w:rFonts w:hint="eastAsia" w:cs="仿宋"/>
          <w:b/>
          <w:sz w:val="24"/>
        </w:rPr>
        <w:t>#2.6.</w:t>
      </w:r>
      <w:r>
        <w:rPr>
          <w:rFonts w:hint="eastAsia"/>
          <w:b/>
          <w:sz w:val="24"/>
        </w:rPr>
        <w:t>可以在不运行软件的情况下手动进行系统控制，避免电脑或者软件发生故障时无法控制系统；同时支持一键降温，全自动化控制。</w:t>
      </w:r>
    </w:p>
    <w:p w14:paraId="51371077">
      <w:pPr>
        <w:spacing w:after="160" w:line="360" w:lineRule="auto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#2.7 为了保证系统长期稳定运行，减少泄漏的可能性，气体处理系统中的主阀板采用一体式集成阀板，各阀门之间在阀座内部直接联通，内部不存在管子或者焊接等方式来连接；</w:t>
      </w:r>
    </w:p>
    <w:p w14:paraId="5A35F0E1">
      <w:pPr>
        <w:spacing w:after="160" w:line="360" w:lineRule="auto"/>
        <w:jc w:val="left"/>
        <w:rPr>
          <w:rFonts w:cs="仿宋"/>
          <w:b/>
          <w:sz w:val="24"/>
        </w:rPr>
      </w:pPr>
      <w:r>
        <w:rPr>
          <w:rFonts w:hint="eastAsia" w:cs="仿宋"/>
          <w:b/>
          <w:sz w:val="24"/>
        </w:rPr>
        <w:t>#2.8.</w:t>
      </w:r>
      <w:r>
        <w:rPr>
          <w:rFonts w:hint="eastAsia"/>
          <w:b/>
          <w:sz w:val="24"/>
        </w:rPr>
        <w:t xml:space="preserve"> </w:t>
      </w:r>
      <w:r>
        <w:rPr>
          <w:rFonts w:hint="eastAsia" w:cs="仿宋"/>
          <w:b/>
          <w:sz w:val="24"/>
        </w:rPr>
        <w:t>气体控制系统中所有的泵组应为无油型气泵，且用于氦气压缩的气泵不应为膜片式气泵。</w:t>
      </w:r>
    </w:p>
    <w:p w14:paraId="56536BF5">
      <w:pPr>
        <w:spacing w:after="160" w:line="360" w:lineRule="auto"/>
        <w:rPr>
          <w:rFonts w:hint="eastAsia" w:cs="仿宋"/>
          <w:b/>
          <w:sz w:val="24"/>
        </w:rPr>
      </w:pPr>
      <w:r>
        <w:rPr>
          <w:rFonts w:hint="eastAsia" w:cs="仿宋"/>
          <w:b/>
          <w:sz w:val="24"/>
        </w:rPr>
        <w:t>#2.9.</w:t>
      </w:r>
      <w:r>
        <w:rPr>
          <w:rFonts w:hint="eastAsia"/>
          <w:b/>
          <w:sz w:val="24"/>
        </w:rPr>
        <w:t xml:space="preserve"> </w:t>
      </w:r>
      <w:r>
        <w:rPr>
          <w:rFonts w:hint="eastAsia" w:cs="仿宋"/>
          <w:b/>
          <w:sz w:val="24"/>
        </w:rPr>
        <w:t>主换热器应采用全焊接技术，整个系统不应存在软钎焊点，以降低系统泄露的可能。</w:t>
      </w:r>
    </w:p>
    <w:p w14:paraId="771DE23E">
      <w:pPr>
        <w:spacing w:after="160" w:line="360" w:lineRule="auto"/>
        <w:jc w:val="left"/>
        <w:rPr>
          <w:rFonts w:hint="eastAsia" w:cs="仿宋"/>
          <w:b/>
          <w:sz w:val="24"/>
        </w:rPr>
      </w:pPr>
      <w:r>
        <w:rPr>
          <w:rFonts w:hint="eastAsia" w:cs="仿宋"/>
          <w:b/>
          <w:sz w:val="24"/>
        </w:rPr>
        <w:t>#2.10.真空罩与防辐射屏应材质轻便，以便于单人操作。</w:t>
      </w:r>
    </w:p>
    <w:p w14:paraId="52056B81">
      <w:pPr>
        <w:spacing w:after="160" w:line="360" w:lineRule="auto"/>
        <w:rPr>
          <w:rFonts w:cs="仿宋"/>
          <w:b/>
          <w:sz w:val="24"/>
        </w:rPr>
      </w:pPr>
      <w:r>
        <w:rPr>
          <w:rFonts w:hint="eastAsia" w:cs="仿宋"/>
          <w:b/>
          <w:sz w:val="24"/>
        </w:rPr>
        <w:t>#2.11.要求系统包含的分子泵独立放置于气体处理系统之外。</w:t>
      </w:r>
    </w:p>
    <w:p w14:paraId="43BA5E12">
      <w:pPr>
        <w:spacing w:after="160" w:line="360" w:lineRule="auto"/>
        <w:jc w:val="left"/>
        <w:rPr>
          <w:rFonts w:cs="仿宋"/>
          <w:b/>
          <w:sz w:val="24"/>
        </w:rPr>
      </w:pPr>
      <w:r>
        <w:rPr>
          <w:rFonts w:hint="eastAsia" w:cs="仿宋"/>
          <w:b/>
          <w:sz w:val="24"/>
        </w:rPr>
        <w:t>#2.12.</w:t>
      </w:r>
      <w:r>
        <w:rPr>
          <w:b/>
          <w:sz w:val="24"/>
        </w:rPr>
        <w:t>降温过程中无需1 K级预冷液化</w:t>
      </w:r>
      <w:r>
        <w:rPr>
          <w:b/>
          <w:sz w:val="24"/>
          <w:vertAlign w:val="superscript"/>
        </w:rPr>
        <w:t>3</w:t>
      </w:r>
      <w:r>
        <w:rPr>
          <w:b/>
          <w:sz w:val="24"/>
        </w:rPr>
        <w:t>He气体</w:t>
      </w:r>
      <w:r>
        <w:rPr>
          <w:rFonts w:hint="eastAsia" w:cs="仿宋"/>
          <w:b/>
          <w:sz w:val="24"/>
        </w:rPr>
        <w:t>。</w:t>
      </w:r>
    </w:p>
    <w:p w14:paraId="4EDCE070">
      <w:pPr>
        <w:spacing w:after="160" w:line="360" w:lineRule="auto"/>
        <w:jc w:val="left"/>
        <w:rPr>
          <w:rFonts w:hint="eastAsia" w:cs="仿宋"/>
          <w:b/>
          <w:sz w:val="24"/>
        </w:rPr>
      </w:pPr>
      <w:r>
        <w:rPr>
          <w:rFonts w:hint="eastAsia" w:cs="仿宋"/>
          <w:b/>
          <w:sz w:val="24"/>
        </w:rPr>
        <w:t>#2.13. 整个系统应共用一个真空罩，无需低温真空密封。</w:t>
      </w:r>
    </w:p>
    <w:p w14:paraId="59EEBD2D">
      <w:pPr>
        <w:spacing w:after="160" w:line="360" w:lineRule="auto"/>
        <w:jc w:val="left"/>
        <w:rPr>
          <w:rFonts w:hint="eastAsia" w:cs="仿宋"/>
          <w:b/>
          <w:sz w:val="24"/>
        </w:rPr>
      </w:pPr>
      <w:r>
        <w:rPr>
          <w:rFonts w:hint="eastAsia" w:cs="仿宋"/>
          <w:b/>
          <w:sz w:val="24"/>
        </w:rPr>
        <w:t>3.技术服务条款：</w:t>
      </w:r>
    </w:p>
    <w:p w14:paraId="1B4A3ED3">
      <w:pPr>
        <w:spacing w:after="160" w:line="360" w:lineRule="auto"/>
        <w:jc w:val="left"/>
        <w:rPr>
          <w:rFonts w:hint="eastAsia" w:cs="仿宋"/>
          <w:sz w:val="24"/>
          <w:u w:val="single"/>
        </w:rPr>
      </w:pPr>
      <w:r>
        <w:rPr>
          <w:rFonts w:hint="eastAsia" w:cs="仿宋"/>
          <w:bCs/>
          <w:sz w:val="24"/>
        </w:rPr>
        <w:t>3.1.</w:t>
      </w:r>
      <w:r>
        <w:rPr>
          <w:rFonts w:hint="eastAsia"/>
          <w:sz w:val="24"/>
        </w:rPr>
        <w:t xml:space="preserve"> </w:t>
      </w:r>
      <w:r>
        <w:rPr>
          <w:rFonts w:hint="eastAsia" w:cs="仿宋"/>
          <w:bCs/>
          <w:sz w:val="24"/>
        </w:rPr>
        <w:t>设计方案确认及预验收：签订合同后30天内提交设计方案；签订合同后90天内完成现场预验收。</w:t>
      </w:r>
    </w:p>
    <w:p w14:paraId="46130787">
      <w:pPr>
        <w:spacing w:after="160" w:line="360" w:lineRule="auto"/>
        <w:jc w:val="left"/>
        <w:rPr>
          <w:rFonts w:hint="eastAsia" w:cs="仿宋"/>
          <w:b/>
          <w:sz w:val="24"/>
        </w:rPr>
      </w:pPr>
      <w:r>
        <w:rPr>
          <w:rFonts w:hint="eastAsia" w:cs="仿宋"/>
          <w:bCs/>
          <w:sz w:val="24"/>
        </w:rPr>
        <w:t>3.2. 安装、试运行及最终验收：接到客户通知后3天内到达客户现场进行安装、试运行及最终验收。</w:t>
      </w:r>
    </w:p>
    <w:p w14:paraId="29198AD9">
      <w:pPr>
        <w:spacing w:after="160" w:line="360" w:lineRule="auto"/>
        <w:jc w:val="left"/>
        <w:rPr>
          <w:rFonts w:hint="eastAsia" w:cs="仿宋"/>
          <w:b/>
          <w:sz w:val="24"/>
        </w:rPr>
      </w:pPr>
      <w:r>
        <w:rPr>
          <w:rFonts w:hint="eastAsia" w:cs="仿宋"/>
          <w:bCs/>
          <w:sz w:val="24"/>
        </w:rPr>
        <w:t>3.3.</w:t>
      </w:r>
      <w:r>
        <w:rPr>
          <w:rFonts w:hint="eastAsia"/>
          <w:sz w:val="24"/>
        </w:rPr>
        <w:t xml:space="preserve"> </w:t>
      </w:r>
      <w:r>
        <w:rPr>
          <w:rFonts w:hint="eastAsia" w:cs="仿宋"/>
          <w:bCs/>
          <w:sz w:val="24"/>
        </w:rPr>
        <w:t>培训：要求提供不少于2天的培训，包含设备原理、设备使用及设备保养等。</w:t>
      </w:r>
    </w:p>
    <w:p w14:paraId="287AEFB1">
      <w:pPr>
        <w:numPr>
          <w:ilvl w:val="0"/>
          <w:numId w:val="3"/>
        </w:numPr>
        <w:spacing w:after="160" w:line="360" w:lineRule="auto"/>
        <w:rPr>
          <w:rFonts w:hint="eastAsia" w:cs="仿宋"/>
          <w:b/>
          <w:bCs/>
          <w:sz w:val="24"/>
        </w:rPr>
      </w:pPr>
      <w:r>
        <w:rPr>
          <w:rFonts w:hint="eastAsia" w:cs="仿宋"/>
          <w:b/>
          <w:bCs/>
          <w:sz w:val="24"/>
        </w:rPr>
        <w:t>采购标的需执行的国家相关标准、行业标准、地方标准或者其他标准、规范：</w:t>
      </w:r>
    </w:p>
    <w:p w14:paraId="6CE4C12F">
      <w:pPr>
        <w:spacing w:after="160" w:line="360" w:lineRule="auto"/>
        <w:ind w:firstLine="480" w:firstLineChars="200"/>
        <w:rPr>
          <w:rFonts w:hint="eastAsia" w:cs="仿宋"/>
          <w:sz w:val="24"/>
        </w:rPr>
      </w:pPr>
      <w:r>
        <w:rPr>
          <w:rFonts w:hint="eastAsia" w:cs="仿宋"/>
          <w:sz w:val="24"/>
        </w:rPr>
        <w:t>无。</w:t>
      </w:r>
    </w:p>
    <w:p w14:paraId="43D1C383">
      <w:pPr>
        <w:numPr>
          <w:ilvl w:val="0"/>
          <w:numId w:val="3"/>
        </w:numPr>
        <w:spacing w:after="160" w:line="360" w:lineRule="auto"/>
        <w:rPr>
          <w:rFonts w:hint="eastAsia" w:cs="仿宋"/>
          <w:b/>
          <w:bCs/>
          <w:sz w:val="24"/>
        </w:rPr>
      </w:pPr>
      <w:bookmarkStart w:id="0" w:name="_Toc258264687"/>
      <w:bookmarkStart w:id="1" w:name="_Toc289948435"/>
      <w:bookmarkStart w:id="2" w:name="_Toc403258042"/>
      <w:bookmarkStart w:id="3" w:name="_Toc230357439"/>
      <w:r>
        <w:rPr>
          <w:rFonts w:hint="eastAsia" w:cs="仿宋"/>
          <w:b/>
          <w:bCs/>
          <w:sz w:val="24"/>
        </w:rPr>
        <w:t>售后服务要求：（其他）</w:t>
      </w:r>
    </w:p>
    <w:p w14:paraId="26C164E9">
      <w:pPr>
        <w:spacing w:after="160" w:line="360" w:lineRule="auto"/>
        <w:rPr>
          <w:rFonts w:cs="仿宋"/>
          <w:bCs/>
          <w:sz w:val="24"/>
        </w:rPr>
      </w:pPr>
      <w:r>
        <w:rPr>
          <w:rFonts w:hint="eastAsia" w:cs="仿宋"/>
          <w:bCs/>
          <w:sz w:val="24"/>
        </w:rPr>
        <w:t>3.1.</w:t>
      </w:r>
      <w:r>
        <w:rPr>
          <w:rFonts w:hint="eastAsia"/>
          <w:sz w:val="24"/>
        </w:rPr>
        <w:t xml:space="preserve"> </w:t>
      </w:r>
      <w:r>
        <w:rPr>
          <w:rFonts w:hint="eastAsia" w:cs="仿宋"/>
          <w:bCs/>
          <w:sz w:val="24"/>
        </w:rPr>
        <w:t>质保期要求1年（自验收之日起计算）。</w:t>
      </w:r>
    </w:p>
    <w:p w14:paraId="6CE9B42D">
      <w:pPr>
        <w:spacing w:after="160" w:line="360" w:lineRule="auto"/>
        <w:ind w:firstLine="482" w:firstLineChars="200"/>
        <w:rPr>
          <w:rFonts w:hint="eastAsia" w:cs="仿宋"/>
          <w:b/>
          <w:bCs/>
          <w:sz w:val="24"/>
        </w:rPr>
      </w:pPr>
      <w:r>
        <w:rPr>
          <w:rFonts w:hint="eastAsia" w:cs="仿宋"/>
          <w:b/>
          <w:bCs/>
          <w:sz w:val="24"/>
        </w:rPr>
        <w:t>质保期内，任何由制造商选材和制造不当引起的质量问题，厂商负责免费维修或更换。质保期自验收完成后签字之日起计算。</w:t>
      </w:r>
    </w:p>
    <w:p w14:paraId="4DA2EEBA">
      <w:pPr>
        <w:spacing w:after="160" w:line="360" w:lineRule="auto"/>
        <w:rPr>
          <w:rFonts w:hint="eastAsia" w:cs="仿宋"/>
          <w:sz w:val="24"/>
          <w:u w:val="single"/>
        </w:rPr>
      </w:pPr>
      <w:r>
        <w:rPr>
          <w:rFonts w:hint="eastAsia" w:cs="仿宋"/>
          <w:bCs/>
          <w:sz w:val="24"/>
        </w:rPr>
        <w:t>3.2.</w:t>
      </w:r>
      <w:r>
        <w:rPr>
          <w:rFonts w:hint="eastAsia"/>
          <w:sz w:val="24"/>
        </w:rPr>
        <w:t xml:space="preserve"> </w:t>
      </w:r>
      <w:r>
        <w:rPr>
          <w:rFonts w:hint="eastAsia" w:cs="仿宋"/>
          <w:bCs/>
          <w:sz w:val="24"/>
        </w:rPr>
        <w:t>维修响应时间：</w:t>
      </w:r>
      <w:r>
        <w:rPr>
          <w:rFonts w:hint="eastAsia" w:cs="仿宋"/>
          <w:b/>
          <w:sz w:val="24"/>
        </w:rPr>
        <w:t>供应商必须保证快速的服务响应。得到通知后，在4小时内向用户服务确认，保证技术人员的操作疑问能够在24个小时内得到解答。如果没法远程解决，需要在3个工作日内到达客户现场。</w:t>
      </w:r>
    </w:p>
    <w:p w14:paraId="44E3950A">
      <w:pPr>
        <w:spacing w:after="160" w:line="360" w:lineRule="auto"/>
        <w:rPr>
          <w:rFonts w:hint="eastAsia" w:cs="仿宋"/>
          <w:b/>
          <w:bCs/>
          <w:sz w:val="24"/>
        </w:rPr>
      </w:pPr>
      <w:r>
        <w:rPr>
          <w:rFonts w:hint="eastAsia" w:cs="仿宋"/>
          <w:b/>
          <w:bCs/>
          <w:sz w:val="24"/>
        </w:rPr>
        <w:t>3.3.到货安装调试完成后，有专业工程师现场提供一次系统的使用培训服务，直至采购人相关人员熟练掌握为止。</w:t>
      </w:r>
    </w:p>
    <w:p w14:paraId="3B687F5B">
      <w:pPr>
        <w:spacing w:after="160" w:line="360" w:lineRule="auto"/>
        <w:rPr>
          <w:rFonts w:hint="eastAsia" w:cs="仿宋"/>
          <w:b/>
          <w:bCs/>
          <w:sz w:val="24"/>
        </w:rPr>
      </w:pPr>
      <w:r>
        <w:rPr>
          <w:rFonts w:hint="eastAsia" w:cs="仿宋"/>
          <w:b/>
          <w:bCs/>
          <w:sz w:val="24"/>
        </w:rPr>
        <w:t>四、验收标准：</w:t>
      </w:r>
    </w:p>
    <w:p w14:paraId="1973B1A8">
      <w:pPr>
        <w:spacing w:after="160" w:line="360" w:lineRule="auto"/>
        <w:rPr>
          <w:rFonts w:hint="eastAsia" w:cs="仿宋"/>
          <w:b/>
          <w:bCs/>
          <w:sz w:val="24"/>
        </w:rPr>
      </w:pPr>
      <w:r>
        <w:rPr>
          <w:rFonts w:hint="eastAsia" w:cs="仿宋"/>
          <w:b/>
          <w:bCs/>
          <w:sz w:val="24"/>
        </w:rPr>
        <w:t>4.1.设备到货：到货后检查包装木箱的完整性及无破损。</w:t>
      </w:r>
    </w:p>
    <w:p w14:paraId="24655E63">
      <w:pPr>
        <w:spacing w:after="160" w:line="360" w:lineRule="auto"/>
        <w:rPr>
          <w:rFonts w:hint="eastAsia" w:cs="仿宋"/>
          <w:b/>
          <w:bCs/>
          <w:sz w:val="24"/>
        </w:rPr>
      </w:pPr>
      <w:r>
        <w:rPr>
          <w:rFonts w:hint="eastAsia" w:cs="仿宋"/>
          <w:b/>
          <w:bCs/>
          <w:sz w:val="24"/>
        </w:rPr>
        <w:t>4.3.设备安装调试：设备的性能应符合供货方应答文件中承诺的技术指标，所有指标验收必须由用户确认。</w:t>
      </w:r>
    </w:p>
    <w:bookmarkEnd w:id="0"/>
    <w:bookmarkEnd w:id="1"/>
    <w:bookmarkEnd w:id="2"/>
    <w:bookmarkEnd w:id="3"/>
    <w:p w14:paraId="7C781424">
      <w:pPr>
        <w:numPr>
          <w:ilvl w:val="0"/>
          <w:numId w:val="4"/>
        </w:numPr>
        <w:spacing w:after="160" w:line="360" w:lineRule="auto"/>
        <w:jc w:val="left"/>
        <w:rPr>
          <w:rFonts w:hint="eastAsia" w:cs="仿宋"/>
          <w:b/>
          <w:bCs/>
          <w:sz w:val="24"/>
        </w:rPr>
      </w:pPr>
      <w:r>
        <w:rPr>
          <w:rFonts w:hint="eastAsia" w:cs="仿宋"/>
          <w:b/>
          <w:bCs/>
          <w:sz w:val="24"/>
        </w:rPr>
        <w:t>交货地点：</w:t>
      </w:r>
    </w:p>
    <w:p w14:paraId="71057CA7">
      <w:pPr>
        <w:spacing w:after="160" w:line="360" w:lineRule="auto"/>
        <w:ind w:firstLine="480" w:firstLineChars="200"/>
        <w:jc w:val="left"/>
        <w:rPr>
          <w:rFonts w:hint="eastAsia" w:cs="仿宋"/>
          <w:sz w:val="24"/>
        </w:rPr>
      </w:pPr>
      <w:r>
        <w:rPr>
          <w:rFonts w:hint="eastAsia" w:cs="仿宋"/>
          <w:sz w:val="24"/>
        </w:rPr>
        <w:t>广东省惠州市惠城区新桥北路1号中国科学院近代物理研究所惠州园区。</w:t>
      </w:r>
    </w:p>
    <w:p w14:paraId="3A7EB322">
      <w:pPr>
        <w:numPr>
          <w:ilvl w:val="0"/>
          <w:numId w:val="4"/>
        </w:numPr>
        <w:spacing w:after="160" w:line="360" w:lineRule="auto"/>
        <w:rPr>
          <w:rFonts w:hint="eastAsia" w:ascii="仿宋" w:hAnsi="仿宋" w:eastAsia="仿宋" w:cs="仿宋"/>
          <w:b/>
          <w:bCs/>
          <w:sz w:val="24"/>
        </w:rPr>
      </w:pPr>
      <w:r>
        <w:rPr>
          <w:rFonts w:hint="eastAsia" w:cs="仿宋"/>
          <w:b/>
          <w:bCs/>
          <w:sz w:val="24"/>
        </w:rPr>
        <w:t>交货期：合同签订后 90日内交货并安装完毕。</w:t>
      </w:r>
    </w:p>
    <w:p w14:paraId="1EF272A3">
      <w:pPr>
        <w:spacing w:after="156" w:afterLines="50" w:line="360" w:lineRule="auto"/>
        <w:ind w:left="601" w:hanging="601"/>
        <w:rPr>
          <w:rFonts w:hint="eastAsia"/>
          <w:b/>
          <w:sz w:val="24"/>
        </w:rPr>
      </w:pPr>
    </w:p>
    <w:p w14:paraId="64D5AFFE"/>
    <w:sectPr>
      <w:footerReference r:id="rId5" w:type="first"/>
      <w:headerReference r:id="rId3" w:type="default"/>
      <w:footerReference r:id="rId4" w:type="default"/>
      <w:pgSz w:w="11906" w:h="16838"/>
      <w:pgMar w:top="1418" w:right="1418" w:bottom="1418" w:left="1418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7708FB">
    <w:pPr>
      <w:pStyle w:val="4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3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868201">
    <w:pPr>
      <w:pStyle w:val="4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3CEBAD">
    <w:pPr>
      <w:pStyle w:val="5"/>
      <w:jc w:val="both"/>
    </w:pPr>
    <w:r>
      <w:rPr>
        <w:rFonts w:hint="eastAsia"/>
        <w:i/>
      </w:rPr>
      <w:t>中国科学院近代物理研究所                                                                  招标文件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52FEB78"/>
    <w:multiLevelType w:val="singleLevel"/>
    <w:tmpl w:val="F52FEB78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4754ED2"/>
    <w:multiLevelType w:val="multilevel"/>
    <w:tmpl w:val="24754ED2"/>
    <w:lvl w:ilvl="0" w:tentative="0">
      <w:start w:val="1"/>
      <w:numFmt w:val="decimal"/>
      <w:lvlText w:val="%1."/>
      <w:lvlJc w:val="left"/>
      <w:pPr>
        <w:ind w:left="425" w:hanging="425"/>
      </w:pPr>
    </w:lvl>
    <w:lvl w:ilvl="1" w:tentative="0">
      <w:start w:val="1"/>
      <w:numFmt w:val="decimal"/>
      <w:lvlText w:val="%1.%2."/>
      <w:lvlJc w:val="left"/>
      <w:pPr>
        <w:ind w:left="567" w:hanging="567"/>
      </w:pPr>
    </w:lvl>
    <w:lvl w:ilvl="2" w:tentative="0">
      <w:start w:val="1"/>
      <w:numFmt w:val="decimal"/>
      <w:lvlText w:val="%1.%2.%3."/>
      <w:lvlJc w:val="left"/>
      <w:pPr>
        <w:ind w:left="709" w:hanging="709"/>
      </w:pPr>
    </w:lvl>
    <w:lvl w:ilvl="3" w:tentative="0">
      <w:start w:val="1"/>
      <w:numFmt w:val="decimal"/>
      <w:lvlText w:val="%1.%2.%3.%4."/>
      <w:lvlJc w:val="left"/>
      <w:pPr>
        <w:ind w:left="851" w:hanging="851"/>
      </w:pPr>
    </w:lvl>
    <w:lvl w:ilvl="4" w:tentative="0">
      <w:start w:val="1"/>
      <w:numFmt w:val="decimal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2">
    <w:nsid w:val="68F84946"/>
    <w:multiLevelType w:val="multilevel"/>
    <w:tmpl w:val="68F84946"/>
    <w:lvl w:ilvl="0" w:tentative="0">
      <w:start w:val="1"/>
      <w:numFmt w:val="decimal"/>
      <w:lvlText w:val="%1）"/>
      <w:lvlJc w:val="left"/>
      <w:pPr>
        <w:tabs>
          <w:tab w:val="left" w:pos="1896"/>
        </w:tabs>
        <w:ind w:left="1896" w:hanging="396"/>
      </w:pPr>
      <w:rPr>
        <w:rFonts w:hint="eastAsia" w:eastAsia="仿宋_GB2312"/>
        <w:b w:val="0"/>
        <w:i w:val="0"/>
        <w:color w:val="auto"/>
      </w:rPr>
    </w:lvl>
    <w:lvl w:ilvl="1" w:tentative="0">
      <w:start w:val="8"/>
      <w:numFmt w:val="japaneseCounting"/>
      <w:lvlText w:val="第%2章"/>
      <w:lvlJc w:val="left"/>
      <w:pPr>
        <w:tabs>
          <w:tab w:val="left" w:pos="1935"/>
        </w:tabs>
        <w:ind w:left="1935" w:hanging="1515"/>
      </w:pPr>
      <w:rPr>
        <w:rFonts w:hint="default"/>
      </w:rPr>
    </w:lvl>
    <w:lvl w:ilvl="2" w:tentative="0">
      <w:start w:val="1"/>
      <w:numFmt w:val="japaneseCounting"/>
      <w:lvlText w:val="%3、"/>
      <w:lvlJc w:val="left"/>
      <w:pPr>
        <w:tabs>
          <w:tab w:val="left" w:pos="1560"/>
        </w:tabs>
        <w:ind w:left="1560" w:hanging="7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3">
    <w:nsid w:val="69CC3875"/>
    <w:multiLevelType w:val="singleLevel"/>
    <w:tmpl w:val="69CC3875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DE3432"/>
    <w:rsid w:val="4CDE3432"/>
    <w:rsid w:val="6DB67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iPriority w:val="0"/>
    <w:rPr>
      <w:rFonts w:ascii="宋体" w:hAnsi="Courier New"/>
      <w:szCs w:val="20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2857</Words>
  <Characters>3038</Characters>
  <Lines>0</Lines>
  <Paragraphs>0</Paragraphs>
  <TotalTime>0</TotalTime>
  <ScaleCrop>false</ScaleCrop>
  <LinksUpToDate>false</LinksUpToDate>
  <CharactersWithSpaces>3102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2025-06-18T09:57:00Z</dcterms:created>
  <dc:creator>夏&amp;风</dc:creator>
  <cp:lastModifiedBy>清</cp:lastModifiedBy>
  <dcterms:modified xsi:type="dcterms:W3CDTF">2025-06-19T02:39:29Z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DBA257D280FA4AE5AFFE36D68DF5495B_13</vt:lpwstr>
  </property>
</Properties>
</file>