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  <w:bookmarkStart w:id="0" w:name="_GoBack"/>
      <w:bookmarkEnd w:id="0"/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spacing w:before="936" w:beforeLines="300"/>
        <w:jc w:val="center"/>
        <w:rPr>
          <w:rFonts w:ascii="黑体" w:eastAsia="黑体"/>
          <w:b/>
          <w:color w:val="auto"/>
          <w:kern w:val="44"/>
          <w:sz w:val="48"/>
          <w:szCs w:val="20"/>
          <w:highlight w:val="none"/>
        </w:rPr>
      </w:pPr>
      <w:r>
        <w:rPr>
          <w:rFonts w:hint="eastAsia" w:ascii="黑体" w:eastAsia="黑体"/>
          <w:b/>
          <w:color w:val="auto"/>
          <w:kern w:val="44"/>
          <w:sz w:val="48"/>
          <w:szCs w:val="20"/>
          <w:highlight w:val="none"/>
        </w:rPr>
        <w:t>第八部分  采购需求</w:t>
      </w:r>
      <w:r>
        <w:rPr>
          <w:rFonts w:ascii="黑体" w:eastAsia="黑体"/>
          <w:b/>
          <w:color w:val="auto"/>
          <w:kern w:val="44"/>
          <w:sz w:val="48"/>
          <w:szCs w:val="20"/>
          <w:highlight w:val="none"/>
        </w:rPr>
        <w:br w:type="page"/>
      </w: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30"/>
          <w:szCs w:val="30"/>
          <w:highlight w:val="none"/>
        </w:rPr>
      </w:pPr>
      <w:r>
        <w:rPr>
          <w:rFonts w:hint="eastAsia" w:ascii="宋体" w:hAnsi="宋体"/>
          <w:b/>
          <w:color w:val="auto"/>
          <w:sz w:val="30"/>
          <w:szCs w:val="30"/>
          <w:highlight w:val="none"/>
        </w:rPr>
        <w:t>一、货物需求一览表</w:t>
      </w: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30"/>
          <w:szCs w:val="30"/>
          <w:highlight w:val="none"/>
        </w:rPr>
      </w:pPr>
    </w:p>
    <w:tbl>
      <w:tblPr>
        <w:tblStyle w:val="4"/>
        <w:tblW w:w="964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62"/>
        <w:gridCol w:w="2640"/>
        <w:gridCol w:w="635"/>
        <w:gridCol w:w="1320"/>
        <w:gridCol w:w="1765"/>
        <w:gridCol w:w="2520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762" w:type="dxa"/>
            <w:vAlign w:val="center"/>
          </w:tcPr>
          <w:p>
            <w:pPr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color w:val="auto"/>
                <w:sz w:val="24"/>
                <w:highlight w:val="none"/>
              </w:rPr>
              <w:t>包号</w:t>
            </w:r>
          </w:p>
        </w:tc>
        <w:tc>
          <w:tcPr>
            <w:tcW w:w="2640" w:type="dxa"/>
            <w:vAlign w:val="center"/>
          </w:tcPr>
          <w:p>
            <w:pPr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color w:val="auto"/>
                <w:sz w:val="24"/>
                <w:highlight w:val="none"/>
              </w:rPr>
              <w:t>货物名称</w:t>
            </w:r>
          </w:p>
        </w:tc>
        <w:tc>
          <w:tcPr>
            <w:tcW w:w="635" w:type="dxa"/>
            <w:vAlign w:val="center"/>
          </w:tcPr>
          <w:p>
            <w:pPr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1320" w:type="dxa"/>
            <w:vAlign w:val="center"/>
          </w:tcPr>
          <w:p>
            <w:pPr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color w:val="auto"/>
                <w:sz w:val="24"/>
                <w:highlight w:val="none"/>
              </w:rPr>
              <w:t>交货期</w:t>
            </w:r>
          </w:p>
        </w:tc>
        <w:tc>
          <w:tcPr>
            <w:tcW w:w="1765" w:type="dxa"/>
            <w:vAlign w:val="center"/>
          </w:tcPr>
          <w:p>
            <w:pPr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color w:val="auto"/>
                <w:sz w:val="24"/>
                <w:highlight w:val="none"/>
              </w:rPr>
              <w:t>指定到货港</w:t>
            </w:r>
          </w:p>
        </w:tc>
        <w:tc>
          <w:tcPr>
            <w:tcW w:w="2520" w:type="dxa"/>
            <w:vAlign w:val="center"/>
          </w:tcPr>
          <w:p>
            <w:pPr>
              <w:jc w:val="center"/>
              <w:rPr>
                <w:color w:val="auto"/>
                <w:sz w:val="24"/>
                <w:highlight w:val="none"/>
                <w:shd w:val="pct10" w:color="auto" w:fill="FFFFFF"/>
              </w:rPr>
            </w:pPr>
            <w:r>
              <w:rPr>
                <w:color w:val="auto"/>
                <w:sz w:val="24"/>
                <w:highlight w:val="none"/>
              </w:rPr>
              <w:t>项目现场（交货地点）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24" w:hRule="atLeast"/>
          <w:jc w:val="center"/>
        </w:trPr>
        <w:tc>
          <w:tcPr>
            <w:tcW w:w="762" w:type="dxa"/>
            <w:vAlign w:val="center"/>
          </w:tcPr>
          <w:p>
            <w:pPr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2640" w:type="dxa"/>
            <w:vAlign w:val="center"/>
          </w:tcPr>
          <w:p>
            <w:pPr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  <w:lang w:bidi="ar"/>
              </w:rPr>
              <w:t>红外显微镜</w:t>
            </w:r>
          </w:p>
        </w:tc>
        <w:tc>
          <w:tcPr>
            <w:tcW w:w="635" w:type="dxa"/>
            <w:vAlign w:val="center"/>
          </w:tcPr>
          <w:p>
            <w:pPr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color w:val="auto"/>
                <w:sz w:val="24"/>
                <w:highlight w:val="none"/>
              </w:rPr>
              <w:t>1</w:t>
            </w:r>
            <w:r>
              <w:rPr>
                <w:rFonts w:hint="eastAsia"/>
                <w:color w:val="auto"/>
                <w:sz w:val="24"/>
                <w:highlight w:val="none"/>
              </w:rPr>
              <w:t>台</w:t>
            </w:r>
          </w:p>
        </w:tc>
        <w:tc>
          <w:tcPr>
            <w:tcW w:w="5605" w:type="dxa"/>
            <w:gridSpan w:val="3"/>
            <w:vAlign w:val="center"/>
          </w:tcPr>
          <w:p>
            <w:pPr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color w:val="auto"/>
                <w:sz w:val="24"/>
                <w:highlight w:val="none"/>
              </w:rPr>
              <w:t>详见具体技术规格</w:t>
            </w:r>
          </w:p>
        </w:tc>
      </w:tr>
    </w:tbl>
    <w:p>
      <w:pPr>
        <w:adjustRightInd w:val="0"/>
        <w:snapToGrid w:val="0"/>
        <w:jc w:val="center"/>
        <w:rPr>
          <w:b/>
          <w:color w:val="auto"/>
          <w:sz w:val="30"/>
          <w:szCs w:val="30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30"/>
          <w:szCs w:val="30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30"/>
          <w:szCs w:val="30"/>
          <w:highlight w:val="none"/>
        </w:rPr>
      </w:pPr>
    </w:p>
    <w:p>
      <w:pPr>
        <w:rPr>
          <w:rFonts w:ascii="Bookman Old Style" w:hAnsi="Bookman Old Style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注：投标人须对上述投标内容中完整的一包或几包进行投标，</w:t>
      </w:r>
      <w:r>
        <w:rPr>
          <w:rFonts w:hint="eastAsia" w:ascii="Bookman Old Style" w:hAnsi="Bookman Old Style"/>
          <w:color w:val="auto"/>
          <w:sz w:val="24"/>
          <w:highlight w:val="none"/>
        </w:rPr>
        <w:t>不完整的投标将视为非响应性投标予以拒绝。</w:t>
      </w: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b/>
          <w:color w:val="auto"/>
          <w:sz w:val="30"/>
          <w:szCs w:val="30"/>
          <w:highlight w:val="none"/>
        </w:rPr>
      </w:pPr>
      <w:r>
        <w:rPr>
          <w:rFonts w:ascii="宋体" w:hAnsi="宋体"/>
          <w:b/>
          <w:color w:val="auto"/>
          <w:sz w:val="30"/>
          <w:szCs w:val="30"/>
          <w:highlight w:val="none"/>
        </w:rPr>
        <w:br w:type="page"/>
      </w:r>
    </w:p>
    <w:p>
      <w:pPr>
        <w:tabs>
          <w:tab w:val="left" w:pos="720"/>
        </w:tabs>
        <w:adjustRightInd w:val="0"/>
        <w:snapToGrid w:val="0"/>
        <w:jc w:val="center"/>
        <w:rPr>
          <w:rFonts w:ascii="宋体" w:hAnsi="宋体"/>
          <w:b/>
          <w:color w:val="auto"/>
          <w:sz w:val="30"/>
          <w:szCs w:val="30"/>
          <w:highlight w:val="none"/>
        </w:rPr>
      </w:pPr>
      <w:r>
        <w:rPr>
          <w:rFonts w:hint="eastAsia" w:ascii="宋体" w:hAnsi="宋体"/>
          <w:b/>
          <w:color w:val="auto"/>
          <w:sz w:val="30"/>
          <w:szCs w:val="30"/>
          <w:highlight w:val="none"/>
        </w:rPr>
        <w:t>二、总则</w:t>
      </w: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auto"/>
          <w:sz w:val="28"/>
          <w:highlight w:val="none"/>
        </w:rPr>
      </w:pPr>
      <w:r>
        <w:rPr>
          <w:rFonts w:ascii="宋体" w:hAnsi="宋体"/>
          <w:b/>
          <w:color w:val="auto"/>
          <w:sz w:val="28"/>
          <w:highlight w:val="none"/>
        </w:rPr>
        <w:t>1</w:t>
      </w:r>
      <w:r>
        <w:rPr>
          <w:rFonts w:hint="eastAsia" w:ascii="宋体" w:hAnsi="宋体"/>
          <w:b/>
          <w:color w:val="auto"/>
          <w:sz w:val="28"/>
          <w:highlight w:val="none"/>
        </w:rPr>
        <w:t>、投标要求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 xml:space="preserve">1.1 </w:t>
      </w:r>
      <w:r>
        <w:rPr>
          <w:rFonts w:hint="eastAsia" w:ascii="宋体" w:hAnsi="宋体"/>
          <w:color w:val="auto"/>
          <w:sz w:val="24"/>
          <w:highlight w:val="none"/>
        </w:rPr>
        <w:t xml:space="preserve"> 投标人在准备投标书时，务必在所提供的商品的技术规格文件中，标明型号、商标名称、目录号。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>
      <w:pPr>
        <w:spacing w:line="360" w:lineRule="auto"/>
        <w:ind w:left="554" w:hanging="554" w:hangingChars="231"/>
        <w:rPr>
          <w:rFonts w:asci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1.3  </w:t>
      </w:r>
      <w:r>
        <w:rPr>
          <w:rFonts w:hint="eastAsia"/>
          <w:color w:val="auto"/>
          <w:sz w:val="24"/>
          <w:highlight w:val="none"/>
        </w:rPr>
        <w:t>投标人提供的</w:t>
      </w:r>
      <w:r>
        <w:rPr>
          <w:rFonts w:hint="eastAsia" w:ascii="宋体"/>
          <w:color w:val="auto"/>
          <w:sz w:val="24"/>
          <w:highlight w:val="none"/>
        </w:rPr>
        <w:t>产品</w:t>
      </w:r>
      <w:r>
        <w:rPr>
          <w:rFonts w:hint="eastAsia"/>
          <w:color w:val="auto"/>
          <w:sz w:val="24"/>
          <w:highlight w:val="none"/>
        </w:rPr>
        <w:t>样本，必须是“原件”而非复印件，</w:t>
      </w:r>
      <w:r>
        <w:rPr>
          <w:rFonts w:hint="eastAsia" w:ascii="宋体"/>
          <w:color w:val="auto"/>
          <w:sz w:val="24"/>
          <w:highlight w:val="none"/>
        </w:rPr>
        <w:t>图表、简图、电路图以及印刷电路板图等都应</w:t>
      </w:r>
      <w:r>
        <w:rPr>
          <w:rFonts w:hint="eastAsia"/>
          <w:color w:val="auto"/>
          <w:sz w:val="24"/>
          <w:highlight w:val="none"/>
        </w:rPr>
        <w:t>清晰易读。买方有权</w:t>
      </w:r>
      <w:r>
        <w:rPr>
          <w:rFonts w:hint="eastAsia" w:ascii="宋体"/>
          <w:color w:val="auto"/>
          <w:sz w:val="24"/>
          <w:highlight w:val="none"/>
        </w:rPr>
        <w:t>不付任何附加费用</w:t>
      </w:r>
      <w:r>
        <w:rPr>
          <w:rFonts w:hint="eastAsia"/>
          <w:color w:val="auto"/>
          <w:sz w:val="24"/>
          <w:highlight w:val="none"/>
        </w:rPr>
        <w:t>复制这些资料</w:t>
      </w:r>
      <w:r>
        <w:rPr>
          <w:rFonts w:hint="eastAsia" w:ascii="宋体"/>
          <w:color w:val="auto"/>
          <w:sz w:val="24"/>
          <w:highlight w:val="none"/>
        </w:rPr>
        <w:t>以供参考。</w:t>
      </w:r>
    </w:p>
    <w:p>
      <w:pPr>
        <w:spacing w:line="360" w:lineRule="auto"/>
        <w:ind w:left="554" w:hanging="554" w:hangingChars="231"/>
        <w:rPr>
          <w:rFonts w:ascii="宋体"/>
          <w:color w:val="auto"/>
          <w:sz w:val="24"/>
          <w:highlight w:val="none"/>
        </w:rPr>
      </w:pPr>
      <w:r>
        <w:rPr>
          <w:rFonts w:hint="eastAsia" w:ascii="宋体"/>
          <w:color w:val="auto"/>
          <w:sz w:val="24"/>
          <w:highlight w:val="none"/>
        </w:rPr>
        <w:t>1.4  投标人的投标产品应符合国家有关部门规定的相应技术、节能、安全和环保标准；如国家有关部门对投标人的投标产品有强制性规定或要求的，则投标人的投标产品必须符合相应规定或要求。</w:t>
      </w: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2、评标标准</w:t>
      </w:r>
    </w:p>
    <w:p>
      <w:pPr>
        <w:spacing w:line="360" w:lineRule="auto"/>
        <w:ind w:left="554" w:hanging="554" w:hangingChars="231"/>
        <w:rPr>
          <w:rFonts w:asci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>2.</w:t>
      </w:r>
      <w:r>
        <w:rPr>
          <w:rFonts w:hint="eastAsia" w:ascii="宋体" w:hAnsi="宋体"/>
          <w:color w:val="auto"/>
          <w:sz w:val="24"/>
          <w:highlight w:val="none"/>
        </w:rPr>
        <w:t xml:space="preserve">1  </w:t>
      </w:r>
      <w:r>
        <w:rPr>
          <w:rFonts w:hint="eastAsia"/>
          <w:color w:val="auto"/>
          <w:sz w:val="24"/>
          <w:highlight w:val="none"/>
        </w:rPr>
        <w:t>除招标文件中指定的附件和专用工具外，</w:t>
      </w:r>
      <w:r>
        <w:rPr>
          <w:rFonts w:hint="eastAsia" w:ascii="宋体"/>
          <w:color w:val="auto"/>
          <w:sz w:val="24"/>
          <w:highlight w:val="none"/>
        </w:rPr>
        <w:t>投标人应提供仪器设备的正常运行和常规保养所需的全套标准附件、专用工具</w:t>
      </w:r>
      <w:r>
        <w:rPr>
          <w:rFonts w:hint="eastAsia"/>
          <w:color w:val="auto"/>
          <w:sz w:val="24"/>
          <w:highlight w:val="none"/>
        </w:rPr>
        <w:t>和消耗品</w:t>
      </w:r>
      <w:r>
        <w:rPr>
          <w:rFonts w:hint="eastAsia" w:ascii="宋体"/>
          <w:color w:val="auto"/>
          <w:sz w:val="24"/>
          <w:highlight w:val="none"/>
        </w:rPr>
        <w:t>。投标人在投标书中需列出这些附件和工具的数量和单价的清单，这些附件和工具的报价的总值需计入投标价中。</w:t>
      </w:r>
    </w:p>
    <w:p>
      <w:pPr>
        <w:spacing w:line="360" w:lineRule="auto"/>
        <w:ind w:left="554" w:hanging="554" w:hangingChars="231"/>
        <w:rPr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2.2  </w:t>
      </w:r>
      <w:r>
        <w:rPr>
          <w:rFonts w:hint="eastAsia"/>
          <w:color w:val="auto"/>
          <w:sz w:val="24"/>
          <w:highlight w:val="none"/>
        </w:rPr>
        <w:t>对于标书</w:t>
      </w:r>
      <w:r>
        <w:rPr>
          <w:rFonts w:hint="eastAsia" w:ascii="宋体"/>
          <w:color w:val="auto"/>
          <w:sz w:val="24"/>
          <w:highlight w:val="none"/>
        </w:rPr>
        <w:t>技术规范中已列</w:t>
      </w:r>
      <w:r>
        <w:rPr>
          <w:rFonts w:hint="eastAsia"/>
          <w:color w:val="auto"/>
          <w:sz w:val="24"/>
          <w:highlight w:val="none"/>
        </w:rPr>
        <w:t>出的作为查询选件的附件、零配件、专用工具和消耗品，投标书中</w:t>
      </w:r>
      <w:r>
        <w:rPr>
          <w:rFonts w:hint="eastAsia" w:ascii="宋体"/>
          <w:color w:val="auto"/>
          <w:sz w:val="24"/>
          <w:highlight w:val="none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  <w:r>
        <w:rPr>
          <w:rFonts w:hint="eastAsia"/>
          <w:color w:val="auto"/>
          <w:sz w:val="24"/>
          <w:highlight w:val="none"/>
        </w:rPr>
        <w:t>选件一旦为用户接受，其费用将加入合同价中。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2.3  为便于用户进行接收仪器的准备工作，卖方应在合同生效后</w:t>
      </w:r>
      <w:r>
        <w:rPr>
          <w:rFonts w:hint="eastAsia" w:ascii="宋体" w:hAnsi="宋体"/>
          <w:b/>
          <w:color w:val="auto"/>
          <w:sz w:val="24"/>
          <w:highlight w:val="none"/>
        </w:rPr>
        <w:t>60</w:t>
      </w:r>
      <w:r>
        <w:rPr>
          <w:rFonts w:hint="eastAsia" w:ascii="宋体" w:hAnsi="宋体"/>
          <w:color w:val="auto"/>
          <w:sz w:val="24"/>
          <w:highlight w:val="none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2</w:t>
      </w:r>
      <w:r>
        <w:rPr>
          <w:rFonts w:ascii="宋体" w:hAnsi="宋体"/>
          <w:color w:val="auto"/>
          <w:sz w:val="24"/>
          <w:highlight w:val="none"/>
        </w:rPr>
        <w:t>.</w:t>
      </w:r>
      <w:r>
        <w:rPr>
          <w:rFonts w:hint="eastAsia" w:ascii="宋体" w:hAnsi="宋体"/>
          <w:color w:val="auto"/>
          <w:sz w:val="24"/>
          <w:highlight w:val="none"/>
        </w:rPr>
        <w:t>4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  <w:r>
        <w:rPr>
          <w:rFonts w:hint="eastAsia" w:ascii="宋体" w:hAnsi="宋体"/>
          <w:color w:val="auto"/>
          <w:sz w:val="24"/>
          <w:highlight w:val="none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>2.</w:t>
      </w:r>
      <w:r>
        <w:rPr>
          <w:rFonts w:hint="eastAsia" w:ascii="宋体" w:hAnsi="宋体"/>
          <w:color w:val="auto"/>
          <w:sz w:val="24"/>
          <w:highlight w:val="none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3、工作条件</w:t>
      </w:r>
    </w:p>
    <w:p>
      <w:pPr>
        <w:spacing w:after="312" w:afterLines="100" w:line="360" w:lineRule="auto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除非在技术规格中另有说明，所有仪器、设备和系统都应符合下列要求：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3.1  适于在气温为摄氏</w:t>
      </w:r>
      <w:r>
        <w:rPr>
          <w:rFonts w:ascii="宋体" w:hAnsi="宋体"/>
          <w:b/>
          <w:color w:val="auto"/>
          <w:sz w:val="24"/>
          <w:highlight w:val="none"/>
        </w:rPr>
        <w:t>-40</w:t>
      </w:r>
      <w:r>
        <w:rPr>
          <w:rFonts w:hint="eastAsia" w:ascii="宋体" w:hAnsi="宋体"/>
          <w:b/>
          <w:color w:val="auto"/>
          <w:sz w:val="24"/>
          <w:highlight w:val="none"/>
        </w:rPr>
        <w:t>℃～＋</w:t>
      </w:r>
      <w:r>
        <w:rPr>
          <w:rFonts w:ascii="宋体" w:hAnsi="宋体"/>
          <w:b/>
          <w:color w:val="auto"/>
          <w:sz w:val="24"/>
          <w:highlight w:val="none"/>
        </w:rPr>
        <w:t>50</w:t>
      </w:r>
      <w:r>
        <w:rPr>
          <w:rFonts w:hint="eastAsia" w:ascii="宋体" w:hAnsi="宋体"/>
          <w:b/>
          <w:color w:val="auto"/>
          <w:sz w:val="24"/>
          <w:highlight w:val="none"/>
        </w:rPr>
        <w:t>℃</w:t>
      </w:r>
      <w:r>
        <w:rPr>
          <w:rFonts w:hint="eastAsia" w:ascii="宋体" w:hAnsi="宋体"/>
          <w:color w:val="auto"/>
          <w:sz w:val="24"/>
          <w:highlight w:val="none"/>
        </w:rPr>
        <w:t>和相对湿度为</w:t>
      </w:r>
      <w:r>
        <w:rPr>
          <w:rFonts w:ascii="宋体" w:hAnsi="宋体"/>
          <w:b/>
          <w:color w:val="auto"/>
          <w:sz w:val="24"/>
          <w:highlight w:val="none"/>
        </w:rPr>
        <w:t>90</w:t>
      </w:r>
      <w:r>
        <w:rPr>
          <w:rFonts w:hint="eastAsia" w:ascii="宋体" w:hAnsi="宋体"/>
          <w:b/>
          <w:color w:val="auto"/>
          <w:sz w:val="24"/>
          <w:highlight w:val="none"/>
        </w:rPr>
        <w:t>％</w:t>
      </w:r>
      <w:r>
        <w:rPr>
          <w:rFonts w:hint="eastAsia" w:ascii="宋体" w:hAnsi="宋体"/>
          <w:color w:val="auto"/>
          <w:sz w:val="24"/>
          <w:highlight w:val="none"/>
        </w:rPr>
        <w:t>的环境条件下运输和贮存。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3.2  适于在电源</w:t>
      </w:r>
      <w:r>
        <w:rPr>
          <w:rFonts w:ascii="宋体" w:hAnsi="宋体"/>
          <w:b/>
          <w:color w:val="auto"/>
          <w:sz w:val="24"/>
          <w:highlight w:val="none"/>
        </w:rPr>
        <w:t>220V</w:t>
      </w:r>
      <w:r>
        <w:rPr>
          <w:rFonts w:hint="eastAsia" w:ascii="宋体" w:hAnsi="宋体"/>
          <w:b/>
          <w:color w:val="auto"/>
          <w:sz w:val="24"/>
          <w:highlight w:val="none"/>
        </w:rPr>
        <w:t>（</w:t>
      </w:r>
      <w:r>
        <w:rPr>
          <w:rFonts w:ascii="宋体" w:hAnsi="宋体"/>
          <w:b/>
          <w:color w:val="auto"/>
          <w:sz w:val="24"/>
          <w:highlight w:val="none"/>
        </w:rPr>
        <w:sym w:font="Symbol" w:char="F0B1"/>
      </w:r>
      <w:r>
        <w:rPr>
          <w:rFonts w:ascii="宋体" w:hAnsi="宋体"/>
          <w:b/>
          <w:color w:val="auto"/>
          <w:sz w:val="24"/>
          <w:highlight w:val="none"/>
        </w:rPr>
        <w:t>10</w:t>
      </w:r>
      <w:r>
        <w:rPr>
          <w:rFonts w:hint="eastAsia" w:ascii="宋体" w:hAnsi="宋体"/>
          <w:b/>
          <w:color w:val="auto"/>
          <w:sz w:val="24"/>
          <w:highlight w:val="none"/>
        </w:rPr>
        <w:t>％）</w:t>
      </w:r>
      <w:r>
        <w:rPr>
          <w:rFonts w:ascii="宋体" w:hAnsi="宋体"/>
          <w:b/>
          <w:color w:val="auto"/>
          <w:sz w:val="24"/>
          <w:highlight w:val="none"/>
        </w:rPr>
        <w:t>/50Hz</w:t>
      </w:r>
      <w:r>
        <w:rPr>
          <w:rFonts w:hint="eastAsia" w:ascii="宋体" w:hAnsi="宋体"/>
          <w:color w:val="auto"/>
          <w:sz w:val="24"/>
          <w:highlight w:val="none"/>
        </w:rPr>
        <w:t>、气温摄氏</w:t>
      </w:r>
      <w:r>
        <w:rPr>
          <w:rFonts w:hint="eastAsia" w:ascii="宋体" w:hAnsi="宋体"/>
          <w:b/>
          <w:color w:val="auto"/>
          <w:sz w:val="24"/>
          <w:highlight w:val="none"/>
        </w:rPr>
        <w:t>+1</w:t>
      </w:r>
      <w:r>
        <w:rPr>
          <w:rFonts w:ascii="宋体" w:hAnsi="宋体"/>
          <w:b/>
          <w:color w:val="auto"/>
          <w:sz w:val="24"/>
          <w:highlight w:val="none"/>
        </w:rPr>
        <w:t>5</w:t>
      </w:r>
      <w:r>
        <w:rPr>
          <w:rFonts w:hint="eastAsia" w:ascii="宋体" w:hAnsi="宋体"/>
          <w:b/>
          <w:color w:val="auto"/>
          <w:sz w:val="24"/>
          <w:highlight w:val="none"/>
        </w:rPr>
        <w:t>℃～＋3</w:t>
      </w:r>
      <w:r>
        <w:rPr>
          <w:rFonts w:ascii="宋体" w:hAnsi="宋体"/>
          <w:b/>
          <w:color w:val="auto"/>
          <w:sz w:val="24"/>
          <w:highlight w:val="none"/>
        </w:rPr>
        <w:t>0</w:t>
      </w:r>
      <w:r>
        <w:rPr>
          <w:rFonts w:hint="eastAsia" w:ascii="宋体" w:hAnsi="宋体"/>
          <w:b/>
          <w:color w:val="auto"/>
          <w:sz w:val="24"/>
          <w:highlight w:val="none"/>
        </w:rPr>
        <w:t>℃</w:t>
      </w:r>
      <w:r>
        <w:rPr>
          <w:rFonts w:hint="eastAsia" w:ascii="宋体" w:hAnsi="宋体"/>
          <w:color w:val="auto"/>
          <w:sz w:val="24"/>
          <w:highlight w:val="none"/>
        </w:rPr>
        <w:t>和相对湿度小于</w:t>
      </w:r>
      <w:r>
        <w:rPr>
          <w:rFonts w:ascii="宋体" w:hAnsi="宋体"/>
          <w:b/>
          <w:color w:val="auto"/>
          <w:sz w:val="24"/>
          <w:highlight w:val="none"/>
        </w:rPr>
        <w:t>8</w:t>
      </w:r>
      <w:r>
        <w:rPr>
          <w:rFonts w:hint="eastAsia" w:ascii="宋体" w:hAnsi="宋体"/>
          <w:b/>
          <w:color w:val="auto"/>
          <w:sz w:val="24"/>
          <w:highlight w:val="none"/>
        </w:rPr>
        <w:t>0％</w:t>
      </w:r>
      <w:r>
        <w:rPr>
          <w:rFonts w:hint="eastAsia" w:ascii="宋体" w:hAnsi="宋体"/>
          <w:color w:val="auto"/>
          <w:sz w:val="24"/>
          <w:highlight w:val="none"/>
        </w:rPr>
        <w:t>的环境条件下运行。</w:t>
      </w:r>
      <w:r>
        <w:rPr>
          <w:rFonts w:hint="eastAsia" w:ascii="宋体" w:hAnsi="宋体"/>
          <w:b/>
          <w:color w:val="auto"/>
          <w:sz w:val="24"/>
          <w:highlight w:val="none"/>
        </w:rPr>
        <w:t>能够连续正常工作。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3.3  配置符合中国有关标准要求的插头，如果没有这样的插头，则需</w:t>
      </w:r>
      <w:r>
        <w:rPr>
          <w:rFonts w:hint="eastAsia" w:ascii="宋体"/>
          <w:color w:val="auto"/>
          <w:sz w:val="24"/>
          <w:highlight w:val="none"/>
        </w:rPr>
        <w:t>提供适当的转</w:t>
      </w:r>
      <w:r>
        <w:rPr>
          <w:rFonts w:hint="eastAsia" w:ascii="宋体" w:hAnsi="宋体"/>
          <w:color w:val="auto"/>
          <w:sz w:val="24"/>
          <w:highlight w:val="none"/>
        </w:rPr>
        <w:t>换插座。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>
      <w:pPr>
        <w:rPr>
          <w:rFonts w:eastAsia="黑体"/>
          <w:b/>
          <w:bCs/>
          <w:color w:val="auto"/>
          <w:kern w:val="44"/>
          <w:sz w:val="24"/>
          <w:highlight w:val="none"/>
        </w:rPr>
      </w:pP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4、验收标准</w:t>
      </w:r>
    </w:p>
    <w:p>
      <w:pPr>
        <w:spacing w:after="312" w:afterLines="100" w:line="360" w:lineRule="auto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除非在技术规格中另有说明，所有仪器、设备和系统按下列要求进行验收：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4.1  仪器设备运抵安装现场后，买方将与卖方共同开箱验收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如卖方届时不派人来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则验收结果应以买方的验收报告为最终验收结果。验收时发现短缺、破损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买方有权要求卖方负责更换。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4.2  </w:t>
      </w:r>
      <w:r>
        <w:rPr>
          <w:rFonts w:hint="eastAsia"/>
          <w:color w:val="auto"/>
          <w:sz w:val="24"/>
          <w:highlight w:val="none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4.3  </w:t>
      </w:r>
      <w:r>
        <w:rPr>
          <w:rFonts w:ascii="宋体" w:hAnsi="宋体"/>
          <w:color w:val="auto"/>
          <w:sz w:val="24"/>
          <w:highlight w:val="none"/>
        </w:rPr>
        <w:t>验收由采购人、中标人及相关人员依国家有关标准、合同及有关附件要求进行，验收完毕由采购人及中标人在验收报告上签名。</w:t>
      </w:r>
    </w:p>
    <w:p>
      <w:pPr>
        <w:pStyle w:val="2"/>
        <w:spacing w:line="360" w:lineRule="auto"/>
        <w:ind w:left="410" w:hanging="410" w:hangingChars="170"/>
        <w:rPr>
          <w:rFonts w:hAnsi="宋体"/>
          <w:b/>
          <w:color w:val="auto"/>
          <w:sz w:val="24"/>
          <w:szCs w:val="24"/>
          <w:highlight w:val="none"/>
        </w:rPr>
      </w:pPr>
    </w:p>
    <w:p>
      <w:pPr>
        <w:pStyle w:val="2"/>
        <w:spacing w:line="360" w:lineRule="auto"/>
        <w:ind w:left="410" w:hanging="410" w:hangingChars="170"/>
        <w:rPr>
          <w:rFonts w:hAnsi="宋体"/>
          <w:b/>
          <w:color w:val="auto"/>
          <w:sz w:val="24"/>
          <w:szCs w:val="24"/>
          <w:highlight w:val="none"/>
        </w:rPr>
      </w:pPr>
      <w:r>
        <w:rPr>
          <w:rFonts w:hint="eastAsia" w:hAnsi="宋体"/>
          <w:b/>
          <w:color w:val="auto"/>
          <w:sz w:val="24"/>
          <w:szCs w:val="24"/>
          <w:highlight w:val="none"/>
        </w:rPr>
        <w:t>5、本技术规格书中标注“*”号的为实质性要求，不满足其投标将被拒绝。</w:t>
      </w:r>
    </w:p>
    <w:p>
      <w:pPr>
        <w:pStyle w:val="2"/>
        <w:spacing w:line="360" w:lineRule="auto"/>
        <w:rPr>
          <w:rFonts w:hAnsi="宋体"/>
          <w:b/>
          <w:color w:val="auto"/>
          <w:sz w:val="24"/>
          <w:szCs w:val="24"/>
          <w:highlight w:val="none"/>
        </w:rPr>
      </w:pPr>
    </w:p>
    <w:p>
      <w:pPr>
        <w:pStyle w:val="2"/>
        <w:spacing w:line="360" w:lineRule="auto"/>
        <w:rPr>
          <w:rFonts w:hAnsi="宋体"/>
          <w:b/>
          <w:color w:val="auto"/>
          <w:sz w:val="24"/>
          <w:szCs w:val="24"/>
          <w:highlight w:val="none"/>
        </w:rPr>
      </w:pPr>
      <w:r>
        <w:rPr>
          <w:rFonts w:hint="eastAsia" w:hAnsi="宋体"/>
          <w:b/>
          <w:color w:val="auto"/>
          <w:sz w:val="24"/>
          <w:szCs w:val="24"/>
          <w:highlight w:val="none"/>
        </w:rPr>
        <w:t>6、如在具体技术规格中有本总则不一致之处，以具体技术规格中的要求为准。</w:t>
      </w:r>
    </w:p>
    <w:p>
      <w:pPr>
        <w:spacing w:after="156" w:afterLines="50"/>
        <w:ind w:left="601" w:hanging="601"/>
        <w:rPr>
          <w:rFonts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三、具体技术规格</w:t>
      </w:r>
    </w:p>
    <w:p>
      <w:pPr>
        <w:rPr>
          <w:color w:val="auto"/>
          <w:sz w:val="24"/>
          <w:highlight w:val="none"/>
        </w:rPr>
      </w:pPr>
    </w:p>
    <w:p>
      <w:pPr>
        <w:spacing w:line="360" w:lineRule="auto"/>
        <w:jc w:val="center"/>
        <w:rPr>
          <w:b/>
          <w:color w:val="auto"/>
          <w:sz w:val="24"/>
          <w:highlight w:val="none"/>
        </w:rPr>
      </w:pPr>
      <w:r>
        <w:rPr>
          <w:b/>
          <w:color w:val="auto"/>
          <w:sz w:val="24"/>
          <w:highlight w:val="none"/>
        </w:rPr>
        <w:t xml:space="preserve">第1包 </w:t>
      </w:r>
      <w:r>
        <w:rPr>
          <w:rFonts w:hint="eastAsia"/>
          <w:b/>
          <w:color w:val="auto"/>
          <w:sz w:val="24"/>
          <w:highlight w:val="none"/>
        </w:rPr>
        <w:t>红外显微镜</w:t>
      </w:r>
    </w:p>
    <w:p>
      <w:pPr>
        <w:rPr>
          <w:b/>
          <w:color w:val="auto"/>
          <w:sz w:val="24"/>
          <w:highlight w:val="none"/>
        </w:rPr>
      </w:pPr>
    </w:p>
    <w:p>
      <w:pPr>
        <w:rPr>
          <w:b/>
          <w:color w:val="auto"/>
          <w:sz w:val="24"/>
          <w:highlight w:val="none"/>
        </w:rPr>
      </w:pPr>
    </w:p>
    <w:p>
      <w:pPr>
        <w:numPr>
          <w:ilvl w:val="0"/>
          <w:numId w:val="1"/>
        </w:numPr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技术要求：</w:t>
      </w:r>
    </w:p>
    <w:p>
      <w:pPr>
        <w:rPr>
          <w:b/>
          <w:color w:val="auto"/>
          <w:sz w:val="24"/>
          <w:highlight w:val="none"/>
        </w:rPr>
      </w:pPr>
    </w:p>
    <w:p>
      <w:pPr>
        <w:numPr>
          <w:ilvl w:val="0"/>
          <w:numId w:val="2"/>
        </w:numPr>
        <w:spacing w:line="360" w:lineRule="auto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工作条件：</w:t>
      </w:r>
    </w:p>
    <w:p>
      <w:pPr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</w:t>
      </w:r>
      <w:r>
        <w:rPr>
          <w:color w:val="auto"/>
          <w:sz w:val="24"/>
          <w:highlight w:val="none"/>
        </w:rPr>
        <w:t>.1</w:t>
      </w:r>
      <w:r>
        <w:rPr>
          <w:rFonts w:hint="eastAsia"/>
          <w:color w:val="auto"/>
          <w:sz w:val="24"/>
          <w:highlight w:val="none"/>
        </w:rPr>
        <w:t xml:space="preserve"> 见总则第3条。</w:t>
      </w:r>
    </w:p>
    <w:p>
      <w:pPr>
        <w:spacing w:line="360" w:lineRule="auto"/>
        <w:ind w:left="435" w:firstLine="240"/>
        <w:rPr>
          <w:color w:val="auto"/>
          <w:sz w:val="24"/>
          <w:highlight w:val="none"/>
        </w:rPr>
      </w:pPr>
    </w:p>
    <w:p>
      <w:pPr>
        <w:numPr>
          <w:ilvl w:val="0"/>
          <w:numId w:val="2"/>
        </w:numPr>
        <w:spacing w:line="360" w:lineRule="auto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设备用途：</w:t>
      </w:r>
    </w:p>
    <w:p>
      <w:pPr>
        <w:pStyle w:val="3"/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</w:rPr>
        <w:tab/>
      </w:r>
      <w:r>
        <w:rPr>
          <w:rFonts w:hint="eastAsia"/>
          <w:color w:val="auto"/>
          <w:sz w:val="24"/>
          <w:szCs w:val="24"/>
          <w:highlight w:val="none"/>
        </w:rPr>
        <w:t>红外显微镜用于矿石样品中的半透明-透明矿物中流体包裹体的丰度、分布和测温等研究工作，主要用于不透明矿物（黄铁矿、闪锌矿、黑钨矿、辉锑矿、辉钼矿等）和半透明矿物（锡石、锆石、闪锌矿、磷灰石、石榴子石等）包裹体的观察和测试研究，可以进行半透明、不透明矿物包裹体的测温工作。</w:t>
      </w:r>
    </w:p>
    <w:p>
      <w:pPr>
        <w:spacing w:line="360" w:lineRule="auto"/>
        <w:rPr>
          <w:color w:val="auto"/>
          <w:sz w:val="24"/>
          <w:highlight w:val="none"/>
        </w:rPr>
      </w:pPr>
    </w:p>
    <w:p>
      <w:pPr>
        <w:numPr>
          <w:ilvl w:val="0"/>
          <w:numId w:val="2"/>
        </w:numPr>
        <w:spacing w:line="360" w:lineRule="auto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技术规格：</w:t>
      </w:r>
    </w:p>
    <w:p>
      <w:pPr>
        <w:spacing w:line="360" w:lineRule="auto"/>
        <w:ind w:firstLine="240" w:firstLineChars="1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3.1红外显微测量系统</w:t>
      </w:r>
    </w:p>
    <w:p>
      <w:pPr>
        <w:spacing w:line="360" w:lineRule="auto"/>
        <w:ind w:firstLine="240" w:firstLineChars="10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#</w:t>
      </w:r>
      <w:r>
        <w:rPr>
          <w:rFonts w:hint="eastAsia"/>
          <w:color w:val="auto"/>
          <w:sz w:val="24"/>
          <w:highlight w:val="none"/>
        </w:rPr>
        <w:t>(1)</w:t>
      </w:r>
      <w:r>
        <w:rPr>
          <w:rFonts w:hint="eastAsia"/>
          <w:color w:val="auto"/>
          <w:sz w:val="24"/>
          <w:highlight w:val="none"/>
        </w:rPr>
        <w:tab/>
      </w:r>
      <w:r>
        <w:rPr>
          <w:rFonts w:hint="eastAsia"/>
          <w:color w:val="auto"/>
          <w:sz w:val="24"/>
          <w:highlight w:val="none"/>
        </w:rPr>
        <w:t>模块化设计：研究级透反射偏光显微镜。</w:t>
      </w:r>
    </w:p>
    <w:p>
      <w:pPr>
        <w:spacing w:line="360" w:lineRule="auto"/>
        <w:ind w:firstLine="240" w:firstLineChars="1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(2)</w:t>
      </w:r>
      <w:r>
        <w:rPr>
          <w:rFonts w:hint="eastAsia"/>
          <w:color w:val="auto"/>
          <w:sz w:val="24"/>
          <w:highlight w:val="none"/>
        </w:rPr>
        <w:tab/>
      </w:r>
      <w:r>
        <w:rPr>
          <w:rFonts w:hint="eastAsia"/>
          <w:color w:val="auto"/>
          <w:sz w:val="24"/>
          <w:highlight w:val="none"/>
        </w:rPr>
        <w:t>光源：近红外光。</w:t>
      </w:r>
    </w:p>
    <w:p>
      <w:pPr>
        <w:spacing w:line="360" w:lineRule="auto"/>
        <w:ind w:firstLine="240" w:firstLineChars="1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(3)</w:t>
      </w:r>
      <w:r>
        <w:rPr>
          <w:rFonts w:hint="eastAsia"/>
          <w:color w:val="auto"/>
          <w:sz w:val="24"/>
          <w:highlight w:val="none"/>
        </w:rPr>
        <w:tab/>
      </w:r>
      <w:r>
        <w:rPr>
          <w:rFonts w:hint="eastAsia"/>
          <w:color w:val="auto"/>
          <w:sz w:val="24"/>
          <w:highlight w:val="none"/>
        </w:rPr>
        <w:t>三目镜筒。</w:t>
      </w:r>
    </w:p>
    <w:p>
      <w:pPr>
        <w:spacing w:line="360" w:lineRule="auto"/>
        <w:ind w:firstLine="240" w:firstLineChars="1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(4)</w:t>
      </w:r>
      <w:r>
        <w:rPr>
          <w:rFonts w:hint="eastAsia"/>
          <w:color w:val="auto"/>
          <w:sz w:val="24"/>
          <w:highlight w:val="none"/>
        </w:rPr>
        <w:tab/>
      </w:r>
      <w:r>
        <w:rPr>
          <w:rFonts w:hint="eastAsia"/>
          <w:color w:val="auto"/>
          <w:sz w:val="24"/>
          <w:highlight w:val="none"/>
        </w:rPr>
        <w:t>观察方式：具有反射光明场、偏光、透射光明暗场、偏光、锥光观察。</w:t>
      </w:r>
    </w:p>
    <w:p>
      <w:pPr>
        <w:spacing w:line="360" w:lineRule="auto"/>
        <w:ind w:firstLine="240" w:firstLineChars="10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#</w:t>
      </w:r>
      <w:r>
        <w:rPr>
          <w:rFonts w:hint="eastAsia"/>
          <w:color w:val="auto"/>
          <w:sz w:val="24"/>
          <w:highlight w:val="none"/>
        </w:rPr>
        <w:t>(5)</w:t>
      </w:r>
      <w:r>
        <w:rPr>
          <w:rFonts w:hint="eastAsia"/>
          <w:color w:val="auto"/>
          <w:sz w:val="24"/>
          <w:highlight w:val="none"/>
        </w:rPr>
        <w:tab/>
      </w:r>
      <w:r>
        <w:rPr>
          <w:rFonts w:hint="eastAsia"/>
          <w:color w:val="auto"/>
          <w:sz w:val="24"/>
          <w:highlight w:val="none"/>
        </w:rPr>
        <w:t>可旋转的360 度红外分析器。</w:t>
      </w:r>
    </w:p>
    <w:p>
      <w:pPr>
        <w:spacing w:line="360" w:lineRule="auto"/>
        <w:ind w:firstLine="240" w:firstLineChars="1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(6)</w:t>
      </w:r>
      <w:r>
        <w:rPr>
          <w:rFonts w:hint="eastAsia"/>
          <w:color w:val="auto"/>
          <w:sz w:val="24"/>
          <w:highlight w:val="none"/>
        </w:rPr>
        <w:tab/>
      </w:r>
      <w:r>
        <w:rPr>
          <w:rFonts w:hint="eastAsia"/>
          <w:color w:val="auto"/>
          <w:sz w:val="24"/>
          <w:highlight w:val="none"/>
        </w:rPr>
        <w:t>变倍器：1x,1.25x,1.6x,2.0x。</w:t>
      </w:r>
    </w:p>
    <w:p>
      <w:pPr>
        <w:spacing w:line="360" w:lineRule="auto"/>
        <w:ind w:firstLine="240" w:firstLineChars="1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(7)</w:t>
      </w:r>
      <w:r>
        <w:rPr>
          <w:rFonts w:hint="eastAsia"/>
          <w:color w:val="auto"/>
          <w:sz w:val="24"/>
          <w:highlight w:val="none"/>
        </w:rPr>
        <w:tab/>
      </w:r>
      <w:r>
        <w:rPr>
          <w:rFonts w:hint="eastAsia"/>
          <w:color w:val="auto"/>
          <w:sz w:val="24"/>
          <w:highlight w:val="none"/>
        </w:rPr>
        <w:t>红外照相机波长：400nm-1100nm。</w:t>
      </w:r>
    </w:p>
    <w:p>
      <w:pPr>
        <w:spacing w:line="360" w:lineRule="auto"/>
        <w:ind w:firstLine="240" w:firstLineChars="1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3.2流体包裹体测量系统</w:t>
      </w:r>
    </w:p>
    <w:p>
      <w:pPr>
        <w:spacing w:line="360" w:lineRule="auto"/>
        <w:ind w:firstLine="240" w:firstLineChars="1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(1)</w:t>
      </w:r>
      <w:r>
        <w:rPr>
          <w:rFonts w:hint="eastAsia"/>
          <w:color w:val="auto"/>
          <w:sz w:val="24"/>
          <w:highlight w:val="none"/>
        </w:rPr>
        <w:tab/>
      </w:r>
      <w:r>
        <w:rPr>
          <w:rFonts w:hint="eastAsia"/>
          <w:color w:val="auto"/>
          <w:sz w:val="24"/>
          <w:highlight w:val="none"/>
        </w:rPr>
        <w:t>100 倍物镜的冷却套。</w:t>
      </w:r>
    </w:p>
    <w:p>
      <w:pPr>
        <w:spacing w:line="360" w:lineRule="auto"/>
        <w:ind w:firstLine="240" w:firstLineChars="10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#</w:t>
      </w:r>
      <w:r>
        <w:rPr>
          <w:rFonts w:hint="eastAsia"/>
          <w:color w:val="auto"/>
          <w:sz w:val="24"/>
          <w:highlight w:val="none"/>
        </w:rPr>
        <w:t>(2)</w:t>
      </w:r>
      <w:r>
        <w:rPr>
          <w:rFonts w:hint="eastAsia"/>
          <w:color w:val="auto"/>
          <w:sz w:val="24"/>
          <w:highlight w:val="none"/>
        </w:rPr>
        <w:tab/>
      </w:r>
      <w:r>
        <w:rPr>
          <w:rFonts w:hint="eastAsia"/>
          <w:color w:val="auto"/>
          <w:sz w:val="24"/>
          <w:highlight w:val="none"/>
        </w:rPr>
        <w:t>红外热量过滤片。</w:t>
      </w:r>
    </w:p>
    <w:p>
      <w:pPr>
        <w:spacing w:line="360" w:lineRule="auto"/>
        <w:ind w:firstLine="240" w:firstLineChars="1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(3)</w:t>
      </w:r>
      <w:r>
        <w:rPr>
          <w:rFonts w:hint="eastAsia"/>
          <w:color w:val="auto"/>
          <w:sz w:val="24"/>
          <w:highlight w:val="none"/>
        </w:rPr>
        <w:tab/>
      </w:r>
      <w:r>
        <w:rPr>
          <w:rFonts w:hint="eastAsia"/>
          <w:color w:val="auto"/>
          <w:sz w:val="24"/>
          <w:highlight w:val="none"/>
        </w:rPr>
        <w:t>计算机系统不低于英特尔E6300处理器，8GB DDR2内存，1TB硬盘，16X DVD可刻录光驱，集成显卡，19 寸液晶显示器，Microsoft Windows 7 professional 简体中文版操作系统，通用一体化机箱锁扣</w:t>
      </w:r>
    </w:p>
    <w:p>
      <w:pPr>
        <w:spacing w:line="360" w:lineRule="auto"/>
        <w:ind w:firstLine="240" w:firstLineChars="1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(4)</w:t>
      </w:r>
      <w:r>
        <w:rPr>
          <w:rFonts w:hint="eastAsia"/>
          <w:color w:val="auto"/>
          <w:sz w:val="24"/>
          <w:highlight w:val="none"/>
        </w:rPr>
        <w:tab/>
      </w:r>
      <w:r>
        <w:rPr>
          <w:rFonts w:hint="eastAsia"/>
          <w:color w:val="auto"/>
          <w:sz w:val="24"/>
          <w:highlight w:val="none"/>
        </w:rPr>
        <w:t>计算机接口板兼容红外摄像机；温度控制系统软件；流体包裹体数据模型软件。</w:t>
      </w:r>
    </w:p>
    <w:p>
      <w:pPr>
        <w:spacing w:line="360" w:lineRule="auto"/>
        <w:ind w:firstLine="240" w:firstLineChars="100"/>
        <w:rPr>
          <w:color w:val="auto"/>
          <w:sz w:val="24"/>
          <w:highlight w:val="none"/>
        </w:rPr>
      </w:pPr>
    </w:p>
    <w:p>
      <w:pPr>
        <w:numPr>
          <w:ilvl w:val="0"/>
          <w:numId w:val="2"/>
        </w:numPr>
        <w:spacing w:line="360" w:lineRule="auto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产品配置要求</w:t>
      </w:r>
    </w:p>
    <w:p>
      <w:pPr>
        <w:numPr>
          <w:ilvl w:val="1"/>
          <w:numId w:val="3"/>
        </w:numPr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产品主体部分说明</w:t>
      </w:r>
    </w:p>
    <w:p>
      <w:pPr>
        <w:spacing w:line="360" w:lineRule="auto"/>
        <w:ind w:firstLine="240" w:firstLineChars="1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红外显微测量系统1套</w:t>
      </w:r>
      <w:r>
        <w:rPr>
          <w:color w:val="auto"/>
          <w:sz w:val="24"/>
          <w:highlight w:val="none"/>
        </w:rPr>
        <w:t>；</w:t>
      </w:r>
    </w:p>
    <w:p>
      <w:pPr>
        <w:spacing w:line="360" w:lineRule="auto"/>
        <w:ind w:firstLine="240" w:firstLineChars="1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流体包裹体测量系统1套。</w:t>
      </w:r>
    </w:p>
    <w:p>
      <w:pPr>
        <w:tabs>
          <w:tab w:val="left" w:pos="540"/>
        </w:tabs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  </w:t>
      </w:r>
    </w:p>
    <w:p>
      <w:pPr>
        <w:tabs>
          <w:tab w:val="left" w:pos="540"/>
        </w:tabs>
        <w:spacing w:line="360" w:lineRule="auto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5.  技术文件：</w:t>
      </w:r>
    </w:p>
    <w:p>
      <w:pPr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5.1 请参考总则第1.2条。</w:t>
      </w:r>
    </w:p>
    <w:p>
      <w:pPr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5.2 请参考总则第2.3条。</w:t>
      </w:r>
    </w:p>
    <w:p>
      <w:pPr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5.3</w:t>
      </w:r>
      <w:r>
        <w:rPr>
          <w:color w:val="auto"/>
          <w:sz w:val="24"/>
          <w:highlight w:val="none"/>
        </w:rPr>
        <w:t xml:space="preserve"> </w:t>
      </w:r>
      <w:r>
        <w:rPr>
          <w:rFonts w:hint="eastAsia"/>
          <w:color w:val="auto"/>
          <w:sz w:val="24"/>
          <w:highlight w:val="none"/>
        </w:rPr>
        <w:t>提供产品说明书及用户手册</w:t>
      </w:r>
    </w:p>
    <w:p>
      <w:pPr>
        <w:spacing w:line="360" w:lineRule="auto"/>
        <w:rPr>
          <w:color w:val="auto"/>
          <w:sz w:val="24"/>
          <w:highlight w:val="none"/>
        </w:rPr>
      </w:pPr>
    </w:p>
    <w:p>
      <w:pPr>
        <w:spacing w:line="360" w:lineRule="auto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（二）质保及售后服务：</w:t>
      </w:r>
    </w:p>
    <w:p>
      <w:pPr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1.1 设备安装调试（请参考总则第2.4条）</w:t>
      </w:r>
    </w:p>
    <w:p>
      <w:pPr>
        <w:pStyle w:val="3"/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1.2  技术培训：提供不少于48小时的实际操作培训</w:t>
      </w:r>
    </w:p>
    <w:p>
      <w:pPr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1.3 保修期：</w:t>
      </w:r>
      <w:r>
        <w:rPr>
          <w:color w:val="auto"/>
          <w:sz w:val="24"/>
          <w:highlight w:val="none"/>
        </w:rPr>
        <w:t>自验收合格之日起12个月</w:t>
      </w:r>
    </w:p>
    <w:p>
      <w:pPr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1.4 维修响应时间：</w:t>
      </w:r>
      <w:r>
        <w:rPr>
          <w:color w:val="auto"/>
          <w:sz w:val="24"/>
          <w:highlight w:val="none"/>
        </w:rPr>
        <w:t>所有硬件提供一年免费保修服务、所有软件提供一年免费保修升级服务（提供承诺函）。在质保期内，供应商提供每季度不少于1次的巡检和维护保养。当采购人有重要活动时，投标人应当免费提供现场技术保障服务（提供承诺函）。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1.5 要求卖方提供的其它技术服务内容：</w:t>
      </w:r>
      <w:r>
        <w:rPr>
          <w:rFonts w:hint="eastAsia"/>
          <w:bCs/>
          <w:color w:val="auto"/>
          <w:sz w:val="24"/>
          <w:highlight w:val="none"/>
        </w:rPr>
        <w:t>提供配套系统更细服务</w:t>
      </w:r>
    </w:p>
    <w:p>
      <w:pPr>
        <w:spacing w:line="360" w:lineRule="auto"/>
        <w:rPr>
          <w:b/>
          <w:color w:val="auto"/>
          <w:sz w:val="24"/>
          <w:highlight w:val="none"/>
        </w:rPr>
      </w:pPr>
    </w:p>
    <w:p>
      <w:pPr>
        <w:spacing w:line="360" w:lineRule="auto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（三） 订货数量：</w:t>
      </w:r>
    </w:p>
    <w:p>
      <w:pPr>
        <w:spacing w:line="360" w:lineRule="auto"/>
        <w:ind w:firstLine="240" w:firstLineChars="1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一台</w:t>
      </w:r>
    </w:p>
    <w:p>
      <w:pPr>
        <w:spacing w:line="360" w:lineRule="auto"/>
        <w:rPr>
          <w:color w:val="auto"/>
          <w:sz w:val="24"/>
          <w:highlight w:val="none"/>
        </w:rPr>
      </w:pPr>
    </w:p>
    <w:p>
      <w:pPr>
        <w:spacing w:line="360" w:lineRule="auto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（四） 交货地点：</w:t>
      </w:r>
    </w:p>
    <w:p>
      <w:pPr>
        <w:spacing w:line="360" w:lineRule="auto"/>
        <w:ind w:firstLine="24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于新疆维吾尔自治区乌鲁木齐市新市区北京南路818号（中国科学院新疆生态与地理研究所）交付产品</w:t>
      </w:r>
    </w:p>
    <w:p>
      <w:pPr>
        <w:spacing w:line="360" w:lineRule="auto"/>
        <w:rPr>
          <w:color w:val="auto"/>
          <w:sz w:val="24"/>
          <w:highlight w:val="none"/>
        </w:rPr>
      </w:pPr>
    </w:p>
    <w:p>
      <w:pPr>
        <w:spacing w:line="360" w:lineRule="auto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（五）交货日期：</w:t>
      </w:r>
    </w:p>
    <w:p>
      <w:pPr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  合同签订后</w:t>
      </w:r>
      <w:r>
        <w:rPr>
          <w:color w:val="auto"/>
          <w:sz w:val="24"/>
          <w:highlight w:val="none"/>
        </w:rPr>
        <w:t>6个月内送货到采购人指定地点</w:t>
      </w:r>
      <w:r>
        <w:rPr>
          <w:rFonts w:hint="eastAsia"/>
          <w:color w:val="auto"/>
          <w:sz w:val="24"/>
          <w:highlight w:val="none"/>
        </w:rPr>
        <w:t xml:space="preserve">。                                           </w:t>
      </w:r>
    </w:p>
    <w:p>
      <w:pPr>
        <w:spacing w:line="360" w:lineRule="auto"/>
        <w:rPr>
          <w:color w:val="auto"/>
          <w:sz w:val="24"/>
          <w:highlight w:val="none"/>
        </w:rPr>
      </w:pPr>
    </w:p>
    <w:p>
      <w:pPr>
        <w:spacing w:line="360" w:lineRule="auto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（六）执行的相关标准</w:t>
      </w:r>
    </w:p>
    <w:p>
      <w:pPr>
        <w:widowControl/>
        <w:spacing w:line="360" w:lineRule="atLeast"/>
        <w:rPr>
          <w:rFonts w:ascii="inherit" w:hAnsi="inherit" w:cs="宋体"/>
          <w:color w:val="auto"/>
          <w:kern w:val="0"/>
          <w:sz w:val="24"/>
          <w:highlight w:val="none"/>
        </w:rPr>
      </w:pPr>
      <w:r>
        <w:rPr>
          <w:rFonts w:hint="eastAsia" w:ascii="inherit" w:hAnsi="inherit" w:cs="宋体"/>
          <w:color w:val="auto"/>
          <w:kern w:val="0"/>
          <w:sz w:val="24"/>
          <w:highlight w:val="none"/>
        </w:rPr>
        <w:t xml:space="preserve">   例如：产品应满足相关国家标准及行业标准。或具体列举出执行的国家相关标准、行业标准、地方标准或者其他标准、规范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D224951"/>
    <w:multiLevelType w:val="singleLevel"/>
    <w:tmpl w:val="4D224951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57576840"/>
    <w:multiLevelType w:val="multilevel"/>
    <w:tmpl w:val="57576840"/>
    <w:lvl w:ilvl="0" w:tentative="0">
      <w:start w:val="4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080"/>
        </w:tabs>
        <w:ind w:left="1080" w:hanging="1080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800"/>
        </w:tabs>
        <w:ind w:left="1800" w:hanging="1800"/>
      </w:pPr>
      <w:rPr>
        <w:rFonts w:hint="eastAsia"/>
      </w:rPr>
    </w:lvl>
  </w:abstractNum>
  <w:abstractNum w:abstractNumId="2">
    <w:nsid w:val="5DAE13B5"/>
    <w:multiLevelType w:val="multilevel"/>
    <w:tmpl w:val="5DAE13B5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RlMGE1OWE1ODZiYjU1OTU4OTk5MWRhYWMyNjk1MTAifQ=="/>
  </w:docVars>
  <w:rsids>
    <w:rsidRoot w:val="7FFB6705"/>
    <w:rsid w:val="78653586"/>
    <w:rsid w:val="7FFB6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  <w:szCs w:val="20"/>
    </w:rPr>
  </w:style>
  <w:style w:type="paragraph" w:styleId="3">
    <w:name w:val="Date"/>
    <w:basedOn w:val="1"/>
    <w:next w:val="1"/>
    <w:qFormat/>
    <w:uiPriority w:val="0"/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2023-08-25T05:30:00Z</dcterms:created>
  <dc:creator>godjiao</dc:creator>
  <cp:lastModifiedBy>Administrator</cp:lastModifiedBy>
  <dcterms:modified xsi:type="dcterms:W3CDTF">2023-08-28T06:38:24Z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D797FB385FDF4974B1177DFDE1E643B5_13</vt:lpwstr>
  </property>
</Properties>
</file>