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120" w:after="120" w:line="360" w:lineRule="auto"/>
        <w:jc w:val="center"/>
        <w:rPr>
          <w:rFonts w:ascii="宋体" w:hAnsi="宋体"/>
          <w:kern w:val="2"/>
          <w:sz w:val="32"/>
        </w:rPr>
      </w:pPr>
      <w:bookmarkStart w:id="1" w:name="_GoBack"/>
      <w:bookmarkEnd w:id="1"/>
      <w:r>
        <w:rPr>
          <w:rFonts w:hint="eastAsia" w:ascii="宋体" w:hAnsi="宋体"/>
          <w:kern w:val="2"/>
          <w:sz w:val="32"/>
        </w:rPr>
        <w:t>采购内容及项目要求</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2" w:firstLineChars="200"/>
        <w:textAlignment w:val="auto"/>
        <w:rPr>
          <w:rFonts w:ascii="宋体" w:hAnsi="宋体"/>
          <w:b/>
          <w:bCs w:val="0"/>
          <w:kern w:val="2"/>
          <w:szCs w:val="24"/>
        </w:rPr>
      </w:pPr>
      <w:bookmarkStart w:id="0" w:name="_Toc88807247"/>
      <w:r>
        <w:rPr>
          <w:rFonts w:hint="eastAsia" w:ascii="宋体" w:hAnsi="宋体"/>
          <w:b/>
          <w:bCs w:val="0"/>
          <w:kern w:val="2"/>
          <w:szCs w:val="24"/>
        </w:rPr>
        <w:t>1.交货期及交货地点</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1.1签订合同后按采购人要求供货，技术要求中有明确要求的执行技术要求中的交货期，投标人可根据自身情况自报最快交货时间。</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1.2采购人指定地点。</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2" w:firstLineChars="200"/>
        <w:textAlignment w:val="auto"/>
        <w:rPr>
          <w:rFonts w:ascii="宋体" w:hAnsi="宋体"/>
          <w:b/>
          <w:bCs w:val="0"/>
          <w:kern w:val="2"/>
          <w:szCs w:val="24"/>
        </w:rPr>
      </w:pPr>
      <w:r>
        <w:rPr>
          <w:rFonts w:hint="eastAsia" w:ascii="宋体" w:hAnsi="宋体"/>
          <w:b/>
          <w:bCs w:val="0"/>
          <w:kern w:val="2"/>
          <w:szCs w:val="24"/>
        </w:rPr>
        <w:t>2.质量保证期</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2.1质量保证期：国产设备自验收合格之日起3年，进口设备自验收合格之日起1年，技术要求中有明确要求的执行技术要求中的质保期。国家主管部门或者行业标准对货物本身有更高要求的，从其规定并在合同中约定，投标人亦可提报更长的质保期。</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2.2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2" w:firstLineChars="200"/>
        <w:textAlignment w:val="auto"/>
        <w:rPr>
          <w:rFonts w:ascii="宋体" w:hAnsi="宋体"/>
          <w:b/>
          <w:bCs w:val="0"/>
          <w:kern w:val="2"/>
          <w:szCs w:val="24"/>
        </w:rPr>
      </w:pPr>
      <w:r>
        <w:rPr>
          <w:rFonts w:hint="eastAsia" w:ascii="宋体" w:hAnsi="宋体"/>
          <w:b/>
          <w:bCs w:val="0"/>
          <w:kern w:val="2"/>
          <w:szCs w:val="24"/>
        </w:rPr>
        <w:t>3.付款方式</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内贸货物：货物验收合格后，合同金额在十万人民币及以上，乙方需按照合同额5%付给甲方质保金，甲方100%支付给乙方设备款。质保期满后无质量问题及其他争议，经乙方申请，甲方</w:t>
      </w:r>
      <w:r>
        <w:rPr>
          <w:rFonts w:hint="eastAsia" w:ascii="宋体" w:hAnsi="宋体"/>
          <w:bCs/>
          <w:kern w:val="2"/>
          <w:szCs w:val="24"/>
          <w:lang w:eastAsia="zh-Hans"/>
        </w:rPr>
        <w:t>在扣除相关费用后</w:t>
      </w:r>
      <w:r>
        <w:rPr>
          <w:rFonts w:hint="eastAsia" w:ascii="宋体" w:hAnsi="宋体"/>
          <w:bCs/>
          <w:kern w:val="2"/>
          <w:szCs w:val="24"/>
        </w:rPr>
        <w:t>将质保金</w:t>
      </w:r>
      <w:r>
        <w:rPr>
          <w:rFonts w:hint="eastAsia" w:ascii="宋体" w:hAnsi="宋体"/>
          <w:bCs/>
          <w:kern w:val="2"/>
          <w:szCs w:val="24"/>
          <w:lang w:eastAsia="zh-Hans"/>
        </w:rPr>
        <w:t>无息</w:t>
      </w:r>
      <w:r>
        <w:rPr>
          <w:rFonts w:hint="eastAsia" w:ascii="宋体" w:hAnsi="宋体"/>
          <w:bCs/>
          <w:kern w:val="2"/>
          <w:szCs w:val="24"/>
        </w:rPr>
        <w:t>返还乙方。合同金额在十万人民币以下的，甲方100%支付给乙方设备款。乙方于甲方付款之前须向甲方开具增值税专用发票/增值税普通发票，如为增值税专用发票需向甲方提供抵扣联。</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外贸货物：货物办理完免税手续后支付合同的80%，验收合格后</w:t>
      </w:r>
      <w:r>
        <w:rPr>
          <w:rFonts w:hint="eastAsia" w:ascii="宋体" w:hAnsi="宋体"/>
          <w:bCs/>
          <w:kern w:val="2"/>
          <w:szCs w:val="24"/>
          <w:lang w:eastAsia="zh-Hans"/>
        </w:rPr>
        <w:t>支付</w:t>
      </w:r>
      <w:r>
        <w:rPr>
          <w:rFonts w:hint="eastAsia" w:ascii="宋体" w:hAnsi="宋体"/>
          <w:bCs/>
          <w:kern w:val="2"/>
          <w:szCs w:val="24"/>
        </w:rPr>
        <w:t>20%。</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2" w:firstLineChars="200"/>
        <w:textAlignment w:val="auto"/>
        <w:rPr>
          <w:rFonts w:ascii="宋体" w:hAnsi="宋体"/>
          <w:b/>
          <w:bCs w:val="0"/>
          <w:kern w:val="2"/>
          <w:szCs w:val="24"/>
        </w:rPr>
      </w:pPr>
      <w:r>
        <w:rPr>
          <w:rFonts w:hint="eastAsia" w:ascii="宋体" w:hAnsi="宋体"/>
          <w:b/>
          <w:bCs w:val="0"/>
          <w:kern w:val="2"/>
          <w:szCs w:val="24"/>
        </w:rPr>
        <w:t>4.安装调试验收</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4.1中标人须保证所提供的产品能满足主管部门的验收要求，并保证通过验收。</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4.2采购人将对货物数量、质量、规格等进行检验。如发现货物和规格或者两者都与招标文件、投标文件、合同不符，采购人有权限根据检验结果要求中标人立即更换或者提出索赔要求。</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2" w:firstLineChars="200"/>
        <w:textAlignment w:val="auto"/>
        <w:rPr>
          <w:rFonts w:ascii="宋体" w:hAnsi="宋体"/>
          <w:b/>
          <w:bCs w:val="0"/>
          <w:kern w:val="2"/>
          <w:szCs w:val="24"/>
        </w:rPr>
      </w:pPr>
      <w:r>
        <w:rPr>
          <w:rFonts w:hint="eastAsia" w:ascii="宋体" w:hAnsi="宋体"/>
          <w:b/>
          <w:bCs w:val="0"/>
          <w:kern w:val="2"/>
          <w:szCs w:val="24"/>
        </w:rPr>
        <w:t>5.售后服务培训</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5.1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5.2质保期内中标人应提供及时周到的售后服务，在接到采购人通知2小时内做出响应并到达现场，24小时内维修完毕，不能在规定时间内修好的要免费提供备品（机）备件。</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5.3中标人免费为采购人提供中文操作手册并培训操作人员，其中包括讲解产品的结构以及原理、产品的使用以及维护保养，直至操作人员能够独立的操作使用。</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5.4质保期内，中标人应按照采购人要求无偿协助采购人开展设备调试，直至可实现设备的正常使用。</w:t>
      </w:r>
    </w:p>
    <w:p>
      <w:pPr>
        <w:spacing w:line="360" w:lineRule="auto"/>
        <w:rPr>
          <w:rFonts w:ascii="宋体" w:hAnsi="宋体" w:cs="宋体"/>
          <w:b/>
          <w:bCs/>
        </w:rPr>
      </w:pPr>
      <w:r>
        <w:rPr>
          <w:rFonts w:hint="eastAsia" w:ascii="宋体" w:hAnsi="宋体" w:cs="宋体"/>
          <w:b/>
          <w:bCs/>
        </w:rPr>
        <w:br w:type="page"/>
      </w:r>
    </w:p>
    <w:p>
      <w:pPr>
        <w:pStyle w:val="4"/>
        <w:numPr>
          <w:ilvl w:val="0"/>
          <w:numId w:val="1"/>
        </w:numPr>
        <w:spacing w:after="0" w:line="360" w:lineRule="auto"/>
        <w:ind w:firstLine="566" w:firstLineChars="235"/>
        <w:rPr>
          <w:rFonts w:ascii="宋体" w:hAnsi="宋体" w:cs="宋体"/>
          <w:b/>
          <w:bCs/>
        </w:rPr>
      </w:pPr>
      <w:r>
        <w:rPr>
          <w:rFonts w:hint="eastAsia" w:ascii="宋体" w:hAnsi="宋体" w:cs="宋体"/>
          <w:b/>
          <w:bCs/>
        </w:rPr>
        <w:t>采购内容</w:t>
      </w:r>
    </w:p>
    <w:bookmarkEnd w:id="0"/>
    <w:p>
      <w:pPr>
        <w:pStyle w:val="2"/>
        <w:spacing w:before="0" w:after="0" w:line="360" w:lineRule="auto"/>
        <w:ind w:firstLine="482" w:firstLineChars="200"/>
        <w:jc w:val="center"/>
        <w:rPr>
          <w:rFonts w:ascii="宋体" w:hAnsi="宋体"/>
          <w:caps w:val="0"/>
          <w:kern w:val="0"/>
          <w:sz w:val="24"/>
        </w:rPr>
      </w:pPr>
      <w:r>
        <w:rPr>
          <w:rFonts w:hint="eastAsia" w:ascii="宋体" w:hAnsi="宋体"/>
          <w:caps w:val="0"/>
          <w:kern w:val="0"/>
          <w:sz w:val="24"/>
        </w:rPr>
        <w:t>第一包：</w:t>
      </w:r>
    </w:p>
    <w:tbl>
      <w:tblPr>
        <w:tblStyle w:val="5"/>
        <w:tblW w:w="9258" w:type="dxa"/>
        <w:tblInd w:w="91" w:type="dxa"/>
        <w:tblLayout w:type="fixed"/>
        <w:tblCellMar>
          <w:top w:w="0" w:type="dxa"/>
          <w:left w:w="108" w:type="dxa"/>
          <w:bottom w:w="0" w:type="dxa"/>
          <w:right w:w="108" w:type="dxa"/>
        </w:tblCellMar>
      </w:tblPr>
      <w:tblGrid>
        <w:gridCol w:w="971"/>
        <w:gridCol w:w="1651"/>
        <w:gridCol w:w="5652"/>
        <w:gridCol w:w="984"/>
      </w:tblGrid>
      <w:tr>
        <w:tblPrEx>
          <w:tblCellMar>
            <w:top w:w="0" w:type="dxa"/>
            <w:left w:w="108" w:type="dxa"/>
            <w:bottom w:w="0" w:type="dxa"/>
            <w:right w:w="108" w:type="dxa"/>
          </w:tblCellMar>
        </w:tblPrEx>
        <w:trPr>
          <w:trHeight w:val="418" w:hRule="atLeast"/>
        </w:trPr>
        <w:tc>
          <w:tcPr>
            <w:tcW w:w="971"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Style w:val="7"/>
                <w:rFonts w:hint="default"/>
                <w:b w:val="0"/>
                <w:bCs w:val="0"/>
                <w:color w:val="auto"/>
                <w:sz w:val="24"/>
                <w:szCs w:val="24"/>
              </w:rPr>
            </w:pPr>
            <w:r>
              <w:rPr>
                <w:rStyle w:val="7"/>
                <w:rFonts w:hint="default"/>
                <w:b w:val="0"/>
                <w:bCs w:val="0"/>
                <w:color w:val="auto"/>
                <w:sz w:val="24"/>
                <w:szCs w:val="24"/>
              </w:rPr>
              <w:t>序号</w:t>
            </w:r>
          </w:p>
        </w:tc>
        <w:tc>
          <w:tcPr>
            <w:tcW w:w="1651"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Style w:val="7"/>
                <w:rFonts w:hint="default"/>
                <w:b w:val="0"/>
                <w:bCs w:val="0"/>
                <w:color w:val="auto"/>
                <w:sz w:val="24"/>
                <w:szCs w:val="24"/>
              </w:rPr>
              <w:t>设备名称</w:t>
            </w:r>
          </w:p>
        </w:tc>
        <w:tc>
          <w:tcPr>
            <w:tcW w:w="5652"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技术需求</w:t>
            </w:r>
          </w:p>
        </w:tc>
        <w:tc>
          <w:tcPr>
            <w:tcW w:w="984"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kern w:val="0"/>
                <w:sz w:val="24"/>
              </w:rPr>
            </w:pPr>
            <w:r>
              <w:rPr>
                <w:rFonts w:hint="eastAsia" w:ascii="宋体" w:hAnsi="宋体" w:cs="宋体"/>
                <w:kern w:val="0"/>
                <w:sz w:val="24"/>
              </w:rPr>
              <w:t>数量</w:t>
            </w:r>
          </w:p>
        </w:tc>
      </w:tr>
      <w:tr>
        <w:tblPrEx>
          <w:tblCellMar>
            <w:top w:w="0" w:type="dxa"/>
            <w:left w:w="108" w:type="dxa"/>
            <w:bottom w:w="0" w:type="dxa"/>
            <w:right w:w="108" w:type="dxa"/>
          </w:tblCellMar>
        </w:tblPrEx>
        <w:trPr>
          <w:trHeight w:val="991" w:hRule="atLeast"/>
        </w:trPr>
        <w:tc>
          <w:tcPr>
            <w:tcW w:w="971"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c>
          <w:tcPr>
            <w:tcW w:w="1651"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气相色谱仪</w:t>
            </w:r>
          </w:p>
        </w:tc>
        <w:tc>
          <w:tcPr>
            <w:tcW w:w="5652"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left"/>
              <w:textAlignment w:val="center"/>
              <w:rPr>
                <w:rFonts w:ascii="宋体" w:hAnsi="宋体" w:cs="宋体"/>
                <w:sz w:val="24"/>
              </w:rPr>
            </w:pPr>
            <w:r>
              <w:rPr>
                <w:rFonts w:hint="eastAsia" w:ascii="宋体" w:hAnsi="宋体" w:cs="宋体"/>
                <w:sz w:val="24"/>
              </w:rPr>
              <w:t>一、主机</w:t>
            </w:r>
          </w:p>
          <w:p>
            <w:pPr>
              <w:widowControl/>
              <w:spacing w:line="360" w:lineRule="auto"/>
              <w:jc w:val="left"/>
              <w:textAlignment w:val="center"/>
              <w:rPr>
                <w:rFonts w:ascii="宋体" w:hAnsi="宋体" w:cs="宋体"/>
                <w:sz w:val="24"/>
              </w:rPr>
            </w:pPr>
            <w:r>
              <w:rPr>
                <w:rFonts w:hint="eastAsia" w:ascii="宋体" w:hAnsi="宋体" w:cs="宋体"/>
                <w:sz w:val="24"/>
              </w:rPr>
              <w:t>1</w:t>
            </w:r>
            <w:r>
              <w:rPr>
                <w:rFonts w:ascii="宋体" w:hAnsi="宋体" w:cs="宋体"/>
                <w:sz w:val="24"/>
              </w:rPr>
              <w:t>.</w:t>
            </w:r>
            <w:r>
              <w:rPr>
                <w:rFonts w:hint="eastAsia" w:ascii="宋体" w:hAnsi="宋体" w:cs="宋体"/>
                <w:sz w:val="24"/>
              </w:rPr>
              <w:t>色谱性能：保留时间重现性&lt;0.008%，峰面积重现性&lt;0.5%RSD；</w:t>
            </w:r>
          </w:p>
          <w:p>
            <w:pPr>
              <w:widowControl/>
              <w:spacing w:line="360" w:lineRule="auto"/>
              <w:jc w:val="left"/>
              <w:textAlignment w:val="center"/>
              <w:rPr>
                <w:rFonts w:ascii="宋体" w:hAnsi="宋体" w:cs="宋体"/>
                <w:sz w:val="24"/>
              </w:rPr>
            </w:pPr>
            <w:r>
              <w:rPr>
                <w:rFonts w:hint="eastAsia" w:ascii="宋体" w:hAnsi="宋体" w:cs="宋体"/>
                <w:sz w:val="24"/>
              </w:rPr>
              <w:t>2.电子气路控制（EPC）：所有进样口和检测器使用全电子气路控制，以提高重现性；</w:t>
            </w:r>
          </w:p>
          <w:p>
            <w:pPr>
              <w:widowControl/>
              <w:spacing w:line="360" w:lineRule="auto"/>
              <w:jc w:val="left"/>
              <w:textAlignment w:val="center"/>
              <w:rPr>
                <w:rFonts w:ascii="宋体" w:hAnsi="宋体" w:cs="宋体"/>
                <w:sz w:val="24"/>
              </w:rPr>
            </w:pPr>
            <w:r>
              <w:rPr>
                <w:rFonts w:hint="eastAsia" w:ascii="宋体" w:hAnsi="宋体" w:cs="宋体"/>
                <w:sz w:val="24"/>
              </w:rPr>
              <w:t>3.压力设定值和控制精度：0.001psi。</w:t>
            </w:r>
          </w:p>
          <w:p>
            <w:pPr>
              <w:widowControl/>
              <w:spacing w:line="360" w:lineRule="auto"/>
              <w:jc w:val="left"/>
              <w:textAlignment w:val="center"/>
              <w:rPr>
                <w:rFonts w:ascii="宋体" w:hAnsi="宋体" w:cs="宋体"/>
                <w:sz w:val="24"/>
              </w:rPr>
            </w:pPr>
            <w:r>
              <w:rPr>
                <w:rFonts w:hint="eastAsia" w:ascii="宋体" w:hAnsi="宋体" w:cs="宋体"/>
                <w:sz w:val="24"/>
              </w:rPr>
              <w:t>二、柱温箱</w:t>
            </w:r>
          </w:p>
          <w:p>
            <w:pPr>
              <w:widowControl/>
              <w:spacing w:line="360" w:lineRule="auto"/>
              <w:jc w:val="left"/>
              <w:textAlignment w:val="center"/>
              <w:rPr>
                <w:rFonts w:ascii="宋体" w:hAnsi="宋体" w:cs="宋体"/>
                <w:sz w:val="24"/>
              </w:rPr>
            </w:pPr>
            <w:r>
              <w:rPr>
                <w:rFonts w:hint="eastAsia" w:ascii="宋体" w:hAnsi="宋体" w:cs="宋体"/>
                <w:sz w:val="24"/>
              </w:rPr>
              <w:t>1.温控范围：室温+5℃-450℃；</w:t>
            </w:r>
          </w:p>
          <w:p>
            <w:pPr>
              <w:widowControl/>
              <w:spacing w:line="360" w:lineRule="auto"/>
              <w:jc w:val="left"/>
              <w:textAlignment w:val="center"/>
              <w:rPr>
                <w:rFonts w:ascii="宋体" w:hAnsi="宋体" w:cs="宋体"/>
                <w:sz w:val="24"/>
              </w:rPr>
            </w:pPr>
            <w:r>
              <w:rPr>
                <w:rFonts w:hint="eastAsia" w:ascii="宋体" w:hAnsi="宋体" w:cs="宋体"/>
                <w:sz w:val="24"/>
              </w:rPr>
              <w:t>2.最高升温速率：120℃/min；</w:t>
            </w:r>
          </w:p>
          <w:p>
            <w:pPr>
              <w:widowControl/>
              <w:spacing w:line="360" w:lineRule="auto"/>
              <w:jc w:val="left"/>
              <w:textAlignment w:val="center"/>
              <w:rPr>
                <w:rFonts w:ascii="宋体" w:hAnsi="宋体" w:cs="宋体"/>
                <w:sz w:val="24"/>
              </w:rPr>
            </w:pPr>
            <w:r>
              <w:rPr>
                <w:rFonts w:hint="eastAsia" w:ascii="宋体" w:hAnsi="宋体" w:cs="宋体"/>
                <w:sz w:val="24"/>
              </w:rPr>
              <w:t>3.冷却效率：从450℃降到50℃≤4min；</w:t>
            </w:r>
          </w:p>
          <w:p>
            <w:pPr>
              <w:widowControl/>
              <w:spacing w:line="360" w:lineRule="auto"/>
              <w:jc w:val="left"/>
              <w:textAlignment w:val="center"/>
              <w:rPr>
                <w:rFonts w:ascii="宋体" w:hAnsi="宋体" w:cs="宋体"/>
                <w:sz w:val="24"/>
              </w:rPr>
            </w:pPr>
            <w:r>
              <w:rPr>
                <w:rFonts w:hint="eastAsia" w:ascii="宋体" w:hAnsi="宋体" w:cs="宋体"/>
                <w:sz w:val="24"/>
              </w:rPr>
              <w:t>4.柱温随室温变化精度（温度稳定性）：≤0.01℃。</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三、毛细柱分流/不分流进样口(2个，具有EPC功能)</w:t>
            </w:r>
          </w:p>
          <w:p>
            <w:pPr>
              <w:widowControl/>
              <w:spacing w:line="360" w:lineRule="auto"/>
              <w:jc w:val="left"/>
              <w:textAlignment w:val="center"/>
              <w:rPr>
                <w:rFonts w:ascii="宋体" w:hAnsi="宋体" w:cs="宋体"/>
                <w:sz w:val="24"/>
              </w:rPr>
            </w:pPr>
            <w:r>
              <w:rPr>
                <w:rFonts w:hint="eastAsia" w:ascii="宋体" w:hAnsi="宋体" w:cs="宋体"/>
                <w:sz w:val="24"/>
              </w:rPr>
              <w:t>1.适用于所有毛细管色谱柱(内径50至53μm)；</w:t>
            </w:r>
          </w:p>
          <w:p>
            <w:pPr>
              <w:widowControl/>
              <w:spacing w:line="360" w:lineRule="auto"/>
              <w:jc w:val="left"/>
              <w:textAlignment w:val="center"/>
              <w:rPr>
                <w:rFonts w:ascii="宋体" w:hAnsi="宋体" w:cs="宋体"/>
                <w:sz w:val="24"/>
              </w:rPr>
            </w:pPr>
            <w:r>
              <w:rPr>
                <w:rFonts w:hint="eastAsia" w:ascii="宋体" w:hAnsi="宋体" w:cs="宋体"/>
                <w:sz w:val="24"/>
              </w:rPr>
              <w:t>2.分流比最高12500：1，以免色谱柱过载；</w:t>
            </w:r>
          </w:p>
          <w:p>
            <w:pPr>
              <w:widowControl/>
              <w:spacing w:line="360" w:lineRule="auto"/>
              <w:jc w:val="left"/>
              <w:textAlignment w:val="center"/>
              <w:rPr>
                <w:rFonts w:ascii="宋体" w:hAnsi="宋体" w:cs="宋体"/>
                <w:sz w:val="24"/>
              </w:rPr>
            </w:pPr>
            <w:r>
              <w:rPr>
                <w:rFonts w:hint="eastAsia" w:ascii="宋体" w:hAnsi="宋体" w:cs="宋体"/>
                <w:sz w:val="24"/>
              </w:rPr>
              <w:t>3.最高温度：大于390°C；</w:t>
            </w:r>
          </w:p>
          <w:p>
            <w:pPr>
              <w:widowControl/>
              <w:spacing w:line="360" w:lineRule="auto"/>
              <w:jc w:val="left"/>
              <w:textAlignment w:val="center"/>
              <w:rPr>
                <w:rFonts w:ascii="宋体" w:hAnsi="宋体" w:cs="宋体"/>
                <w:sz w:val="24"/>
              </w:rPr>
            </w:pPr>
            <w:r>
              <w:rPr>
                <w:rFonts w:hint="eastAsia" w:ascii="宋体" w:hAnsi="宋体" w:cs="宋体"/>
                <w:sz w:val="24"/>
              </w:rPr>
              <w:t>4.压力设定范围：0-150psi；</w:t>
            </w:r>
          </w:p>
          <w:p>
            <w:pPr>
              <w:widowControl/>
              <w:spacing w:line="360" w:lineRule="auto"/>
              <w:jc w:val="left"/>
              <w:textAlignment w:val="center"/>
              <w:rPr>
                <w:rFonts w:ascii="宋体" w:hAnsi="宋体" w:cs="宋体"/>
                <w:sz w:val="24"/>
              </w:rPr>
            </w:pPr>
            <w:r>
              <w:rPr>
                <w:rFonts w:hint="eastAsia" w:ascii="宋体" w:hAnsi="宋体" w:cs="宋体"/>
                <w:sz w:val="24"/>
              </w:rPr>
              <w:t>5.载气节省模式减少气体消耗量，且不影响其分析性能；</w:t>
            </w:r>
          </w:p>
          <w:p>
            <w:pPr>
              <w:widowControl/>
              <w:spacing w:line="360" w:lineRule="auto"/>
              <w:jc w:val="left"/>
              <w:textAlignment w:val="center"/>
              <w:rPr>
                <w:rFonts w:ascii="宋体" w:hAnsi="宋体" w:cs="宋体"/>
                <w:sz w:val="24"/>
              </w:rPr>
            </w:pPr>
            <w:r>
              <w:rPr>
                <w:rFonts w:hint="eastAsia" w:ascii="宋体" w:hAnsi="宋体" w:cs="宋体"/>
                <w:sz w:val="24"/>
              </w:rPr>
              <w:t>6.电子隔垫吹扫流量控制可消除鬼峰；</w:t>
            </w:r>
          </w:p>
          <w:p>
            <w:pPr>
              <w:widowControl/>
              <w:spacing w:line="360" w:lineRule="auto"/>
              <w:jc w:val="left"/>
              <w:textAlignment w:val="center"/>
              <w:rPr>
                <w:rFonts w:ascii="宋体" w:hAnsi="宋体" w:cs="宋体"/>
                <w:sz w:val="24"/>
              </w:rPr>
            </w:pPr>
            <w:r>
              <w:rPr>
                <w:rFonts w:hint="eastAsia" w:ascii="宋体" w:hAnsi="宋体" w:cs="宋体"/>
                <w:sz w:val="24"/>
              </w:rPr>
              <w:t>7.总流速设定范围：0-500mL/min N2，0-1250mL/min H2或He，0-200</w:t>
            </w:r>
            <w:r>
              <w:rPr>
                <w:rFonts w:ascii="宋体" w:hAnsi="宋体" w:cs="宋体"/>
                <w:sz w:val="24"/>
              </w:rPr>
              <w:t>v</w:t>
            </w:r>
            <w:r>
              <w:rPr>
                <w:rFonts w:hint="eastAsia" w:ascii="宋体" w:hAnsi="宋体" w:cs="宋体"/>
                <w:sz w:val="24"/>
              </w:rPr>
              <w:t>mL/min氩气/甲烷；压力范围：0－100psi。</w:t>
            </w:r>
          </w:p>
          <w:p>
            <w:pPr>
              <w:widowControl/>
              <w:spacing w:line="360" w:lineRule="auto"/>
              <w:jc w:val="left"/>
              <w:textAlignment w:val="center"/>
              <w:rPr>
                <w:rFonts w:ascii="宋体" w:hAnsi="宋体" w:cs="宋体"/>
                <w:sz w:val="24"/>
              </w:rPr>
            </w:pPr>
            <w:r>
              <w:rPr>
                <w:rFonts w:hint="eastAsia" w:ascii="宋体" w:hAnsi="宋体" w:cs="宋体"/>
                <w:sz w:val="24"/>
              </w:rPr>
              <w:t>四、微池电子捕获检测器(ECD，具有EPC功能)</w:t>
            </w:r>
          </w:p>
          <w:p>
            <w:pPr>
              <w:widowControl/>
              <w:spacing w:line="360" w:lineRule="auto"/>
              <w:jc w:val="left"/>
              <w:textAlignment w:val="center"/>
              <w:rPr>
                <w:rFonts w:ascii="宋体" w:hAnsi="宋体" w:cs="宋体"/>
                <w:sz w:val="24"/>
              </w:rPr>
            </w:pPr>
            <w:r>
              <w:rPr>
                <w:rFonts w:hint="eastAsia" w:ascii="宋体" w:hAnsi="宋体" w:cs="宋体"/>
                <w:sz w:val="24"/>
              </w:rPr>
              <w:t>1.对电负性化合物(如含卤素的有机化合物)非常灵敏；</w:t>
            </w:r>
          </w:p>
          <w:p>
            <w:pPr>
              <w:widowControl/>
              <w:spacing w:line="360" w:lineRule="auto"/>
              <w:jc w:val="left"/>
              <w:textAlignment w:val="center"/>
              <w:rPr>
                <w:rFonts w:ascii="宋体" w:hAnsi="宋体" w:cs="宋体"/>
                <w:sz w:val="24"/>
              </w:rPr>
            </w:pPr>
            <w:r>
              <w:rPr>
                <w:rFonts w:hint="eastAsia" w:ascii="宋体" w:hAnsi="宋体" w:cs="宋体"/>
                <w:sz w:val="24"/>
              </w:rPr>
              <w:t>2.最低检测限：&lt;3.8fg/mL林丹；</w:t>
            </w:r>
          </w:p>
          <w:p>
            <w:pPr>
              <w:widowControl/>
              <w:spacing w:line="360" w:lineRule="auto"/>
              <w:jc w:val="left"/>
              <w:textAlignment w:val="center"/>
              <w:rPr>
                <w:rFonts w:ascii="宋体" w:hAnsi="宋体" w:cs="宋体"/>
                <w:sz w:val="24"/>
              </w:rPr>
            </w:pPr>
            <w:r>
              <w:rPr>
                <w:rFonts w:hint="eastAsia" w:ascii="宋体" w:hAnsi="宋体" w:cs="宋体"/>
                <w:sz w:val="24"/>
              </w:rPr>
              <w:t>3.专有的信号线性化技术，线性动态范围：&gt;5x104(林丹)；</w:t>
            </w:r>
          </w:p>
          <w:p>
            <w:pPr>
              <w:widowControl/>
              <w:spacing w:line="360" w:lineRule="auto"/>
              <w:jc w:val="left"/>
              <w:textAlignment w:val="center"/>
              <w:rPr>
                <w:rFonts w:ascii="宋体" w:hAnsi="宋体" w:cs="宋体"/>
                <w:sz w:val="24"/>
              </w:rPr>
            </w:pPr>
            <w:r>
              <w:rPr>
                <w:rFonts w:hint="eastAsia" w:ascii="宋体" w:hAnsi="宋体" w:cs="宋体"/>
                <w:sz w:val="24"/>
              </w:rPr>
              <w:t>4.数据采集速率最高500Hz；</w:t>
            </w:r>
          </w:p>
          <w:p>
            <w:pPr>
              <w:widowControl/>
              <w:spacing w:line="360" w:lineRule="auto"/>
              <w:jc w:val="left"/>
              <w:textAlignment w:val="center"/>
              <w:rPr>
                <w:rFonts w:ascii="宋体" w:hAnsi="宋体" w:cs="宋体"/>
                <w:sz w:val="24"/>
              </w:rPr>
            </w:pPr>
            <w:r>
              <w:rPr>
                <w:rFonts w:hint="eastAsia" w:ascii="宋体" w:hAnsi="宋体" w:cs="宋体"/>
                <w:sz w:val="24"/>
              </w:rPr>
              <w:t>5.放射源：使用&lt;15mCi的63Ni的B射线；</w:t>
            </w:r>
          </w:p>
          <w:p>
            <w:pPr>
              <w:widowControl/>
              <w:spacing w:line="360" w:lineRule="auto"/>
              <w:jc w:val="left"/>
              <w:textAlignment w:val="center"/>
              <w:rPr>
                <w:rFonts w:ascii="宋体" w:hAnsi="宋体" w:cs="宋体"/>
                <w:sz w:val="24"/>
              </w:rPr>
            </w:pPr>
            <w:r>
              <w:rPr>
                <w:rFonts w:hint="eastAsia" w:ascii="宋体" w:hAnsi="宋体" w:cs="宋体"/>
                <w:sz w:val="24"/>
              </w:rPr>
              <w:t>6.独特的微池设计，最大限度减少污染并优化灵敏度；</w:t>
            </w:r>
          </w:p>
          <w:p>
            <w:pPr>
              <w:widowControl/>
              <w:spacing w:line="360" w:lineRule="auto"/>
              <w:jc w:val="left"/>
              <w:textAlignment w:val="center"/>
              <w:rPr>
                <w:rFonts w:ascii="宋体" w:hAnsi="宋体" w:cs="宋体"/>
                <w:sz w:val="24"/>
              </w:rPr>
            </w:pPr>
            <w:r>
              <w:rPr>
                <w:rFonts w:hint="eastAsia" w:ascii="宋体" w:hAnsi="宋体" w:cs="宋体"/>
                <w:sz w:val="24"/>
              </w:rPr>
              <w:t>7.最高使用温度：400°C。</w:t>
            </w:r>
          </w:p>
          <w:p>
            <w:pPr>
              <w:widowControl/>
              <w:spacing w:line="360" w:lineRule="auto"/>
              <w:jc w:val="left"/>
              <w:textAlignment w:val="center"/>
              <w:rPr>
                <w:rFonts w:ascii="宋体" w:hAnsi="宋体" w:cs="宋体"/>
                <w:sz w:val="24"/>
              </w:rPr>
            </w:pPr>
            <w:r>
              <w:rPr>
                <w:rFonts w:hint="eastAsia" w:ascii="宋体" w:hAnsi="宋体" w:cs="宋体"/>
                <w:sz w:val="24"/>
              </w:rPr>
              <w:t>五、火焰光度检测器(FPD，具有EPC功能)</w:t>
            </w:r>
          </w:p>
          <w:p>
            <w:pPr>
              <w:widowControl/>
              <w:spacing w:line="360" w:lineRule="auto"/>
              <w:jc w:val="left"/>
              <w:textAlignment w:val="center"/>
              <w:rPr>
                <w:rFonts w:ascii="宋体" w:hAnsi="宋体" w:cs="宋体"/>
                <w:sz w:val="24"/>
              </w:rPr>
            </w:pPr>
            <w:r>
              <w:rPr>
                <w:rFonts w:hint="eastAsia" w:ascii="宋体" w:hAnsi="宋体" w:cs="宋体"/>
                <w:sz w:val="24"/>
              </w:rPr>
              <w:t>1.最低检测限：&lt;45fg P/sec，&lt;2.5pg S/sec (甲基对硫磷)；</w:t>
            </w:r>
          </w:p>
          <w:p>
            <w:pPr>
              <w:widowControl/>
              <w:spacing w:line="360" w:lineRule="auto"/>
              <w:jc w:val="left"/>
              <w:textAlignment w:val="center"/>
              <w:rPr>
                <w:rFonts w:ascii="宋体" w:hAnsi="宋体" w:cs="宋体"/>
                <w:sz w:val="24"/>
              </w:rPr>
            </w:pPr>
            <w:r>
              <w:rPr>
                <w:rFonts w:hint="eastAsia" w:ascii="宋体" w:hAnsi="宋体" w:cs="宋体"/>
                <w:sz w:val="24"/>
              </w:rPr>
              <w:t>2.选择性：106gS/gC，106gP/gC；</w:t>
            </w:r>
          </w:p>
          <w:p>
            <w:pPr>
              <w:widowControl/>
              <w:spacing w:line="360" w:lineRule="auto"/>
              <w:jc w:val="left"/>
              <w:textAlignment w:val="center"/>
              <w:rPr>
                <w:rFonts w:ascii="宋体" w:hAnsi="宋体" w:cs="宋体"/>
                <w:sz w:val="24"/>
              </w:rPr>
            </w:pPr>
            <w:r>
              <w:rPr>
                <w:rFonts w:hint="eastAsia" w:ascii="宋体" w:hAnsi="宋体" w:cs="宋体"/>
                <w:sz w:val="24"/>
              </w:rPr>
              <w:t>3.动态范围：&gt;103S，104P(甲基对硫磷)；</w:t>
            </w:r>
          </w:p>
          <w:p>
            <w:pPr>
              <w:widowControl/>
              <w:spacing w:line="360" w:lineRule="auto"/>
              <w:jc w:val="left"/>
              <w:textAlignment w:val="center"/>
              <w:rPr>
                <w:rFonts w:ascii="宋体" w:hAnsi="宋体" w:cs="宋体"/>
                <w:sz w:val="24"/>
              </w:rPr>
            </w:pPr>
            <w:r>
              <w:rPr>
                <w:rFonts w:hint="eastAsia" w:ascii="宋体" w:hAnsi="宋体" w:cs="宋体"/>
                <w:sz w:val="24"/>
              </w:rPr>
              <w:t>4.数据采集速率最高500Hz；</w:t>
            </w:r>
          </w:p>
          <w:p>
            <w:pPr>
              <w:widowControl/>
              <w:spacing w:line="360" w:lineRule="auto"/>
              <w:jc w:val="left"/>
              <w:textAlignment w:val="center"/>
              <w:rPr>
                <w:rFonts w:ascii="宋体" w:hAnsi="宋体" w:cs="宋体"/>
                <w:sz w:val="24"/>
              </w:rPr>
            </w:pPr>
            <w:r>
              <w:rPr>
                <w:rFonts w:hint="eastAsia" w:ascii="宋体" w:hAnsi="宋体" w:cs="宋体"/>
                <w:sz w:val="24"/>
              </w:rPr>
              <w:t>5.最高操作温度：大于380C。</w:t>
            </w:r>
          </w:p>
          <w:p>
            <w:pPr>
              <w:widowControl/>
              <w:spacing w:line="360" w:lineRule="auto"/>
              <w:jc w:val="left"/>
              <w:textAlignment w:val="center"/>
              <w:rPr>
                <w:rFonts w:ascii="宋体" w:hAnsi="宋体" w:cs="宋体"/>
                <w:sz w:val="24"/>
              </w:rPr>
            </w:pPr>
            <w:r>
              <w:rPr>
                <w:rFonts w:hint="eastAsia" w:ascii="宋体" w:hAnsi="宋体" w:cs="宋体"/>
                <w:sz w:val="24"/>
              </w:rPr>
              <w:t>六、氢火焰检测器(FID)</w:t>
            </w:r>
          </w:p>
          <w:p>
            <w:pPr>
              <w:widowControl/>
              <w:spacing w:line="360" w:lineRule="auto"/>
              <w:jc w:val="left"/>
              <w:textAlignment w:val="center"/>
              <w:rPr>
                <w:rFonts w:ascii="宋体" w:hAnsi="宋体" w:cs="宋体"/>
                <w:sz w:val="24"/>
              </w:rPr>
            </w:pPr>
            <w:r>
              <w:rPr>
                <w:rFonts w:hint="eastAsia" w:ascii="宋体" w:hAnsi="宋体" w:cs="宋体"/>
                <w:sz w:val="24"/>
              </w:rPr>
              <w:t>1.最高使用温度：450℃；</w:t>
            </w:r>
          </w:p>
          <w:p>
            <w:pPr>
              <w:widowControl/>
              <w:spacing w:line="360" w:lineRule="auto"/>
              <w:jc w:val="left"/>
              <w:textAlignment w:val="center"/>
              <w:rPr>
                <w:rFonts w:ascii="宋体" w:hAnsi="宋体" w:cs="宋体"/>
                <w:sz w:val="24"/>
              </w:rPr>
            </w:pPr>
            <w:r>
              <w:rPr>
                <w:rFonts w:hint="eastAsia" w:ascii="宋体" w:hAnsi="宋体" w:cs="宋体"/>
                <w:sz w:val="24"/>
              </w:rPr>
              <w:t>2.自动灭火检测，自动点火，自动调节点火气流；</w:t>
            </w:r>
          </w:p>
          <w:p>
            <w:pPr>
              <w:widowControl/>
              <w:spacing w:line="360" w:lineRule="auto"/>
              <w:jc w:val="left"/>
              <w:textAlignment w:val="center"/>
              <w:rPr>
                <w:rFonts w:ascii="宋体" w:hAnsi="宋体" w:cs="宋体"/>
                <w:sz w:val="24"/>
              </w:rPr>
            </w:pPr>
            <w:r>
              <w:rPr>
                <w:rFonts w:hint="eastAsia" w:ascii="宋体" w:hAnsi="宋体" w:cs="宋体"/>
                <w:sz w:val="24"/>
              </w:rPr>
              <w:t>3.最低检测限（对十三烷）：&lt;1.2pg C/s；</w:t>
            </w:r>
          </w:p>
          <w:p>
            <w:pPr>
              <w:widowControl/>
              <w:spacing w:line="360" w:lineRule="auto"/>
              <w:jc w:val="left"/>
              <w:textAlignment w:val="center"/>
              <w:rPr>
                <w:rFonts w:ascii="宋体" w:hAnsi="宋体" w:cs="宋体"/>
                <w:sz w:val="24"/>
              </w:rPr>
            </w:pPr>
            <w:r>
              <w:rPr>
                <w:rFonts w:hint="eastAsia" w:ascii="宋体" w:hAnsi="宋体" w:cs="宋体"/>
                <w:sz w:val="24"/>
              </w:rPr>
              <w:t>4.线性动态范围：&gt;107（±10%），全量程的数字化数据输出使得一次进样中可以对检测器的整个浓度范围（107）的峰实现定量分析；</w:t>
            </w:r>
          </w:p>
          <w:p>
            <w:pPr>
              <w:widowControl/>
              <w:spacing w:line="360" w:lineRule="auto"/>
              <w:jc w:val="left"/>
              <w:textAlignment w:val="center"/>
              <w:rPr>
                <w:rFonts w:ascii="宋体" w:hAnsi="宋体" w:cs="宋体"/>
                <w:sz w:val="24"/>
              </w:rPr>
            </w:pPr>
            <w:r>
              <w:rPr>
                <w:rFonts w:hint="eastAsia" w:ascii="宋体" w:hAnsi="宋体" w:cs="宋体"/>
                <w:sz w:val="24"/>
              </w:rPr>
              <w:t>5.数据采集速率：最高1000 Hz的数据采集速率适合半峰宽5ms的峰。</w:t>
            </w:r>
          </w:p>
          <w:p>
            <w:pPr>
              <w:widowControl/>
              <w:spacing w:line="360" w:lineRule="auto"/>
              <w:jc w:val="left"/>
              <w:textAlignment w:val="center"/>
              <w:rPr>
                <w:rFonts w:ascii="宋体" w:hAnsi="宋体" w:cs="宋体"/>
                <w:sz w:val="24"/>
              </w:rPr>
            </w:pPr>
            <w:r>
              <w:rPr>
                <w:rFonts w:hint="eastAsia" w:ascii="宋体" w:hAnsi="宋体" w:cs="宋体"/>
                <w:sz w:val="24"/>
              </w:rPr>
              <w:t>七、液体自动进样器</w:t>
            </w:r>
          </w:p>
          <w:p>
            <w:pPr>
              <w:widowControl/>
              <w:spacing w:line="360" w:lineRule="auto"/>
              <w:jc w:val="left"/>
              <w:textAlignment w:val="center"/>
              <w:rPr>
                <w:rFonts w:ascii="宋体" w:hAnsi="宋体" w:cs="宋体"/>
                <w:sz w:val="24"/>
              </w:rPr>
            </w:pPr>
            <w:r>
              <w:rPr>
                <w:rFonts w:hint="eastAsia" w:ascii="宋体" w:hAnsi="宋体" w:cs="宋体"/>
                <w:sz w:val="24"/>
              </w:rPr>
              <w:t>1.进样量范围：0.1-50ul，按1%进样针体积可调；</w:t>
            </w:r>
          </w:p>
          <w:p>
            <w:pPr>
              <w:widowControl/>
              <w:spacing w:line="360" w:lineRule="auto"/>
              <w:jc w:val="left"/>
              <w:textAlignment w:val="center"/>
              <w:rPr>
                <w:rFonts w:ascii="宋体" w:hAnsi="宋体" w:cs="宋体"/>
                <w:sz w:val="24"/>
              </w:rPr>
            </w:pPr>
            <w:r>
              <w:rPr>
                <w:rFonts w:hint="eastAsia" w:ascii="宋体" w:hAnsi="宋体" w:cs="宋体"/>
                <w:sz w:val="24"/>
              </w:rPr>
              <w:t>2.进样时间：&lt;100ms；</w:t>
            </w:r>
          </w:p>
          <w:p>
            <w:pPr>
              <w:widowControl/>
              <w:spacing w:line="360" w:lineRule="auto"/>
              <w:jc w:val="left"/>
              <w:textAlignment w:val="center"/>
              <w:rPr>
                <w:rFonts w:ascii="宋体" w:hAnsi="宋体" w:cs="宋体"/>
                <w:sz w:val="24"/>
              </w:rPr>
            </w:pPr>
            <w:r>
              <w:rPr>
                <w:rFonts w:hint="eastAsia" w:ascii="宋体" w:hAnsi="宋体" w:cs="宋体"/>
                <w:sz w:val="24"/>
              </w:rPr>
              <w:t>3.进样针位置：2-30mm可调；</w:t>
            </w:r>
          </w:p>
          <w:p>
            <w:pPr>
              <w:widowControl/>
              <w:spacing w:line="360" w:lineRule="auto"/>
              <w:jc w:val="left"/>
              <w:textAlignment w:val="center"/>
              <w:rPr>
                <w:rFonts w:ascii="宋体" w:hAnsi="宋体" w:cs="宋体"/>
                <w:sz w:val="24"/>
              </w:rPr>
            </w:pPr>
            <w:r>
              <w:rPr>
                <w:rFonts w:hint="eastAsia" w:ascii="宋体" w:hAnsi="宋体" w:cs="宋体"/>
                <w:sz w:val="24"/>
              </w:rPr>
              <w:t>4.进样精度：RSD&lt;0.3%；</w:t>
            </w:r>
          </w:p>
          <w:p>
            <w:pPr>
              <w:widowControl/>
              <w:spacing w:line="360" w:lineRule="auto"/>
              <w:jc w:val="left"/>
              <w:textAlignment w:val="center"/>
              <w:rPr>
                <w:rFonts w:ascii="宋体" w:hAnsi="宋体" w:cs="宋体"/>
                <w:sz w:val="24"/>
              </w:rPr>
            </w:pPr>
            <w:r>
              <w:rPr>
                <w:rFonts w:hint="eastAsia" w:ascii="宋体" w:hAnsi="宋体" w:cs="宋体"/>
                <w:sz w:val="24"/>
              </w:rPr>
              <w:t>5.样品位数：16位。</w:t>
            </w:r>
          </w:p>
          <w:p>
            <w:pPr>
              <w:widowControl/>
              <w:spacing w:line="360" w:lineRule="auto"/>
              <w:jc w:val="left"/>
              <w:textAlignment w:val="center"/>
              <w:rPr>
                <w:rFonts w:ascii="宋体" w:hAnsi="宋体" w:cs="宋体"/>
                <w:sz w:val="24"/>
              </w:rPr>
            </w:pPr>
            <w:r>
              <w:rPr>
                <w:rFonts w:hint="eastAsia" w:ascii="宋体" w:hAnsi="宋体" w:cs="宋体"/>
                <w:sz w:val="24"/>
              </w:rPr>
              <w:t>八、空气发生器和氢气发生器各一台。</w:t>
            </w:r>
          </w:p>
          <w:p>
            <w:pPr>
              <w:widowControl/>
              <w:spacing w:line="360" w:lineRule="auto"/>
              <w:jc w:val="left"/>
              <w:textAlignment w:val="center"/>
              <w:rPr>
                <w:rFonts w:ascii="宋体" w:hAnsi="宋体" w:cs="宋体"/>
                <w:sz w:val="24"/>
              </w:rPr>
            </w:pPr>
            <w:r>
              <w:rPr>
                <w:rFonts w:hint="eastAsia" w:ascii="宋体" w:hAnsi="宋体" w:cs="宋体"/>
                <w:sz w:val="24"/>
              </w:rPr>
              <w:t>九、数据处理系统、电脑(</w:t>
            </w:r>
            <w:r>
              <w:rPr>
                <w:rFonts w:hint="eastAsia" w:ascii="宋体" w:hAnsi="宋体" w:cs="宋体"/>
                <w:sz w:val="24"/>
                <w:lang w:eastAsia="zh-CN"/>
              </w:rPr>
              <w:t>不低于以下配置：CPU i5-13600KF处理器，内存16GB，1T固态硬盘，显示器27英寸</w:t>
            </w:r>
            <w:r>
              <w:rPr>
                <w:rFonts w:hint="eastAsia" w:ascii="宋体" w:hAnsi="宋体" w:cs="宋体"/>
                <w:sz w:val="24"/>
              </w:rPr>
              <w:t>)；高速激光打印机一台</w:t>
            </w:r>
            <w:r>
              <w:rPr>
                <w:rFonts w:hint="eastAsia" w:ascii="宋体" w:hAnsi="宋体" w:cs="宋体"/>
                <w:sz w:val="24"/>
                <w:lang w:eastAsia="zh-CN"/>
              </w:rPr>
              <w:t>（分辨率不低于600*600dpi）。</w:t>
            </w:r>
            <w:r>
              <w:rPr>
                <w:rFonts w:hint="eastAsia" w:ascii="宋体" w:hAnsi="宋体" w:cs="宋体"/>
                <w:sz w:val="24"/>
              </w:rPr>
              <w:t>色谱柱共</w:t>
            </w:r>
            <w:r>
              <w:rPr>
                <w:rFonts w:ascii="宋体" w:hAnsi="宋体" w:cs="宋体"/>
                <w:sz w:val="24"/>
              </w:rPr>
              <w:t>4</w:t>
            </w:r>
            <w:r>
              <w:rPr>
                <w:rFonts w:hint="eastAsia" w:ascii="宋体" w:hAnsi="宋体" w:cs="宋体"/>
                <w:sz w:val="24"/>
              </w:rPr>
              <w:t>根，规格如下：毛细管柱(32m×0.32mm×4μm)；卤代</w:t>
            </w:r>
            <w:r>
              <w:rPr>
                <w:rFonts w:ascii="宋体" w:hAnsi="宋体" w:cs="宋体"/>
                <w:sz w:val="24"/>
              </w:rPr>
              <w:t>VOC</w:t>
            </w:r>
            <w:r>
              <w:rPr>
                <w:rFonts w:hint="eastAsia" w:ascii="宋体" w:hAnsi="宋体" w:cs="宋体"/>
                <w:sz w:val="24"/>
              </w:rPr>
              <w:t>弹性石英毛细管柱(60m×0.53mm×3.00μm)；硫化物分析毛细管柱(30m×0.32mm×0.25μm)；自动进样针4支。气相色谱仪安装工具包，气体净化器4个，不粘连BTO进样口隔垫、螺纹口样品瓶，进样口或检测器通用柱螺帽、石墨密封垫圈、衬管等。</w:t>
            </w:r>
          </w:p>
        </w:tc>
        <w:tc>
          <w:tcPr>
            <w:tcW w:w="984"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1台</w:t>
            </w:r>
          </w:p>
        </w:tc>
      </w:tr>
    </w:tbl>
    <w:p>
      <w:pPr>
        <w:rPr>
          <w:lang w:val="zh-CN"/>
        </w:rPr>
      </w:pPr>
      <w:r>
        <w:rPr>
          <w:rFonts w:ascii="宋体" w:hAnsi="宋体"/>
          <w:b/>
          <w:lang w:val="zh-CN"/>
        </w:rPr>
        <w:br w:type="page"/>
      </w:r>
    </w:p>
    <w:p>
      <w:pPr>
        <w:pStyle w:val="2"/>
        <w:spacing w:before="0" w:after="0" w:line="360" w:lineRule="auto"/>
        <w:ind w:firstLine="482" w:firstLineChars="200"/>
        <w:jc w:val="center"/>
        <w:rPr>
          <w:rFonts w:ascii="宋体" w:hAnsi="宋体"/>
          <w:caps w:val="0"/>
          <w:kern w:val="0"/>
          <w:sz w:val="24"/>
        </w:rPr>
      </w:pPr>
      <w:r>
        <w:rPr>
          <w:rFonts w:hint="eastAsia" w:ascii="宋体" w:hAnsi="宋体"/>
          <w:caps w:val="0"/>
          <w:kern w:val="0"/>
          <w:sz w:val="24"/>
        </w:rPr>
        <w:t>第二包：</w:t>
      </w:r>
    </w:p>
    <w:tbl>
      <w:tblPr>
        <w:tblStyle w:val="5"/>
        <w:tblW w:w="9598" w:type="dxa"/>
        <w:tblInd w:w="91" w:type="dxa"/>
        <w:tblLayout w:type="fixed"/>
        <w:tblCellMar>
          <w:top w:w="0" w:type="dxa"/>
          <w:left w:w="108" w:type="dxa"/>
          <w:bottom w:w="0" w:type="dxa"/>
          <w:right w:w="108" w:type="dxa"/>
        </w:tblCellMar>
      </w:tblPr>
      <w:tblGrid>
        <w:gridCol w:w="1302"/>
        <w:gridCol w:w="1535"/>
        <w:gridCol w:w="5741"/>
        <w:gridCol w:w="1020"/>
      </w:tblGrid>
      <w:tr>
        <w:tblPrEx>
          <w:tblCellMar>
            <w:top w:w="0" w:type="dxa"/>
            <w:left w:w="108" w:type="dxa"/>
            <w:bottom w:w="0" w:type="dxa"/>
            <w:right w:w="108" w:type="dxa"/>
          </w:tblCellMar>
        </w:tblPrEx>
        <w:trPr>
          <w:trHeight w:val="411" w:hRule="atLeast"/>
        </w:trPr>
        <w:tc>
          <w:tcPr>
            <w:tcW w:w="1302"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Style w:val="7"/>
                <w:rFonts w:hint="default"/>
                <w:b w:val="0"/>
                <w:bCs w:val="0"/>
                <w:color w:val="auto"/>
                <w:sz w:val="24"/>
                <w:szCs w:val="24"/>
              </w:rPr>
            </w:pPr>
            <w:r>
              <w:rPr>
                <w:rStyle w:val="7"/>
                <w:rFonts w:hint="default"/>
                <w:b w:val="0"/>
                <w:bCs w:val="0"/>
                <w:color w:val="auto"/>
                <w:sz w:val="24"/>
                <w:szCs w:val="24"/>
              </w:rPr>
              <w:t>序号</w:t>
            </w:r>
          </w:p>
        </w:tc>
        <w:tc>
          <w:tcPr>
            <w:tcW w:w="1535"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Style w:val="7"/>
                <w:rFonts w:hint="default"/>
                <w:b w:val="0"/>
                <w:bCs w:val="0"/>
                <w:color w:val="auto"/>
                <w:sz w:val="24"/>
                <w:szCs w:val="24"/>
              </w:rPr>
              <w:t>设备名称</w:t>
            </w:r>
          </w:p>
        </w:tc>
        <w:tc>
          <w:tcPr>
            <w:tcW w:w="5741"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技术需求</w:t>
            </w:r>
          </w:p>
        </w:tc>
        <w:tc>
          <w:tcPr>
            <w:tcW w:w="1020"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kern w:val="0"/>
                <w:sz w:val="24"/>
              </w:rPr>
            </w:pPr>
            <w:r>
              <w:rPr>
                <w:rFonts w:hint="eastAsia" w:ascii="宋体" w:hAnsi="宋体" w:cs="宋体"/>
                <w:kern w:val="0"/>
                <w:sz w:val="24"/>
              </w:rPr>
              <w:t>数量</w:t>
            </w:r>
          </w:p>
        </w:tc>
      </w:tr>
      <w:tr>
        <w:tblPrEx>
          <w:tblCellMar>
            <w:top w:w="0" w:type="dxa"/>
            <w:left w:w="108" w:type="dxa"/>
            <w:bottom w:w="0" w:type="dxa"/>
            <w:right w:w="108" w:type="dxa"/>
          </w:tblCellMar>
        </w:tblPrEx>
        <w:trPr>
          <w:trHeight w:val="7061" w:hRule="atLeast"/>
        </w:trPr>
        <w:tc>
          <w:tcPr>
            <w:tcW w:w="1302"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c>
          <w:tcPr>
            <w:tcW w:w="1535"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智能分析型流式细胞仪</w:t>
            </w:r>
          </w:p>
        </w:tc>
        <w:tc>
          <w:tcPr>
            <w:tcW w:w="5741" w:type="dxa"/>
            <w:tcBorders>
              <w:top w:val="single" w:color="000000" w:sz="4" w:space="0"/>
              <w:left w:val="single" w:color="000000" w:sz="4" w:space="0"/>
              <w:bottom w:val="single" w:color="000000" w:sz="4" w:space="0"/>
              <w:right w:val="single" w:color="auto" w:sz="4" w:space="0"/>
            </w:tcBorders>
            <w:vAlign w:val="center"/>
          </w:tcPr>
          <w:p>
            <w:pPr>
              <w:widowControl/>
              <w:numPr>
                <w:ilvl w:val="0"/>
                <w:numId w:val="2"/>
              </w:numPr>
              <w:spacing w:line="360" w:lineRule="auto"/>
              <w:jc w:val="left"/>
              <w:textAlignment w:val="center"/>
              <w:rPr>
                <w:rFonts w:ascii="宋体" w:hAnsi="宋体" w:cs="宋体"/>
                <w:sz w:val="24"/>
              </w:rPr>
            </w:pPr>
            <w:r>
              <w:rPr>
                <w:rFonts w:hint="eastAsia" w:ascii="宋体" w:hAnsi="宋体" w:cs="宋体"/>
                <w:sz w:val="24"/>
              </w:rPr>
              <w:t>功能和用途</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1.功能：</w:t>
            </w:r>
          </w:p>
          <w:p>
            <w:pPr>
              <w:widowControl/>
              <w:numPr>
                <w:ilvl w:val="0"/>
                <w:numId w:val="3"/>
              </w:numPr>
              <w:spacing w:line="360" w:lineRule="auto"/>
              <w:jc w:val="left"/>
              <w:textAlignment w:val="center"/>
              <w:rPr>
                <w:rFonts w:ascii="宋体" w:hAnsi="宋体" w:cs="宋体"/>
                <w:sz w:val="24"/>
              </w:rPr>
            </w:pPr>
            <w:r>
              <w:rPr>
                <w:rFonts w:hint="eastAsia" w:ascii="宋体" w:hAnsi="宋体" w:cs="宋体"/>
                <w:sz w:val="24"/>
              </w:rPr>
              <w:t>细胞参量分析，如：细胞大小、形态、蛋白荧光、氧化还原状态、膜的结构、流动性、微粘性、膜电位、染色质结构等；</w:t>
            </w:r>
          </w:p>
          <w:p>
            <w:pPr>
              <w:widowControl/>
              <w:numPr>
                <w:ilvl w:val="0"/>
                <w:numId w:val="3"/>
              </w:numPr>
              <w:spacing w:line="360" w:lineRule="auto"/>
              <w:jc w:val="left"/>
              <w:textAlignment w:val="center"/>
              <w:rPr>
                <w:rFonts w:ascii="宋体" w:hAnsi="宋体" w:cs="宋体"/>
                <w:sz w:val="24"/>
              </w:rPr>
            </w:pPr>
            <w:r>
              <w:rPr>
                <w:rFonts w:hint="eastAsia" w:ascii="宋体" w:hAnsi="宋体" w:cs="宋体"/>
                <w:sz w:val="24"/>
              </w:rPr>
              <w:t>细胞表型分析，如：T细胞、B细胞、N细胞等细胞分型，研究细胞分化程度和功能状态等。</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2.用途：</w:t>
            </w:r>
          </w:p>
          <w:p>
            <w:pPr>
              <w:widowControl/>
              <w:numPr>
                <w:ilvl w:val="0"/>
                <w:numId w:val="4"/>
              </w:numPr>
              <w:spacing w:line="360" w:lineRule="auto"/>
              <w:jc w:val="left"/>
              <w:textAlignment w:val="center"/>
              <w:rPr>
                <w:rFonts w:ascii="宋体" w:hAnsi="宋体" w:cs="宋体"/>
                <w:sz w:val="24"/>
              </w:rPr>
            </w:pPr>
            <w:r>
              <w:rPr>
                <w:rFonts w:hint="eastAsia" w:ascii="宋体" w:hAnsi="宋体" w:cs="宋体"/>
                <w:sz w:val="24"/>
              </w:rPr>
              <w:t>检测细胞周期及凋亡；</w:t>
            </w:r>
          </w:p>
          <w:p>
            <w:pPr>
              <w:widowControl/>
              <w:numPr>
                <w:ilvl w:val="0"/>
                <w:numId w:val="4"/>
              </w:numPr>
              <w:spacing w:line="360" w:lineRule="auto"/>
              <w:jc w:val="left"/>
              <w:textAlignment w:val="center"/>
              <w:rPr>
                <w:rFonts w:ascii="宋体" w:hAnsi="宋体" w:cs="宋体"/>
                <w:sz w:val="24"/>
              </w:rPr>
            </w:pPr>
            <w:r>
              <w:rPr>
                <w:rFonts w:hint="eastAsia" w:ascii="宋体" w:hAnsi="宋体" w:cs="宋体"/>
                <w:sz w:val="24"/>
              </w:rPr>
              <w:t>可溶性细胞因子检测（CBA技术）；</w:t>
            </w:r>
          </w:p>
          <w:p>
            <w:pPr>
              <w:widowControl/>
              <w:numPr>
                <w:ilvl w:val="0"/>
                <w:numId w:val="4"/>
              </w:numPr>
              <w:spacing w:line="360" w:lineRule="auto"/>
              <w:jc w:val="left"/>
              <w:textAlignment w:val="center"/>
              <w:rPr>
                <w:rFonts w:ascii="宋体" w:hAnsi="宋体" w:cs="宋体"/>
                <w:sz w:val="24"/>
              </w:rPr>
            </w:pPr>
            <w:r>
              <w:rPr>
                <w:rFonts w:hint="eastAsia" w:ascii="宋体" w:hAnsi="宋体" w:cs="宋体"/>
                <w:sz w:val="24"/>
              </w:rPr>
              <w:t>淋巴亚群细胞检测；</w:t>
            </w:r>
          </w:p>
          <w:p>
            <w:pPr>
              <w:widowControl/>
              <w:numPr>
                <w:ilvl w:val="0"/>
                <w:numId w:val="4"/>
              </w:numPr>
              <w:spacing w:line="360" w:lineRule="auto"/>
              <w:jc w:val="left"/>
              <w:textAlignment w:val="center"/>
              <w:rPr>
                <w:rFonts w:ascii="宋体" w:hAnsi="宋体" w:cs="宋体"/>
                <w:sz w:val="24"/>
              </w:rPr>
            </w:pPr>
            <w:r>
              <w:rPr>
                <w:rFonts w:hint="eastAsia" w:ascii="宋体" w:hAnsi="宋体" w:cs="宋体"/>
                <w:sz w:val="24"/>
              </w:rPr>
              <w:t>分析细胞的DNA、RNA含量；5.调节性T细胞检测。</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二、主机技术指标</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*1.标准配置固态488nm激光器（激发3色）和640nm激光器（激发1色)；</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2.采用经典流体动力学聚焦原理设计和先进的固定光路设计，采用高灵敏度的光电倍增管（PMT）最为荧光检测器（非任何其他种类的探测器）；</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3.具有四个荧光模式分别为：533/30nm；585/40nm；＞670nm；675/25nm(APC、AlexaFluor647)；</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4.检测分辨率：CV＜3％；</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5.高精度后置蠕动泵上样设计，可进行进样体积测量，实现无需微球或计数管的绝对计数功能；</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6.数值化的数据解析度≥1500万道；</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7.采取负压上样模式，上样口开放，适合于瞬时动力学实验要求；兼容各品牌材质试管，EP管、0.5ml微量离心管、西丁瓶；</w:t>
            </w:r>
          </w:p>
          <w:p>
            <w:pPr>
              <w:widowControl/>
              <w:numPr>
                <w:ilvl w:val="0"/>
                <w:numId w:val="0"/>
              </w:numPr>
              <w:spacing w:line="360" w:lineRule="auto"/>
              <w:jc w:val="left"/>
              <w:textAlignment w:val="center"/>
              <w:rPr>
                <w:rFonts w:hint="eastAsia" w:ascii="宋体" w:hAnsi="宋体" w:cs="宋体"/>
                <w:sz w:val="24"/>
              </w:rPr>
            </w:pPr>
            <w:r>
              <w:rPr>
                <w:rFonts w:hint="eastAsia" w:ascii="宋体" w:hAnsi="宋体" w:cs="宋体"/>
                <w:sz w:val="24"/>
              </w:rPr>
              <w:t>8.上样速度多样：可预设（slow，medium，fast）上样速度，并可在10-100ul/s范围内连续可调，自由设定；</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9.根据实验需要利用随意放缩的zoom功能对窗内数据进行自由放缩，不遗漏任何实验细节；</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*10.数据采集动态范围：有24bit芯片收集107.2超高动态范围，实验操作中免调电压；</w:t>
            </w:r>
          </w:p>
          <w:p>
            <w:pPr>
              <w:widowControl/>
              <w:numPr>
                <w:ilvl w:val="0"/>
                <w:numId w:val="0"/>
              </w:numPr>
              <w:spacing w:line="360" w:lineRule="auto"/>
              <w:jc w:val="left"/>
              <w:textAlignment w:val="center"/>
              <w:rPr>
                <w:rFonts w:ascii="宋体" w:hAnsi="宋体" w:cs="宋体"/>
                <w:sz w:val="24"/>
              </w:rPr>
            </w:pPr>
            <w:r>
              <w:rPr>
                <w:rFonts w:hint="eastAsia" w:ascii="宋体" w:hAnsi="宋体" w:cs="宋体"/>
                <w:sz w:val="24"/>
              </w:rPr>
              <w:t>11</w:t>
            </w:r>
            <w:r>
              <w:rPr>
                <w:rFonts w:hint="eastAsia" w:ascii="宋体" w:hAnsi="宋体" w:cs="宋体"/>
                <w:sz w:val="24"/>
                <w:lang w:val="en-US" w:eastAsia="zh-CN"/>
              </w:rPr>
              <w:t>.</w:t>
            </w:r>
            <w:r>
              <w:rPr>
                <w:rFonts w:hint="eastAsia" w:ascii="宋体" w:hAnsi="宋体" w:cs="宋体"/>
                <w:sz w:val="24"/>
              </w:rPr>
              <w:t>液流系统：鞘液桶及废液桶容积2L，具备自动管路抽吸、清洗系统；</w:t>
            </w:r>
          </w:p>
          <w:p>
            <w:pPr>
              <w:widowControl/>
              <w:spacing w:line="360" w:lineRule="auto"/>
              <w:jc w:val="left"/>
              <w:textAlignment w:val="center"/>
              <w:rPr>
                <w:rFonts w:ascii="宋体" w:hAnsi="宋体" w:cs="宋体"/>
                <w:sz w:val="24"/>
              </w:rPr>
            </w:pPr>
            <w:r>
              <w:rPr>
                <w:rFonts w:hint="eastAsia" w:ascii="宋体" w:hAnsi="宋体" w:cs="宋体"/>
                <w:sz w:val="24"/>
              </w:rPr>
              <w:t>12.具有细胞制备功能，采用三维运动模式，可对组织样品进行处理，能效处理1-6个样品，每个样品可独立处理，处理时间1-9990S，制备模块可独立供电运行，也可同工作站连接；</w:t>
            </w:r>
          </w:p>
          <w:p>
            <w:pPr>
              <w:widowControl/>
              <w:spacing w:line="360" w:lineRule="auto"/>
              <w:jc w:val="left"/>
              <w:textAlignment w:val="center"/>
              <w:rPr>
                <w:rFonts w:ascii="宋体" w:hAnsi="宋体" w:cs="宋体"/>
                <w:sz w:val="24"/>
                <w:highlight w:val="yellow"/>
              </w:rPr>
            </w:pPr>
            <w:r>
              <w:rPr>
                <w:rFonts w:hint="eastAsia" w:ascii="宋体" w:hAnsi="宋体" w:cs="宋体"/>
                <w:sz w:val="24"/>
              </w:rPr>
              <w:t>*13.细胞制备模块装置采用原装ibidi脉冲式马达驱动发生系统，性能稳定；</w:t>
            </w:r>
          </w:p>
          <w:p>
            <w:pPr>
              <w:widowControl/>
              <w:spacing w:line="360" w:lineRule="auto"/>
              <w:jc w:val="left"/>
              <w:textAlignment w:val="center"/>
              <w:rPr>
                <w:rFonts w:ascii="宋体" w:hAnsi="宋体" w:cs="宋体"/>
                <w:sz w:val="24"/>
              </w:rPr>
            </w:pPr>
            <w:r>
              <w:rPr>
                <w:rFonts w:hint="eastAsia" w:ascii="宋体" w:hAnsi="宋体" w:cs="宋体"/>
                <w:sz w:val="24"/>
              </w:rPr>
              <w:t>*14.组织细胞制备模块尺寸：210*140*150；</w:t>
            </w:r>
          </w:p>
          <w:p>
            <w:pPr>
              <w:widowControl/>
              <w:spacing w:line="360" w:lineRule="auto"/>
              <w:jc w:val="left"/>
              <w:textAlignment w:val="center"/>
            </w:pPr>
            <w:r>
              <w:rPr>
                <w:rFonts w:hint="eastAsia" w:ascii="宋体" w:hAnsi="宋体" w:cs="宋体"/>
                <w:sz w:val="24"/>
              </w:rPr>
              <w:t>15.配置流式细胞处理工作站一套</w:t>
            </w:r>
            <w:r>
              <w:rPr>
                <w:rFonts w:hint="eastAsia" w:ascii="宋体" w:hAnsi="宋体" w:cs="宋体"/>
                <w:sz w:val="24"/>
                <w:lang w:eastAsia="zh-CN"/>
              </w:rPr>
              <w:t>：</w:t>
            </w:r>
            <w:r>
              <w:rPr>
                <w:rFonts w:hint="eastAsia" w:ascii="宋体" w:hAnsi="宋体" w:cs="宋体"/>
                <w:sz w:val="24"/>
              </w:rPr>
              <w:t>CPU</w:t>
            </w:r>
            <w:r>
              <w:rPr>
                <w:rFonts w:ascii="宋体" w:hAnsi="宋体" w:cs="宋体"/>
                <w:sz w:val="24"/>
              </w:rPr>
              <w:t>(</w:t>
            </w:r>
            <w:r>
              <w:rPr>
                <w:rFonts w:hint="eastAsia" w:ascii="宋体" w:hAnsi="宋体" w:cs="宋体"/>
                <w:sz w:val="24"/>
                <w:lang w:eastAsia="zh-CN"/>
              </w:rPr>
              <w:t>不低于</w:t>
            </w:r>
            <w:r>
              <w:rPr>
                <w:rFonts w:hint="eastAsia" w:ascii="宋体" w:hAnsi="宋体" w:cs="宋体"/>
                <w:sz w:val="24"/>
              </w:rPr>
              <w:t>I5 13代)</w:t>
            </w:r>
            <w:r>
              <w:rPr>
                <w:rFonts w:ascii="宋体" w:hAnsi="宋体" w:cs="宋体"/>
                <w:sz w:val="24"/>
              </w:rPr>
              <w:t>,</w:t>
            </w:r>
            <w:r>
              <w:rPr>
                <w:rFonts w:hint="eastAsia" w:ascii="宋体" w:hAnsi="宋体" w:cs="宋体"/>
                <w:sz w:val="24"/>
              </w:rPr>
              <w:t>硬盘(512G SSD+1T 机械硬盘)内存(16G</w:t>
            </w:r>
            <w:r>
              <w:rPr>
                <w:rFonts w:ascii="宋体" w:hAnsi="宋体" w:cs="宋体"/>
                <w:sz w:val="24"/>
              </w:rPr>
              <w:t>)</w:t>
            </w:r>
            <w:r>
              <w:rPr>
                <w:rFonts w:hint="eastAsia" w:ascii="宋体" w:hAnsi="宋体" w:cs="宋体"/>
                <w:sz w:val="24"/>
              </w:rPr>
              <w:t>显示器(27英寸)。</w:t>
            </w:r>
          </w:p>
        </w:tc>
        <w:tc>
          <w:tcPr>
            <w:tcW w:w="1020"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1台</w:t>
            </w:r>
          </w:p>
        </w:tc>
      </w:tr>
    </w:tbl>
    <w:p>
      <w:pPr>
        <w:rPr>
          <w:lang w:val="zh-CN"/>
        </w:rPr>
      </w:pPr>
      <w:r>
        <w:rPr>
          <w:rFonts w:hint="eastAsia" w:ascii="宋体" w:hAnsi="宋体"/>
          <w:kern w:val="0"/>
          <w:sz w:val="24"/>
        </w:rPr>
        <w:br w:type="page"/>
      </w:r>
    </w:p>
    <w:p>
      <w:pPr>
        <w:pStyle w:val="2"/>
        <w:spacing w:before="0" w:after="0" w:line="360" w:lineRule="auto"/>
        <w:ind w:firstLine="482" w:firstLineChars="200"/>
        <w:jc w:val="center"/>
        <w:rPr>
          <w:rFonts w:ascii="宋体" w:hAnsi="宋体"/>
          <w:caps w:val="0"/>
          <w:kern w:val="0"/>
          <w:sz w:val="24"/>
        </w:rPr>
      </w:pPr>
      <w:r>
        <w:rPr>
          <w:rFonts w:hint="eastAsia" w:ascii="宋体" w:hAnsi="宋体"/>
          <w:caps w:val="0"/>
          <w:kern w:val="0"/>
          <w:sz w:val="24"/>
        </w:rPr>
        <w:t>第三包：</w:t>
      </w:r>
    </w:p>
    <w:tbl>
      <w:tblPr>
        <w:tblStyle w:val="5"/>
        <w:tblW w:w="9439" w:type="dxa"/>
        <w:tblInd w:w="91" w:type="dxa"/>
        <w:tblLayout w:type="fixed"/>
        <w:tblCellMar>
          <w:top w:w="0" w:type="dxa"/>
          <w:left w:w="108" w:type="dxa"/>
          <w:bottom w:w="0" w:type="dxa"/>
          <w:right w:w="108" w:type="dxa"/>
        </w:tblCellMar>
      </w:tblPr>
      <w:tblGrid>
        <w:gridCol w:w="1281"/>
        <w:gridCol w:w="1510"/>
        <w:gridCol w:w="5645"/>
        <w:gridCol w:w="1003"/>
      </w:tblGrid>
      <w:tr>
        <w:trPr>
          <w:trHeight w:val="303" w:hRule="atLeast"/>
        </w:trPr>
        <w:tc>
          <w:tcPr>
            <w:tcW w:w="1281"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Style w:val="7"/>
                <w:rFonts w:hint="default"/>
                <w:b w:val="0"/>
                <w:bCs w:val="0"/>
                <w:color w:val="auto"/>
                <w:sz w:val="24"/>
                <w:szCs w:val="24"/>
              </w:rPr>
            </w:pPr>
            <w:r>
              <w:rPr>
                <w:rStyle w:val="7"/>
                <w:rFonts w:hint="default"/>
                <w:b w:val="0"/>
                <w:bCs w:val="0"/>
                <w:color w:val="auto"/>
                <w:sz w:val="24"/>
                <w:szCs w:val="24"/>
              </w:rPr>
              <w:t>序号</w:t>
            </w:r>
          </w:p>
        </w:tc>
        <w:tc>
          <w:tcPr>
            <w:tcW w:w="1510"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Style w:val="7"/>
                <w:rFonts w:hint="default"/>
                <w:b w:val="0"/>
                <w:bCs w:val="0"/>
                <w:color w:val="auto"/>
                <w:sz w:val="24"/>
                <w:szCs w:val="24"/>
              </w:rPr>
              <w:t>设备名称</w:t>
            </w:r>
          </w:p>
        </w:tc>
        <w:tc>
          <w:tcPr>
            <w:tcW w:w="5645"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技术需求</w:t>
            </w:r>
          </w:p>
        </w:tc>
        <w:tc>
          <w:tcPr>
            <w:tcW w:w="1003"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kern w:val="0"/>
                <w:sz w:val="24"/>
              </w:rPr>
            </w:pPr>
            <w:r>
              <w:rPr>
                <w:rFonts w:hint="eastAsia" w:ascii="宋体" w:hAnsi="宋体" w:cs="宋体"/>
                <w:kern w:val="0"/>
                <w:sz w:val="24"/>
              </w:rPr>
              <w:t>数量</w:t>
            </w:r>
          </w:p>
        </w:tc>
      </w:tr>
      <w:tr>
        <w:tblPrEx>
          <w:tblCellMar>
            <w:top w:w="0" w:type="dxa"/>
            <w:left w:w="108" w:type="dxa"/>
            <w:bottom w:w="0" w:type="dxa"/>
            <w:right w:w="108" w:type="dxa"/>
          </w:tblCellMar>
        </w:tblPrEx>
        <w:trPr>
          <w:trHeight w:val="1233" w:hRule="atLeast"/>
        </w:trPr>
        <w:tc>
          <w:tcPr>
            <w:tcW w:w="1281"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c>
          <w:tcPr>
            <w:tcW w:w="1510"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波导法高温加热装置</w:t>
            </w:r>
          </w:p>
        </w:tc>
        <w:tc>
          <w:tcPr>
            <w:tcW w:w="5645"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1.工作温度：1350℃；</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2.升温速率：0-15℃/min，热电偶控温精度±1℃；</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3.炉膛有效尺寸：≥250（深）×100（宽）×100（高）mm；</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4.控制器与炉体一体式；</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5.采用B型双铂铑热电偶测温控温；</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6.双层气幕炉壳，1350℃保温1小时，炉壁表面温升小于50℃；</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7.采用温度可编程序控制器，升温曲线、升温段可根据使用需求自行设定，高亮度显示，通过切换可显示设定温度、负载电流及剩余时间；</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8.控温采用智能模糊控制方式，具有极强的自适应功能，使控制过程平稳可靠，确保了高精度控制的实现；人工智能PID测控，可实现自动升温、保温、超温报警等功能；</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9.使用气氛为氧化气氛；</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10.发热体炉膛最高温度可达1400℃；</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11.具有限流、短路及断偶保护功能；</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12.高温内衬采用高温氧化铝纤维制品，最高使用温度高达1700℃，容重为400kg/m3，氧化铝含量为≥95%；</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13.保温层采用国产1500/350型莫来石晶体纤维，长期使用温度1400℃，容重为350kg/m3，氧化铝含量为80%以上；</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14.最外层采用绝热材料，体密为250kg/m3；</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15.炉膛采用积木拼接结构，接缝流畅、搭接合理。不漏火，高温热量不流失；</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16.高温波导放置在特殊的D型耐高温管内，管的底部平整，方便波导的放入和取出；</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17.加热炉两端采用不锈钢冷却管，智能冷水机保持冷却水恒定在30度以下，确保测量装备的工作安全和稳定；</w:t>
            </w:r>
          </w:p>
          <w:p>
            <w:pPr>
              <w:widowControl/>
              <w:spacing w:line="360" w:lineRule="auto"/>
              <w:jc w:val="left"/>
              <w:textAlignment w:val="center"/>
              <w:rPr>
                <w:rFonts w:ascii="宋体" w:hAnsi="宋体" w:cs="宋体"/>
                <w:sz w:val="24"/>
              </w:rPr>
            </w:pPr>
            <w:r>
              <w:rPr>
                <w:rFonts w:hint="eastAsia" w:ascii="宋体" w:hAnsi="宋体" w:cs="宋体"/>
                <w:sz w:val="24"/>
              </w:rPr>
              <w:t>18.D型高温载样管两端开口，方便放置波导和校准样块。耐高温性能优异，在1500度环境中不易变形。</w:t>
            </w:r>
          </w:p>
        </w:tc>
        <w:tc>
          <w:tcPr>
            <w:tcW w:w="1003"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1台</w:t>
            </w:r>
          </w:p>
        </w:tc>
      </w:tr>
    </w:tbl>
    <w:p>
      <w:pPr>
        <w:rPr>
          <w:rFonts w:hint="eastAsia" w:ascii="宋体" w:hAnsi="宋体"/>
          <w:caps w:val="0"/>
          <w:kern w:val="0"/>
          <w:sz w:val="24"/>
        </w:rPr>
      </w:pPr>
      <w:r>
        <w:rPr>
          <w:rFonts w:hint="eastAsia" w:ascii="宋体" w:hAnsi="宋体"/>
          <w:caps w:val="0"/>
          <w:kern w:val="0"/>
          <w:sz w:val="24"/>
        </w:rPr>
        <w:br w:type="page"/>
      </w:r>
    </w:p>
    <w:p>
      <w:pPr>
        <w:pStyle w:val="2"/>
        <w:spacing w:before="0" w:after="0" w:line="360" w:lineRule="auto"/>
        <w:ind w:firstLine="482" w:firstLineChars="200"/>
        <w:jc w:val="center"/>
        <w:rPr>
          <w:rFonts w:ascii="宋体" w:hAnsi="宋体"/>
          <w:caps w:val="0"/>
          <w:kern w:val="0"/>
          <w:sz w:val="24"/>
        </w:rPr>
      </w:pPr>
      <w:r>
        <w:rPr>
          <w:rFonts w:hint="eastAsia" w:ascii="宋体" w:hAnsi="宋体"/>
          <w:caps w:val="0"/>
          <w:kern w:val="0"/>
          <w:sz w:val="24"/>
        </w:rPr>
        <w:t>第四包：</w:t>
      </w:r>
    </w:p>
    <w:tbl>
      <w:tblPr>
        <w:tblStyle w:val="5"/>
        <w:tblW w:w="9178" w:type="dxa"/>
        <w:tblInd w:w="91" w:type="dxa"/>
        <w:tblLayout w:type="fixed"/>
        <w:tblCellMar>
          <w:top w:w="0" w:type="dxa"/>
          <w:left w:w="108" w:type="dxa"/>
          <w:bottom w:w="0" w:type="dxa"/>
          <w:right w:w="108" w:type="dxa"/>
        </w:tblCellMar>
      </w:tblPr>
      <w:tblGrid>
        <w:gridCol w:w="1245"/>
        <w:gridCol w:w="1468"/>
        <w:gridCol w:w="5490"/>
        <w:gridCol w:w="975"/>
      </w:tblGrid>
      <w:tr>
        <w:tblPrEx>
          <w:tblCellMar>
            <w:top w:w="0" w:type="dxa"/>
            <w:left w:w="108" w:type="dxa"/>
            <w:bottom w:w="0" w:type="dxa"/>
            <w:right w:w="108" w:type="dxa"/>
          </w:tblCellMar>
        </w:tblPrEx>
        <w:trPr>
          <w:trHeight w:val="434" w:hRule="atLeast"/>
        </w:trPr>
        <w:tc>
          <w:tcPr>
            <w:tcW w:w="1245"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Style w:val="7"/>
                <w:rFonts w:hint="default"/>
                <w:b w:val="0"/>
                <w:bCs w:val="0"/>
                <w:color w:val="auto"/>
                <w:sz w:val="24"/>
                <w:szCs w:val="24"/>
              </w:rPr>
            </w:pPr>
            <w:r>
              <w:rPr>
                <w:rStyle w:val="7"/>
                <w:rFonts w:hint="default"/>
                <w:b w:val="0"/>
                <w:bCs w:val="0"/>
                <w:color w:val="auto"/>
                <w:sz w:val="24"/>
                <w:szCs w:val="24"/>
              </w:rPr>
              <w:t>序号</w:t>
            </w:r>
          </w:p>
        </w:tc>
        <w:tc>
          <w:tcPr>
            <w:tcW w:w="1468"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Style w:val="7"/>
                <w:rFonts w:hint="default"/>
                <w:b w:val="0"/>
                <w:bCs w:val="0"/>
                <w:color w:val="auto"/>
                <w:sz w:val="24"/>
                <w:szCs w:val="24"/>
              </w:rPr>
              <w:t>设备名称</w:t>
            </w:r>
          </w:p>
        </w:tc>
        <w:tc>
          <w:tcPr>
            <w:tcW w:w="5490"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技术需求</w:t>
            </w:r>
          </w:p>
        </w:tc>
        <w:tc>
          <w:tcPr>
            <w:tcW w:w="975"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kern w:val="0"/>
                <w:sz w:val="24"/>
              </w:rPr>
            </w:pPr>
            <w:r>
              <w:rPr>
                <w:rFonts w:hint="eastAsia" w:ascii="宋体" w:hAnsi="宋体" w:cs="宋体"/>
                <w:kern w:val="0"/>
                <w:sz w:val="24"/>
              </w:rPr>
              <w:t>数量</w:t>
            </w:r>
          </w:p>
        </w:tc>
      </w:tr>
      <w:tr>
        <w:tblPrEx>
          <w:tblCellMar>
            <w:top w:w="0" w:type="dxa"/>
            <w:left w:w="108" w:type="dxa"/>
            <w:bottom w:w="0" w:type="dxa"/>
            <w:right w:w="108" w:type="dxa"/>
          </w:tblCellMar>
        </w:tblPrEx>
        <w:trPr>
          <w:trHeight w:val="9661" w:hRule="atLeast"/>
        </w:trPr>
        <w:tc>
          <w:tcPr>
            <w:tcW w:w="1245"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c>
          <w:tcPr>
            <w:tcW w:w="1468"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全自动海水自动稀释及预浓缩系统</w:t>
            </w:r>
          </w:p>
        </w:tc>
        <w:tc>
          <w:tcPr>
            <w:tcW w:w="5490"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1.联机方式：可选择离线（脱离质谱）、在线（与质谱联机）两种方式，方便移动可与多种质谱型号适配；</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2.样品体积消耗：可自定义不同体积的样品进行分析，定量环替换包（默认配置）0.3、0.5、1、1.5、2、2.5、3、4、10ml；</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3.富集倍数：</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（1）离线使用时，可自定义样品富集倍数，自由进行1-1000倍（或更高倍数）的样品富集，富集倍数切换方式简单快捷；</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（2）在线使用时，富集倍数默认15倍（参数可编辑）；</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4.在线稀释：对于浓度较高（不需要富集）的海水样品可选择在线稀释，以降低直接进样的基体效应影响，默认可选稀释倍数2、5、10倍（可自行编辑稀释倍数）；</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5.全自动处理、清洗：全过程自动化处理样品，自动清洗取样针、定量环、树脂等，傻瓜式操作简单易上手；</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6.流程空白控制：</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（1）整机塑料材质（无金属暴露），与样品接触的管阀为高品控PFA材质以保证仪器本底；</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（2）设计有双流路溢出式清洗台、管/阀/树脂等自清洗流程，避免样与样之间的交叉污染；</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（3）前处理台磁吸封闭设计，可选配正压风淋系统，为敞开的珍贵痕量样品提供洁净度等级更高的前处理环境（即使整机放在非洁净环境下也能处理ppt级的、极易沾污的Fe/Cu/Zn等痕量元素样品）；</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（4）采用pre-clean树脂；</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（5）过渡金属元素全流程空白＜2ppt（包括Fe/Cu/Zn等易沾污元素）；</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7.检出限：易沾污元素（如：Fe/Cu/Zn等）检出限（n=11，3SD）低至ppq级；</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8.注射器推送精准度控制：可精准进行0，0.1，0.2，0.5，0.75，1，1.2ppt的自动加标，标线R2&amp;gt：≥0.999（以Co为例，每个点2个平行样）；</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9.灵活升级：功能模块化，可根据需要升级硬件，以实现更智能的自动配标准曲线、自动海水基体匹配等功能；</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10.适用样品类型及应用场景：</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（1）适用于河水、河口水、近岸海水、大洋海水、开阔大洋海水等各类盐度0-35‰的自然水体；</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（2）普通实验室环境下即可处理ppq级别不易沾污的稀土元素海水样品、ppt级别易沾污的过渡金属元素；</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（3）适用于分析国际公认的最具挑战的北太平洋次表层海水中的痕量易沾污元素；</w:t>
            </w:r>
          </w:p>
          <w:p>
            <w:pPr>
              <w:widowControl/>
              <w:spacing w:line="360" w:lineRule="auto"/>
              <w:jc w:val="left"/>
              <w:textAlignment w:val="center"/>
              <w:rPr>
                <w:rFonts w:ascii="宋体" w:hAnsi="宋体" w:cs="宋体"/>
                <w:sz w:val="24"/>
              </w:rPr>
            </w:pPr>
            <w:r>
              <w:rPr>
                <w:rFonts w:hint="eastAsia" w:ascii="宋体" w:hAnsi="宋体" w:cs="宋体"/>
                <w:sz w:val="24"/>
              </w:rPr>
              <w:t>11.方法开放型：可自行深入学习仪器语言命令，并进行自定义方法参数编辑，如：可自由编辑离线、在线方法的富集体积、洗脱体积、试剂/样品推送速度等。</w:t>
            </w:r>
          </w:p>
        </w:tc>
        <w:tc>
          <w:tcPr>
            <w:tcW w:w="975"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1台</w:t>
            </w:r>
          </w:p>
        </w:tc>
      </w:tr>
    </w:tbl>
    <w:p>
      <w:pPr>
        <w:rPr>
          <w:rFonts w:ascii="宋体" w:hAnsi="宋体"/>
          <w:kern w:val="0"/>
          <w:sz w:val="24"/>
        </w:rPr>
      </w:pPr>
      <w:r>
        <w:rPr>
          <w:rFonts w:hint="eastAsia" w:ascii="宋体" w:hAnsi="宋体"/>
          <w:kern w:val="0"/>
          <w:sz w:val="24"/>
        </w:rPr>
        <w:br w:type="page"/>
      </w:r>
    </w:p>
    <w:p>
      <w:pPr>
        <w:pStyle w:val="2"/>
        <w:spacing w:before="0" w:after="0" w:line="360" w:lineRule="auto"/>
        <w:ind w:firstLine="482" w:firstLineChars="200"/>
        <w:jc w:val="center"/>
        <w:rPr>
          <w:rFonts w:ascii="宋体" w:hAnsi="宋体"/>
          <w:caps w:val="0"/>
          <w:kern w:val="0"/>
          <w:sz w:val="24"/>
        </w:rPr>
      </w:pPr>
      <w:r>
        <w:rPr>
          <w:rFonts w:hint="eastAsia" w:ascii="宋体" w:hAnsi="宋体"/>
          <w:caps w:val="0"/>
          <w:kern w:val="0"/>
          <w:sz w:val="24"/>
        </w:rPr>
        <w:t>第五包：</w:t>
      </w:r>
    </w:p>
    <w:tbl>
      <w:tblPr>
        <w:tblStyle w:val="5"/>
        <w:tblW w:w="9278" w:type="dxa"/>
        <w:tblInd w:w="91" w:type="dxa"/>
        <w:tblLayout w:type="fixed"/>
        <w:tblCellMar>
          <w:top w:w="0" w:type="dxa"/>
          <w:left w:w="108" w:type="dxa"/>
          <w:bottom w:w="0" w:type="dxa"/>
          <w:right w:w="108" w:type="dxa"/>
        </w:tblCellMar>
      </w:tblPr>
      <w:tblGrid>
        <w:gridCol w:w="1259"/>
        <w:gridCol w:w="1484"/>
        <w:gridCol w:w="5549"/>
        <w:gridCol w:w="986"/>
      </w:tblGrid>
      <w:tr>
        <w:tblPrEx>
          <w:tblCellMar>
            <w:top w:w="0" w:type="dxa"/>
            <w:left w:w="108" w:type="dxa"/>
            <w:bottom w:w="0" w:type="dxa"/>
            <w:right w:w="108" w:type="dxa"/>
          </w:tblCellMar>
        </w:tblPrEx>
        <w:trPr>
          <w:trHeight w:val="380" w:hRule="atLeast"/>
        </w:trPr>
        <w:tc>
          <w:tcPr>
            <w:tcW w:w="1259"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Style w:val="7"/>
                <w:rFonts w:hint="default"/>
                <w:b w:val="0"/>
                <w:bCs w:val="0"/>
                <w:color w:val="auto"/>
                <w:sz w:val="24"/>
                <w:szCs w:val="24"/>
              </w:rPr>
            </w:pPr>
            <w:r>
              <w:rPr>
                <w:rStyle w:val="7"/>
                <w:rFonts w:hint="default"/>
                <w:b w:val="0"/>
                <w:bCs w:val="0"/>
                <w:color w:val="auto"/>
                <w:sz w:val="24"/>
                <w:szCs w:val="24"/>
              </w:rPr>
              <w:t>序号</w:t>
            </w:r>
          </w:p>
        </w:tc>
        <w:tc>
          <w:tcPr>
            <w:tcW w:w="1484"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Style w:val="7"/>
                <w:rFonts w:hint="default"/>
                <w:b w:val="0"/>
                <w:bCs w:val="0"/>
                <w:color w:val="auto"/>
                <w:sz w:val="24"/>
                <w:szCs w:val="24"/>
              </w:rPr>
              <w:t>设备名称</w:t>
            </w:r>
          </w:p>
        </w:tc>
        <w:tc>
          <w:tcPr>
            <w:tcW w:w="5549"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技术需求</w:t>
            </w:r>
          </w:p>
        </w:tc>
        <w:tc>
          <w:tcPr>
            <w:tcW w:w="986"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kern w:val="0"/>
                <w:sz w:val="24"/>
              </w:rPr>
            </w:pPr>
            <w:r>
              <w:rPr>
                <w:rFonts w:hint="eastAsia" w:ascii="宋体" w:hAnsi="宋体" w:cs="宋体"/>
                <w:kern w:val="0"/>
                <w:sz w:val="24"/>
              </w:rPr>
              <w:t>数量</w:t>
            </w:r>
          </w:p>
        </w:tc>
      </w:tr>
      <w:tr>
        <w:tblPrEx>
          <w:tblCellMar>
            <w:top w:w="0" w:type="dxa"/>
            <w:left w:w="108" w:type="dxa"/>
            <w:bottom w:w="0" w:type="dxa"/>
            <w:right w:w="108" w:type="dxa"/>
          </w:tblCellMar>
        </w:tblPrEx>
        <w:trPr>
          <w:trHeight w:val="5713" w:hRule="atLeast"/>
        </w:trPr>
        <w:tc>
          <w:tcPr>
            <w:tcW w:w="1259"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c>
          <w:tcPr>
            <w:tcW w:w="1484"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多参数水质分析仪</w:t>
            </w:r>
          </w:p>
        </w:tc>
        <w:tc>
          <w:tcPr>
            <w:tcW w:w="5549"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1.主机技术指标：</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（1）可同时测量水体的电导率（盐度）、温度、压力（深度）、CDOM（fDOM）、叶绿素、溶解氧、PAR、浊度等水质参数；</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（2）供电：内置AA型电池，电池类型：锂电池或碱性电池均可；</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（3）通讯：USB-C、RS-232，能实时输出数据；配水下电缆≥2m；</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（4）时钟漂移：不大于±60秒/年；</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（5）耐压深度：不低于200m；</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（6）采样率：2Hz~24h可调节。</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2.电导率指标：</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（1）测量范围：不小于0-85mS/cm；</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（2）精度：≤±0.003 mS/cm；分辨率：≤0.001mS/cm。</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3.温度指标：</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（1）范围：不小于-5°C~35°C；</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（2）精度：≤±0.002°C；分辨率：≤0.00005°C；</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（3）响应时间：≤1s。</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4.深度（压力）指标：</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（1）测量范围：≥200m；</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（2）精度：≤±0.05%FS；分辨率：≤0.001%FS；</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（3）时间常数：＜0.01s。</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5.CDOM (fDOM)指标：</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（1）测量范围：≥300ppb；</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（2）最低检测限：≤0.1ppb。</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6.叶绿素指标：</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（1）最低检测限：≤0.03μg/L；</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（2）测量范围：≥250ug/L。</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7.溶解氧指标：</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（1）浓度校准范围：0-500μM；饱和度校准范围：0-120%；</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（2）精度：≤±8μM（饱和度±5%）；分辨率：≤1μM（饱和度0.4%）；</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（3）时间常数：≤8s。</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8.PAR指标：</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（1）测量范围：不小于0-5000μmol/m2/s；</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（2）波长范围：400-700nm；</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（3）分辨率：≤±0.010μmol/m2/s。</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9.浊度指标：</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（1）测量范围：不小于0-500NTU/FTU；</w:t>
            </w:r>
          </w:p>
          <w:p>
            <w:pPr>
              <w:widowControl/>
              <w:spacing w:line="360" w:lineRule="auto"/>
              <w:jc w:val="left"/>
              <w:textAlignment w:val="center"/>
              <w:rPr>
                <w:rFonts w:hint="eastAsia" w:ascii="宋体" w:hAnsi="宋体" w:eastAsia="宋体" w:cs="宋体"/>
                <w:sz w:val="24"/>
                <w:lang w:eastAsia="zh-CN"/>
              </w:rPr>
            </w:pPr>
            <w:r>
              <w:rPr>
                <w:rFonts w:hint="eastAsia" w:ascii="宋体" w:hAnsi="宋体" w:cs="宋体"/>
                <w:sz w:val="24"/>
              </w:rPr>
              <w:t>（2）波长：≥700nm。</w:t>
            </w:r>
          </w:p>
          <w:p>
            <w:pPr>
              <w:widowControl/>
              <w:spacing w:line="360" w:lineRule="auto"/>
              <w:jc w:val="left"/>
              <w:textAlignment w:val="center"/>
              <w:rPr>
                <w:rFonts w:ascii="宋体" w:hAnsi="宋体" w:cs="宋体"/>
                <w:sz w:val="24"/>
              </w:rPr>
            </w:pPr>
            <w:r>
              <w:rPr>
                <w:rFonts w:hint="eastAsia" w:ascii="宋体" w:hAnsi="宋体" w:cs="宋体"/>
                <w:sz w:val="24"/>
              </w:rPr>
              <w:t>10.软件要求：适用于Windows10或更高版本的系统，可对仪器进行设置。可将数据输出为Excel、Ocean Data View以及</w:t>
            </w:r>
            <w:r>
              <w:rPr>
                <w:rFonts w:hint="eastAsia" w:ascii="宋体" w:hAnsi="宋体" w:cs="宋体"/>
                <w:sz w:val="24"/>
                <w:lang w:eastAsia="zh-CN"/>
              </w:rPr>
              <w:t>Txt</w:t>
            </w:r>
            <w:r>
              <w:rPr>
                <w:rFonts w:hint="eastAsia" w:ascii="宋体" w:hAnsi="宋体" w:cs="宋体"/>
                <w:sz w:val="24"/>
              </w:rPr>
              <w:t>等格式。</w:t>
            </w:r>
          </w:p>
        </w:tc>
        <w:tc>
          <w:tcPr>
            <w:tcW w:w="986"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1台</w:t>
            </w:r>
          </w:p>
        </w:tc>
      </w:tr>
    </w:tbl>
    <w:p>
      <w:pPr>
        <w:rPr>
          <w:rFonts w:hint="eastAsia" w:ascii="宋体" w:hAnsi="宋体"/>
          <w:caps w:val="0"/>
          <w:kern w:val="0"/>
          <w:sz w:val="24"/>
        </w:rPr>
      </w:pPr>
      <w:r>
        <w:rPr>
          <w:rFonts w:hint="eastAsia" w:ascii="宋体" w:hAnsi="宋体"/>
          <w:caps w:val="0"/>
          <w:kern w:val="0"/>
          <w:sz w:val="24"/>
        </w:rPr>
        <w:br w:type="page"/>
      </w:r>
    </w:p>
    <w:p>
      <w:pPr>
        <w:pStyle w:val="2"/>
        <w:spacing w:before="0" w:after="0" w:line="360" w:lineRule="auto"/>
        <w:ind w:firstLine="482" w:firstLineChars="200"/>
        <w:jc w:val="center"/>
        <w:rPr>
          <w:rFonts w:ascii="宋体" w:hAnsi="宋体"/>
          <w:caps w:val="0"/>
          <w:kern w:val="0"/>
          <w:sz w:val="24"/>
        </w:rPr>
      </w:pPr>
      <w:r>
        <w:rPr>
          <w:rFonts w:hint="eastAsia" w:ascii="宋体" w:hAnsi="宋体"/>
          <w:caps w:val="0"/>
          <w:kern w:val="0"/>
          <w:sz w:val="24"/>
        </w:rPr>
        <w:t>第</w:t>
      </w:r>
      <w:r>
        <w:rPr>
          <w:rFonts w:hint="eastAsia" w:ascii="宋体" w:hAnsi="宋体"/>
          <w:caps w:val="0"/>
          <w:kern w:val="0"/>
          <w:sz w:val="24"/>
          <w:lang w:val="en-US" w:eastAsia="zh-CN"/>
        </w:rPr>
        <w:t>六</w:t>
      </w:r>
      <w:r>
        <w:rPr>
          <w:rFonts w:hint="eastAsia" w:ascii="宋体" w:hAnsi="宋体"/>
          <w:caps w:val="0"/>
          <w:kern w:val="0"/>
          <w:sz w:val="24"/>
        </w:rPr>
        <w:t>包：</w:t>
      </w:r>
    </w:p>
    <w:tbl>
      <w:tblPr>
        <w:tblStyle w:val="5"/>
        <w:tblW w:w="9139" w:type="dxa"/>
        <w:tblInd w:w="91" w:type="dxa"/>
        <w:tblLayout w:type="fixed"/>
        <w:tblCellMar>
          <w:top w:w="0" w:type="dxa"/>
          <w:left w:w="108" w:type="dxa"/>
          <w:bottom w:w="0" w:type="dxa"/>
          <w:right w:w="108" w:type="dxa"/>
        </w:tblCellMar>
      </w:tblPr>
      <w:tblGrid>
        <w:gridCol w:w="1240"/>
        <w:gridCol w:w="1462"/>
        <w:gridCol w:w="5466"/>
        <w:gridCol w:w="971"/>
      </w:tblGrid>
      <w:tr>
        <w:tblPrEx>
          <w:tblCellMar>
            <w:top w:w="0" w:type="dxa"/>
            <w:left w:w="108" w:type="dxa"/>
            <w:bottom w:w="0" w:type="dxa"/>
            <w:right w:w="108" w:type="dxa"/>
          </w:tblCellMar>
        </w:tblPrEx>
        <w:trPr>
          <w:trHeight w:val="398" w:hRule="atLeast"/>
        </w:trPr>
        <w:tc>
          <w:tcPr>
            <w:tcW w:w="1240"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Style w:val="7"/>
                <w:rFonts w:hint="default"/>
                <w:b w:val="0"/>
                <w:bCs w:val="0"/>
                <w:color w:val="auto"/>
                <w:sz w:val="24"/>
                <w:szCs w:val="24"/>
              </w:rPr>
            </w:pPr>
            <w:r>
              <w:rPr>
                <w:rStyle w:val="7"/>
                <w:rFonts w:hint="default"/>
                <w:b w:val="0"/>
                <w:bCs w:val="0"/>
                <w:color w:val="auto"/>
                <w:sz w:val="24"/>
                <w:szCs w:val="24"/>
              </w:rPr>
              <w:t>序号</w:t>
            </w:r>
          </w:p>
        </w:tc>
        <w:tc>
          <w:tcPr>
            <w:tcW w:w="1462"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Style w:val="7"/>
                <w:rFonts w:hint="default"/>
                <w:b w:val="0"/>
                <w:bCs w:val="0"/>
                <w:color w:val="auto"/>
                <w:sz w:val="24"/>
                <w:szCs w:val="24"/>
              </w:rPr>
              <w:t>设备名称</w:t>
            </w:r>
          </w:p>
        </w:tc>
        <w:tc>
          <w:tcPr>
            <w:tcW w:w="5466"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技术需求</w:t>
            </w:r>
          </w:p>
        </w:tc>
        <w:tc>
          <w:tcPr>
            <w:tcW w:w="971"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kern w:val="0"/>
                <w:sz w:val="24"/>
              </w:rPr>
            </w:pPr>
            <w:r>
              <w:rPr>
                <w:rFonts w:hint="eastAsia" w:ascii="宋体" w:hAnsi="宋体" w:cs="宋体"/>
                <w:kern w:val="0"/>
                <w:sz w:val="24"/>
              </w:rPr>
              <w:t>数量</w:t>
            </w:r>
          </w:p>
        </w:tc>
      </w:tr>
      <w:tr>
        <w:tblPrEx>
          <w:tblCellMar>
            <w:top w:w="0" w:type="dxa"/>
            <w:left w:w="108" w:type="dxa"/>
            <w:bottom w:w="0" w:type="dxa"/>
            <w:right w:w="108" w:type="dxa"/>
          </w:tblCellMar>
        </w:tblPrEx>
        <w:trPr>
          <w:trHeight w:val="3347" w:hRule="atLeast"/>
        </w:trPr>
        <w:tc>
          <w:tcPr>
            <w:tcW w:w="1240"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c>
          <w:tcPr>
            <w:tcW w:w="1462"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有机碳/总氮分析仪</w:t>
            </w:r>
          </w:p>
        </w:tc>
        <w:tc>
          <w:tcPr>
            <w:tcW w:w="5466"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left"/>
              <w:textAlignment w:val="center"/>
              <w:rPr>
                <w:rFonts w:ascii="宋体" w:hAnsi="宋体" w:cs="宋体"/>
                <w:sz w:val="24"/>
              </w:rPr>
            </w:pPr>
            <w:r>
              <w:rPr>
                <w:rFonts w:hint="eastAsia" w:ascii="宋体" w:hAnsi="宋体" w:cs="宋体"/>
                <w:sz w:val="24"/>
              </w:rPr>
              <w:t>该仪器必须能够进行总碳、总有机碳、总无机碳、溶解性有机碳、非溶解性有机碳和总氮的定量分析，适用于制药用水、超纯水、自来水、地表水、污水、废水、海水、发酵液等所有水质及经过前处理的植物、土壤、沉积物等样品分析。需包含下列单元：高温催化燃烧单元（含固体燃烧进样系统和固体模块）、自动进样器（液体、固体）、NDIR检测器系统、总氮模块、电子气路控制系统、软件及计算机控制系统等。</w:t>
            </w:r>
          </w:p>
          <w:p>
            <w:pPr>
              <w:widowControl/>
              <w:spacing w:line="360" w:lineRule="auto"/>
              <w:jc w:val="left"/>
              <w:textAlignment w:val="center"/>
              <w:rPr>
                <w:rFonts w:ascii="宋体" w:hAnsi="宋体" w:cs="宋体"/>
                <w:sz w:val="24"/>
              </w:rPr>
            </w:pPr>
            <w:r>
              <w:rPr>
                <w:rFonts w:hint="eastAsia" w:ascii="宋体" w:hAnsi="宋体" w:cs="宋体"/>
                <w:sz w:val="24"/>
              </w:rPr>
              <w:t>一、高温催化燃烧单元：</w:t>
            </w:r>
          </w:p>
          <w:p>
            <w:pPr>
              <w:widowControl/>
              <w:spacing w:line="360" w:lineRule="auto"/>
              <w:jc w:val="left"/>
              <w:textAlignment w:val="center"/>
              <w:rPr>
                <w:rFonts w:ascii="宋体" w:hAnsi="宋体" w:cs="宋体"/>
                <w:sz w:val="24"/>
              </w:rPr>
            </w:pPr>
            <w:r>
              <w:rPr>
                <w:rFonts w:hint="eastAsia" w:ascii="宋体" w:hAnsi="宋体" w:cs="宋体"/>
                <w:sz w:val="24"/>
              </w:rPr>
              <w:t>1.燃烧温度：液体需覆盖600-1000℃，连续可调；固体不低于1300℃；</w:t>
            </w:r>
          </w:p>
          <w:p>
            <w:pPr>
              <w:widowControl/>
              <w:spacing w:line="360" w:lineRule="auto"/>
              <w:jc w:val="left"/>
              <w:textAlignment w:val="center"/>
              <w:rPr>
                <w:rFonts w:ascii="宋体" w:hAnsi="宋体" w:cs="宋体"/>
                <w:sz w:val="24"/>
              </w:rPr>
            </w:pPr>
            <w:r>
              <w:rPr>
                <w:rFonts w:hint="eastAsia" w:ascii="宋体" w:hAnsi="宋体" w:cs="宋体"/>
                <w:sz w:val="24"/>
              </w:rPr>
              <w:t>2.超温报警功能：炉温超过设定温度时，自动报警；</w:t>
            </w:r>
          </w:p>
          <w:p>
            <w:pPr>
              <w:widowControl/>
              <w:spacing w:line="360" w:lineRule="auto"/>
              <w:jc w:val="left"/>
              <w:textAlignment w:val="center"/>
              <w:rPr>
                <w:rFonts w:ascii="宋体" w:hAnsi="宋体" w:cs="宋体"/>
                <w:sz w:val="24"/>
              </w:rPr>
            </w:pPr>
            <w:r>
              <w:rPr>
                <w:rFonts w:hint="eastAsia" w:ascii="宋体" w:hAnsi="宋体" w:cs="宋体"/>
                <w:sz w:val="24"/>
              </w:rPr>
              <w:t>3.样品最高允许含盐量：≥80g/L；</w:t>
            </w:r>
          </w:p>
          <w:p>
            <w:pPr>
              <w:widowControl/>
              <w:spacing w:line="360" w:lineRule="auto"/>
              <w:jc w:val="left"/>
              <w:textAlignment w:val="center"/>
              <w:rPr>
                <w:rFonts w:ascii="宋体" w:hAnsi="宋体" w:cs="宋体"/>
                <w:sz w:val="24"/>
              </w:rPr>
            </w:pPr>
            <w:r>
              <w:rPr>
                <w:rFonts w:hint="eastAsia" w:ascii="宋体" w:hAnsi="宋体" w:cs="宋体"/>
                <w:sz w:val="24"/>
              </w:rPr>
              <w:t>4.样品中最大悬浮物直径：≥0.3mm；</w:t>
            </w:r>
          </w:p>
          <w:p>
            <w:pPr>
              <w:widowControl/>
              <w:spacing w:line="360" w:lineRule="auto"/>
              <w:jc w:val="left"/>
              <w:textAlignment w:val="center"/>
              <w:rPr>
                <w:rFonts w:ascii="宋体" w:hAnsi="宋体" w:cs="宋体"/>
                <w:sz w:val="24"/>
              </w:rPr>
            </w:pPr>
            <w:r>
              <w:rPr>
                <w:rFonts w:hint="eastAsia" w:ascii="宋体" w:hAnsi="宋体" w:cs="宋体"/>
                <w:sz w:val="24"/>
              </w:rPr>
              <w:t>5.催化剂：Pt或CeO2；</w:t>
            </w:r>
          </w:p>
          <w:p>
            <w:pPr>
              <w:widowControl/>
              <w:spacing w:line="360" w:lineRule="auto"/>
              <w:jc w:val="left"/>
              <w:textAlignment w:val="center"/>
              <w:rPr>
                <w:rFonts w:ascii="宋体" w:hAnsi="宋体" w:cs="宋体"/>
                <w:sz w:val="24"/>
              </w:rPr>
            </w:pPr>
            <w:r>
              <w:rPr>
                <w:rFonts w:hint="eastAsia" w:ascii="宋体" w:hAnsi="宋体" w:cs="宋体"/>
                <w:sz w:val="24"/>
              </w:rPr>
              <w:t>6.干燥器：免维护Peltier干燥器。</w:t>
            </w:r>
          </w:p>
          <w:p>
            <w:pPr>
              <w:widowControl/>
              <w:spacing w:line="360" w:lineRule="auto"/>
              <w:jc w:val="left"/>
              <w:textAlignment w:val="center"/>
              <w:rPr>
                <w:rFonts w:ascii="宋体" w:hAnsi="宋体" w:cs="宋体"/>
                <w:sz w:val="24"/>
              </w:rPr>
            </w:pPr>
            <w:r>
              <w:rPr>
                <w:rFonts w:hint="eastAsia" w:ascii="宋体" w:hAnsi="宋体" w:cs="宋体"/>
                <w:sz w:val="24"/>
              </w:rPr>
              <w:t>二、固体模块：</w:t>
            </w:r>
          </w:p>
          <w:p>
            <w:pPr>
              <w:widowControl/>
              <w:spacing w:line="360" w:lineRule="auto"/>
              <w:jc w:val="left"/>
              <w:textAlignment w:val="center"/>
              <w:rPr>
                <w:rFonts w:ascii="宋体" w:hAnsi="宋体" w:cs="宋体"/>
                <w:sz w:val="24"/>
              </w:rPr>
            </w:pPr>
            <w:r>
              <w:rPr>
                <w:rFonts w:hint="eastAsia" w:ascii="宋体" w:hAnsi="宋体" w:cs="宋体"/>
                <w:sz w:val="24"/>
              </w:rPr>
              <w:t>（1）固体样品最大进样量不小于2g，由样品舟直接进样；</w:t>
            </w:r>
          </w:p>
          <w:p>
            <w:pPr>
              <w:widowControl/>
              <w:spacing w:line="360" w:lineRule="auto"/>
              <w:jc w:val="left"/>
              <w:textAlignment w:val="center"/>
              <w:rPr>
                <w:rFonts w:ascii="宋体" w:hAnsi="宋体" w:cs="宋体"/>
                <w:sz w:val="24"/>
              </w:rPr>
            </w:pPr>
            <w:r>
              <w:rPr>
                <w:rFonts w:hint="eastAsia" w:ascii="宋体" w:hAnsi="宋体" w:cs="宋体"/>
                <w:sz w:val="24"/>
              </w:rPr>
              <w:t>（2）敞开式进样系统，非球阀进样，降低机械故障率；</w:t>
            </w:r>
          </w:p>
          <w:p>
            <w:pPr>
              <w:widowControl/>
              <w:spacing w:line="360" w:lineRule="auto"/>
              <w:jc w:val="left"/>
              <w:textAlignment w:val="center"/>
              <w:rPr>
                <w:rFonts w:ascii="宋体" w:hAnsi="宋体" w:cs="宋体"/>
                <w:sz w:val="24"/>
              </w:rPr>
            </w:pPr>
            <w:r>
              <w:rPr>
                <w:rFonts w:hint="eastAsia" w:ascii="宋体" w:hAnsi="宋体" w:cs="宋体"/>
                <w:sz w:val="24"/>
              </w:rPr>
              <w:t>（3）固体检测模块需独立装置&amp;独立供电，液体与固体切换时不需要更换燃烧管或其它硬件设备；</w:t>
            </w:r>
          </w:p>
          <w:p>
            <w:pPr>
              <w:widowControl/>
              <w:spacing w:line="360" w:lineRule="auto"/>
              <w:jc w:val="left"/>
              <w:textAlignment w:val="center"/>
              <w:rPr>
                <w:rFonts w:ascii="宋体" w:hAnsi="宋体" w:cs="宋体"/>
                <w:sz w:val="24"/>
              </w:rPr>
            </w:pPr>
            <w:r>
              <w:rPr>
                <w:rFonts w:hint="eastAsia" w:ascii="宋体" w:hAnsi="宋体" w:cs="宋体"/>
                <w:sz w:val="24"/>
              </w:rPr>
              <w:t>（4）固体燃烧管：高纯净耐温陶瓷材质。无需内外套管，结构简洁，分析中不使用催化剂；</w:t>
            </w:r>
          </w:p>
          <w:p>
            <w:pPr>
              <w:widowControl/>
              <w:spacing w:line="360" w:lineRule="auto"/>
              <w:jc w:val="left"/>
              <w:textAlignment w:val="center"/>
              <w:rPr>
                <w:rFonts w:ascii="宋体" w:hAnsi="宋体" w:cs="宋体"/>
                <w:sz w:val="24"/>
              </w:rPr>
            </w:pPr>
            <w:r>
              <w:rPr>
                <w:rFonts w:hint="eastAsia" w:ascii="宋体" w:hAnsi="宋体" w:cs="宋体"/>
                <w:sz w:val="24"/>
              </w:rPr>
              <w:t>（5）样品舟平均重复使用次数：不低于3次。</w:t>
            </w:r>
          </w:p>
          <w:p>
            <w:pPr>
              <w:widowControl/>
              <w:spacing w:line="360" w:lineRule="auto"/>
              <w:jc w:val="left"/>
              <w:textAlignment w:val="center"/>
              <w:rPr>
                <w:rFonts w:ascii="宋体" w:hAnsi="宋体" w:cs="宋体"/>
                <w:sz w:val="24"/>
              </w:rPr>
            </w:pPr>
            <w:r>
              <w:rPr>
                <w:rFonts w:hint="eastAsia" w:ascii="宋体" w:hAnsi="宋体" w:cs="宋体"/>
                <w:sz w:val="24"/>
              </w:rPr>
              <w:t>三、检测器系统：</w:t>
            </w:r>
          </w:p>
          <w:p>
            <w:pPr>
              <w:widowControl/>
              <w:spacing w:line="360" w:lineRule="auto"/>
              <w:jc w:val="left"/>
              <w:textAlignment w:val="center"/>
              <w:rPr>
                <w:rFonts w:ascii="宋体" w:hAnsi="宋体" w:cs="宋体"/>
                <w:sz w:val="24"/>
              </w:rPr>
            </w:pPr>
            <w:r>
              <w:rPr>
                <w:rFonts w:hint="eastAsia" w:ascii="宋体" w:hAnsi="宋体" w:cs="宋体"/>
                <w:sz w:val="24"/>
              </w:rPr>
              <w:t>1.TOC：非色散红外检测器；TN：电化学检测器；</w:t>
            </w:r>
          </w:p>
          <w:p>
            <w:pPr>
              <w:widowControl/>
              <w:spacing w:line="360" w:lineRule="auto"/>
              <w:jc w:val="left"/>
              <w:textAlignment w:val="center"/>
              <w:rPr>
                <w:rFonts w:ascii="宋体" w:hAnsi="宋体" w:cs="宋体"/>
                <w:sz w:val="24"/>
              </w:rPr>
            </w:pPr>
            <w:r>
              <w:rPr>
                <w:rFonts w:hint="eastAsia" w:ascii="宋体" w:hAnsi="宋体" w:cs="宋体"/>
                <w:sz w:val="24"/>
              </w:rPr>
              <w:t>2.测量范围：液体：TOC需覆盖0.004mg/L~25000 mg/L，检出限≤4ppb；N需覆盖0.1-200mg/L，检出限≤50ppb；固体：需覆盖0.05mg—130mg 碳绝对量；</w:t>
            </w:r>
          </w:p>
          <w:p>
            <w:pPr>
              <w:widowControl/>
              <w:spacing w:line="360" w:lineRule="auto"/>
              <w:jc w:val="left"/>
              <w:textAlignment w:val="center"/>
              <w:rPr>
                <w:rFonts w:ascii="宋体" w:hAnsi="宋体" w:cs="宋体"/>
                <w:sz w:val="24"/>
              </w:rPr>
            </w:pPr>
            <w:r>
              <w:rPr>
                <w:rFonts w:hint="eastAsia" w:ascii="宋体" w:hAnsi="宋体" w:cs="宋体"/>
                <w:sz w:val="24"/>
              </w:rPr>
              <w:t>3.在500ppb检测范围内必须可实现同一浓度不同体积绘制标准曲线；</w:t>
            </w:r>
          </w:p>
          <w:p>
            <w:pPr>
              <w:widowControl/>
              <w:spacing w:line="360" w:lineRule="auto"/>
              <w:jc w:val="left"/>
              <w:textAlignment w:val="center"/>
              <w:rPr>
                <w:rFonts w:ascii="宋体" w:hAnsi="宋体" w:cs="宋体"/>
                <w:sz w:val="24"/>
              </w:rPr>
            </w:pPr>
            <w:r>
              <w:rPr>
                <w:rFonts w:hint="eastAsia" w:ascii="宋体" w:hAnsi="宋体" w:cs="宋体"/>
                <w:sz w:val="24"/>
              </w:rPr>
              <w:t>4.分辨率：第四位数；</w:t>
            </w:r>
          </w:p>
          <w:p>
            <w:pPr>
              <w:widowControl/>
              <w:spacing w:line="360" w:lineRule="auto"/>
              <w:jc w:val="left"/>
              <w:textAlignment w:val="center"/>
              <w:rPr>
                <w:rFonts w:ascii="宋体" w:hAnsi="宋体" w:cs="宋体"/>
                <w:sz w:val="24"/>
              </w:rPr>
            </w:pPr>
            <w:r>
              <w:rPr>
                <w:rFonts w:hint="eastAsia" w:ascii="宋体" w:hAnsi="宋体" w:cs="宋体"/>
                <w:sz w:val="24"/>
              </w:rPr>
              <w:t>5.重现性：TOC：≤2%@2mg/l；≤1.5%@100mg/l；</w:t>
            </w:r>
          </w:p>
          <w:p>
            <w:pPr>
              <w:widowControl/>
              <w:spacing w:line="360" w:lineRule="auto"/>
              <w:jc w:val="left"/>
              <w:textAlignment w:val="center"/>
              <w:rPr>
                <w:rFonts w:ascii="宋体" w:hAnsi="宋体" w:cs="宋体"/>
                <w:sz w:val="24"/>
              </w:rPr>
            </w:pPr>
            <w:r>
              <w:rPr>
                <w:rFonts w:hint="eastAsia" w:ascii="宋体" w:hAnsi="宋体" w:cs="宋体"/>
                <w:sz w:val="24"/>
              </w:rPr>
              <w:t>6.测量时间TOC+TN：≤10分钟/样品；TC+IC+TN：≤15分钟/样品；</w:t>
            </w:r>
          </w:p>
          <w:p>
            <w:pPr>
              <w:widowControl/>
              <w:spacing w:line="360" w:lineRule="auto"/>
              <w:jc w:val="left"/>
              <w:textAlignment w:val="center"/>
              <w:rPr>
                <w:rFonts w:ascii="宋体" w:hAnsi="宋体" w:cs="宋体"/>
                <w:sz w:val="24"/>
              </w:rPr>
            </w:pPr>
            <w:r>
              <w:rPr>
                <w:rFonts w:hint="eastAsia" w:ascii="宋体" w:hAnsi="宋体" w:cs="宋体"/>
                <w:sz w:val="24"/>
              </w:rPr>
              <w:t>7.可同时分析TOC 和总氮，要求一次进样同时得到结果。</w:t>
            </w:r>
          </w:p>
          <w:p>
            <w:pPr>
              <w:widowControl/>
              <w:spacing w:line="360" w:lineRule="auto"/>
              <w:jc w:val="left"/>
              <w:textAlignment w:val="center"/>
              <w:rPr>
                <w:rFonts w:ascii="宋体" w:hAnsi="宋体" w:cs="宋体"/>
                <w:sz w:val="24"/>
              </w:rPr>
            </w:pPr>
            <w:r>
              <w:rPr>
                <w:rFonts w:hint="eastAsia" w:ascii="宋体" w:hAnsi="宋体" w:cs="宋体"/>
                <w:sz w:val="24"/>
              </w:rPr>
              <w:t>四、电子气路控制系统：</w:t>
            </w:r>
          </w:p>
          <w:p>
            <w:pPr>
              <w:widowControl/>
              <w:spacing w:line="360" w:lineRule="auto"/>
              <w:jc w:val="left"/>
              <w:textAlignment w:val="center"/>
              <w:rPr>
                <w:rFonts w:ascii="宋体" w:hAnsi="宋体" w:cs="宋体"/>
                <w:sz w:val="24"/>
              </w:rPr>
            </w:pPr>
            <w:r>
              <w:rPr>
                <w:rFonts w:hint="eastAsia" w:ascii="宋体" w:hAnsi="宋体" w:cs="宋体"/>
                <w:sz w:val="24"/>
              </w:rPr>
              <w:t>具有Vita技术可以补偿气流流速引起的变化；气体流速数字化监控系统，并严格扣除气体流速波动背景误差；载气及助燃气：氧气，优于99.95%；压力不超过5bar；气体消耗量：不超过25L/小时。</w:t>
            </w:r>
          </w:p>
          <w:p>
            <w:pPr>
              <w:widowControl/>
              <w:spacing w:line="360" w:lineRule="auto"/>
              <w:jc w:val="left"/>
              <w:textAlignment w:val="center"/>
              <w:rPr>
                <w:rFonts w:ascii="宋体" w:hAnsi="宋体" w:cs="宋体"/>
                <w:sz w:val="24"/>
              </w:rPr>
            </w:pPr>
            <w:r>
              <w:rPr>
                <w:rFonts w:hint="eastAsia" w:ascii="宋体" w:hAnsi="宋体" w:cs="宋体"/>
                <w:sz w:val="24"/>
              </w:rPr>
              <w:t>五、软件系统：</w:t>
            </w:r>
          </w:p>
          <w:p>
            <w:pPr>
              <w:widowControl/>
              <w:spacing w:line="360" w:lineRule="auto"/>
              <w:jc w:val="left"/>
              <w:textAlignment w:val="center"/>
              <w:rPr>
                <w:rFonts w:ascii="宋体" w:hAnsi="宋体" w:cs="宋体"/>
                <w:sz w:val="24"/>
              </w:rPr>
            </w:pPr>
            <w:r>
              <w:rPr>
                <w:rFonts w:hint="eastAsia" w:ascii="宋体" w:hAnsi="宋体" w:cs="宋体"/>
                <w:sz w:val="24"/>
              </w:rPr>
              <w:t>Win</w:t>
            </w:r>
            <w:r>
              <w:rPr>
                <w:rFonts w:hint="eastAsia" w:ascii="宋体" w:hAnsi="宋体" w:cs="宋体"/>
                <w:sz w:val="24"/>
                <w:lang w:eastAsia="zh-CN"/>
              </w:rPr>
              <w:t>dows</w:t>
            </w:r>
            <w:r>
              <w:rPr>
                <w:rFonts w:hint="eastAsia" w:ascii="宋体" w:hAnsi="宋体" w:cs="宋体"/>
                <w:sz w:val="24"/>
              </w:rPr>
              <w:t>7或更高系统；具备方法开发和储存功能；系统状态显示和参数设定；1次方或2次方线性回归校正曲线；实验结果输出及打印；遵循GLP（优良实验室规范）。</w:t>
            </w:r>
          </w:p>
          <w:p>
            <w:pPr>
              <w:widowControl/>
              <w:spacing w:line="360" w:lineRule="auto"/>
              <w:jc w:val="left"/>
              <w:textAlignment w:val="center"/>
              <w:rPr>
                <w:rFonts w:ascii="宋体" w:hAnsi="宋体" w:cs="宋体"/>
                <w:sz w:val="24"/>
              </w:rPr>
            </w:pPr>
            <w:r>
              <w:rPr>
                <w:rFonts w:hint="eastAsia" w:ascii="宋体" w:hAnsi="宋体" w:cs="宋体"/>
                <w:sz w:val="24"/>
              </w:rPr>
              <w:t>六、自动进样器：</w:t>
            </w:r>
          </w:p>
          <w:p>
            <w:pPr>
              <w:widowControl/>
              <w:spacing w:line="360" w:lineRule="auto"/>
              <w:jc w:val="left"/>
              <w:textAlignment w:val="center"/>
              <w:rPr>
                <w:rFonts w:ascii="宋体" w:hAnsi="宋体" w:cs="宋体"/>
                <w:sz w:val="24"/>
              </w:rPr>
            </w:pPr>
            <w:r>
              <w:rPr>
                <w:rFonts w:hint="eastAsia" w:ascii="宋体" w:hAnsi="宋体" w:cs="宋体"/>
                <w:sz w:val="24"/>
              </w:rPr>
              <w:t>样品位不少于20个，样品进样顺序可按程序软件控制；具有自动清洗功能；所有样品位带自动搅拌功能，搅拌速度10级可调；所有样品位带自动酸化功能。</w:t>
            </w:r>
          </w:p>
          <w:p>
            <w:pPr>
              <w:widowControl/>
              <w:spacing w:line="360" w:lineRule="auto"/>
              <w:jc w:val="left"/>
              <w:textAlignment w:val="center"/>
              <w:rPr>
                <w:rFonts w:ascii="宋体" w:hAnsi="宋体" w:cs="宋体"/>
                <w:sz w:val="24"/>
              </w:rPr>
            </w:pPr>
            <w:r>
              <w:rPr>
                <w:rFonts w:hint="eastAsia" w:ascii="宋体" w:hAnsi="宋体" w:cs="宋体"/>
                <w:sz w:val="24"/>
              </w:rPr>
              <w:t>七、配置要求：</w:t>
            </w:r>
          </w:p>
          <w:p>
            <w:pPr>
              <w:widowControl/>
              <w:spacing w:line="360" w:lineRule="auto"/>
              <w:jc w:val="left"/>
              <w:textAlignment w:val="center"/>
              <w:rPr>
                <w:rFonts w:ascii="宋体" w:hAnsi="宋体" w:cs="宋体"/>
                <w:sz w:val="24"/>
              </w:rPr>
            </w:pPr>
            <w:r>
              <w:rPr>
                <w:rFonts w:hint="eastAsia" w:ascii="宋体" w:hAnsi="宋体" w:cs="宋体"/>
                <w:sz w:val="24"/>
              </w:rPr>
              <w:t>总有机碳/总氮分析仪主机1套；专用分析软件1套；独立供电的固体燃烧炉1套；高温垫片2包；催化剂1瓶；卤素吸附物2包；过滤器2只；石英棉2包；高温陶瓷样品舟1000个；干燥剂1包；碳酸钙标准品1包；品牌工作站1台（不低于以下配置，CPUi5</w:t>
            </w:r>
            <w:r>
              <w:rPr>
                <w:rFonts w:hint="eastAsia" w:ascii="宋体" w:hAnsi="宋体" w:cs="宋体"/>
                <w:sz w:val="24"/>
                <w:lang w:eastAsia="zh-CN"/>
              </w:rPr>
              <w:t>第12代处理器</w:t>
            </w:r>
            <w:r>
              <w:rPr>
                <w:rFonts w:hint="eastAsia" w:ascii="宋体" w:hAnsi="宋体" w:cs="宋体"/>
                <w:sz w:val="24"/>
              </w:rPr>
              <w:t>+</w:t>
            </w:r>
            <w:r>
              <w:rPr>
                <w:rFonts w:hint="eastAsia" w:ascii="宋体" w:hAnsi="宋体" w:cs="宋体"/>
                <w:sz w:val="24"/>
                <w:lang w:eastAsia="zh-CN"/>
              </w:rPr>
              <w:t>DDR内</w:t>
            </w:r>
            <w:r>
              <w:rPr>
                <w:rFonts w:hint="eastAsia" w:ascii="宋体" w:hAnsi="宋体" w:cs="宋体"/>
                <w:sz w:val="24"/>
              </w:rPr>
              <w:t>存8G+</w:t>
            </w:r>
            <w:r>
              <w:rPr>
                <w:rFonts w:hint="eastAsia" w:ascii="宋体" w:hAnsi="宋体" w:cs="宋体"/>
                <w:sz w:val="24"/>
                <w:lang w:eastAsia="zh-CN"/>
              </w:rPr>
              <w:t>128G固态+机械</w:t>
            </w:r>
            <w:r>
              <w:rPr>
                <w:rFonts w:hint="eastAsia" w:ascii="宋体" w:hAnsi="宋体" w:cs="宋体"/>
                <w:sz w:val="24"/>
              </w:rPr>
              <w:t>硬盘1T</w:t>
            </w:r>
            <w:r>
              <w:rPr>
                <w:rFonts w:hint="eastAsia" w:ascii="宋体" w:hAnsi="宋体" w:cs="宋体"/>
                <w:sz w:val="24"/>
                <w:lang w:eastAsia="zh-CN"/>
              </w:rPr>
              <w:t>+2G独显+24寸液晶显示器+Windows10+300W</w:t>
            </w:r>
            <w:r>
              <w:rPr>
                <w:rFonts w:hint="eastAsia" w:ascii="宋体" w:hAnsi="宋体" w:cs="宋体"/>
                <w:sz w:val="24"/>
              </w:rPr>
              <w:t>）；激光打印机1台（分辨率不低于600*600dpi，打印速度0-24页/分）；自动进样器（液体、固体）1套。</w:t>
            </w:r>
          </w:p>
        </w:tc>
        <w:tc>
          <w:tcPr>
            <w:tcW w:w="971"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1台</w:t>
            </w:r>
          </w:p>
        </w:tc>
      </w:tr>
    </w:tbl>
    <w:p>
      <w:pPr>
        <w:pStyle w:val="2"/>
        <w:spacing w:before="0" w:after="0" w:line="360" w:lineRule="auto"/>
        <w:ind w:firstLine="482" w:firstLineChars="200"/>
        <w:rPr>
          <w:rFonts w:ascii="宋体" w:hAnsi="宋体"/>
          <w:caps w:val="0"/>
          <w:kern w:val="0"/>
          <w:sz w:val="24"/>
        </w:rPr>
      </w:pPr>
      <w:r>
        <w:rPr>
          <w:rFonts w:hint="eastAsia" w:ascii="宋体" w:hAnsi="宋体"/>
          <w:caps w:val="0"/>
          <w:kern w:val="0"/>
          <w:sz w:val="24"/>
        </w:rPr>
        <w:t>注：</w:t>
      </w:r>
    </w:p>
    <w:p>
      <w:pPr>
        <w:pStyle w:val="2"/>
        <w:spacing w:before="0" w:after="0" w:line="360" w:lineRule="auto"/>
        <w:ind w:firstLine="482" w:firstLineChars="200"/>
        <w:rPr>
          <w:rFonts w:hint="eastAsia" w:ascii="宋体" w:hAnsi="宋体"/>
          <w:caps w:val="0"/>
          <w:kern w:val="0"/>
          <w:sz w:val="24"/>
        </w:rPr>
      </w:pPr>
      <w:r>
        <w:rPr>
          <w:rFonts w:hint="eastAsia" w:ascii="宋体" w:hAnsi="宋体"/>
          <w:caps w:val="0"/>
          <w:kern w:val="0"/>
          <w:sz w:val="24"/>
        </w:rPr>
        <w:t>1.投标人须提供所投产品的彩页或产品说明书或厂家出具的技术支撑材料（须加盖厂商公章）或有资质的第三方检测机构出具的产品检测报告或官网截图并加盖投标人公章（须体现产品的技术参数）。</w:t>
      </w:r>
    </w:p>
    <w:p>
      <w:pPr>
        <w:pStyle w:val="2"/>
        <w:spacing w:before="0" w:after="0" w:line="360" w:lineRule="auto"/>
        <w:ind w:firstLine="482" w:firstLineChars="200"/>
        <w:rPr>
          <w:rFonts w:hint="eastAsia" w:ascii="宋体" w:hAnsi="宋体"/>
          <w:caps w:val="0"/>
          <w:kern w:val="0"/>
          <w:sz w:val="24"/>
        </w:rPr>
      </w:pPr>
      <w:r>
        <w:rPr>
          <w:rFonts w:hint="eastAsia" w:ascii="宋体" w:hAnsi="宋体"/>
          <w:caps w:val="0"/>
          <w:kern w:val="0"/>
          <w:sz w:val="24"/>
        </w:rPr>
        <w:t>2.所投产品参数必须与供货产品实际指标完全一致，如果验收不通过投标人需承担相关责任和损失。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AAA7DA"/>
    <w:multiLevelType w:val="singleLevel"/>
    <w:tmpl w:val="9DAAA7DA"/>
    <w:lvl w:ilvl="0" w:tentative="0">
      <w:start w:val="1"/>
      <w:numFmt w:val="decimal"/>
      <w:suff w:val="nothing"/>
      <w:lvlText w:val="（%1）"/>
      <w:lvlJc w:val="left"/>
    </w:lvl>
  </w:abstractNum>
  <w:abstractNum w:abstractNumId="1">
    <w:nsid w:val="9F8E9FA4"/>
    <w:multiLevelType w:val="singleLevel"/>
    <w:tmpl w:val="9F8E9FA4"/>
    <w:lvl w:ilvl="0" w:tentative="0">
      <w:start w:val="3"/>
      <w:numFmt w:val="chineseCounting"/>
      <w:suff w:val="nothing"/>
      <w:lvlText w:val="%1、"/>
      <w:lvlJc w:val="left"/>
      <w:rPr>
        <w:rFonts w:hint="eastAsia"/>
      </w:rPr>
    </w:lvl>
  </w:abstractNum>
  <w:abstractNum w:abstractNumId="2">
    <w:nsid w:val="1869C99E"/>
    <w:multiLevelType w:val="singleLevel"/>
    <w:tmpl w:val="1869C99E"/>
    <w:lvl w:ilvl="0" w:tentative="0">
      <w:start w:val="1"/>
      <w:numFmt w:val="chineseCounting"/>
      <w:suff w:val="nothing"/>
      <w:lvlText w:val="%1、"/>
      <w:lvlJc w:val="left"/>
      <w:rPr>
        <w:rFonts w:hint="eastAsia"/>
      </w:rPr>
    </w:lvl>
  </w:abstractNum>
  <w:abstractNum w:abstractNumId="3">
    <w:nsid w:val="304817C5"/>
    <w:multiLevelType w:val="singleLevel"/>
    <w:tmpl w:val="304817C5"/>
    <w:lvl w:ilvl="0" w:tentative="0">
      <w:start w:val="1"/>
      <w:numFmt w:val="decimal"/>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1NTNmZWZhNjU2ZmM2NDU4NjM1MmQ2NjJhODk4MmQifQ=="/>
  </w:docVars>
  <w:rsids>
    <w:rsidRoot w:val="49834CF7"/>
    <w:rsid w:val="015F2AA3"/>
    <w:rsid w:val="02A85B18"/>
    <w:rsid w:val="02F70579"/>
    <w:rsid w:val="03FD3ACA"/>
    <w:rsid w:val="05472A24"/>
    <w:rsid w:val="064B3545"/>
    <w:rsid w:val="064C69E2"/>
    <w:rsid w:val="0A744254"/>
    <w:rsid w:val="0B5B0EB3"/>
    <w:rsid w:val="0B9B0B48"/>
    <w:rsid w:val="0D101311"/>
    <w:rsid w:val="0D764A41"/>
    <w:rsid w:val="0D9D671A"/>
    <w:rsid w:val="0E815FB5"/>
    <w:rsid w:val="0EAE494C"/>
    <w:rsid w:val="0EFE4BE0"/>
    <w:rsid w:val="11327FB1"/>
    <w:rsid w:val="16613891"/>
    <w:rsid w:val="19701971"/>
    <w:rsid w:val="1B83466F"/>
    <w:rsid w:val="1CBE422E"/>
    <w:rsid w:val="1D1F6931"/>
    <w:rsid w:val="20256F7D"/>
    <w:rsid w:val="215F4A09"/>
    <w:rsid w:val="23641228"/>
    <w:rsid w:val="293164BC"/>
    <w:rsid w:val="2AF437D4"/>
    <w:rsid w:val="2D156B35"/>
    <w:rsid w:val="316400FC"/>
    <w:rsid w:val="3294797E"/>
    <w:rsid w:val="34202193"/>
    <w:rsid w:val="35225832"/>
    <w:rsid w:val="37D803D0"/>
    <w:rsid w:val="384E78F2"/>
    <w:rsid w:val="3ABE5E5A"/>
    <w:rsid w:val="3B02477D"/>
    <w:rsid w:val="3C0C1674"/>
    <w:rsid w:val="407E1D76"/>
    <w:rsid w:val="4356244E"/>
    <w:rsid w:val="44B105F2"/>
    <w:rsid w:val="44D12374"/>
    <w:rsid w:val="46826D2F"/>
    <w:rsid w:val="49834CF7"/>
    <w:rsid w:val="4AD754F8"/>
    <w:rsid w:val="4DB23804"/>
    <w:rsid w:val="4E78771D"/>
    <w:rsid w:val="4E8573F6"/>
    <w:rsid w:val="51F270C6"/>
    <w:rsid w:val="53A54679"/>
    <w:rsid w:val="56BE76D4"/>
    <w:rsid w:val="59836F46"/>
    <w:rsid w:val="599D267F"/>
    <w:rsid w:val="5B5A3809"/>
    <w:rsid w:val="60FD6B9E"/>
    <w:rsid w:val="62000B74"/>
    <w:rsid w:val="620C43D8"/>
    <w:rsid w:val="62677DF7"/>
    <w:rsid w:val="62EE35CB"/>
    <w:rsid w:val="65E46171"/>
    <w:rsid w:val="67B473D7"/>
    <w:rsid w:val="6B7568D3"/>
    <w:rsid w:val="6D3577E9"/>
    <w:rsid w:val="6DE9799D"/>
    <w:rsid w:val="6EE959A3"/>
    <w:rsid w:val="6EF23FB8"/>
    <w:rsid w:val="6F386AB8"/>
    <w:rsid w:val="6FD05EFE"/>
    <w:rsid w:val="72D87FD4"/>
    <w:rsid w:val="7445418C"/>
    <w:rsid w:val="74742548"/>
    <w:rsid w:val="757A2ECE"/>
    <w:rsid w:val="75917B47"/>
    <w:rsid w:val="77E80AFE"/>
    <w:rsid w:val="792861EF"/>
    <w:rsid w:val="7C322C52"/>
    <w:rsid w:val="7EB04A9C"/>
    <w:rsid w:val="7F73173D"/>
    <w:rsid w:val="7FFA2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9"/>
    <w:pPr>
      <w:keepNext/>
      <w:keepLines/>
      <w:spacing w:before="340" w:after="330" w:line="578" w:lineRule="auto"/>
      <w:outlineLvl w:val="0"/>
    </w:pPr>
    <w:rPr>
      <w:b/>
      <w:kern w:val="44"/>
      <w:sz w:val="44"/>
      <w:szCs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spacing w:before="120" w:after="120"/>
      <w:jc w:val="left"/>
    </w:pPr>
    <w:rPr>
      <w:b/>
      <w:bCs/>
      <w:caps/>
      <w:sz w:val="20"/>
      <w:szCs w:val="20"/>
    </w:rPr>
  </w:style>
  <w:style w:type="paragraph" w:styleId="4">
    <w:name w:val="Body Text"/>
    <w:basedOn w:val="1"/>
    <w:next w:val="1"/>
    <w:qFormat/>
    <w:uiPriority w:val="1"/>
    <w:pPr>
      <w:spacing w:after="120"/>
    </w:pPr>
    <w:rPr>
      <w:kern w:val="0"/>
      <w:sz w:val="24"/>
      <w:szCs w:val="20"/>
    </w:rPr>
  </w:style>
  <w:style w:type="character" w:customStyle="1" w:styleId="7">
    <w:name w:val="font11"/>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6017</Words>
  <Characters>7204</Characters>
  <Lines>0</Lines>
  <Paragraphs>0</Paragraphs>
  <TotalTime>0</TotalTime>
  <ScaleCrop>false</ScaleCrop>
  <LinksUpToDate>false</LinksUpToDate>
  <CharactersWithSpaces>7222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2023-08-21T10:36:00Z</dcterms:created>
  <dc:creator>晟子</dc:creator>
  <cp:lastModifiedBy>Administrator</cp:lastModifiedBy>
  <dcterms:modified xsi:type="dcterms:W3CDTF">2023-08-22T01:35:34Z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5E7EC1EBE26142F5B5F660FC6EECBF90_13</vt:lpwstr>
  </property>
</Properties>
</file>