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DBF34C">
      <w:pPr>
        <w:adjustRightInd w:val="0"/>
        <w:snapToGrid w:val="0"/>
        <w:spacing w:after="156" w:afterLines="50" w:line="360" w:lineRule="auto"/>
        <w:jc w:val="center"/>
        <w:outlineLvl w:val="0"/>
        <w:rPr>
          <w:rFonts w:hint="eastAsia" w:ascii="黑体" w:eastAsia="黑体"/>
          <w:b/>
          <w:color w:val="auto"/>
          <w:kern w:val="44"/>
          <w:sz w:val="48"/>
          <w:szCs w:val="20"/>
          <w:highlight w:val="none"/>
        </w:rPr>
      </w:pPr>
      <w:bookmarkStart w:id="2" w:name="_GoBack"/>
      <w:bookmarkEnd w:id="2"/>
      <w:r>
        <w:rPr>
          <w:rFonts w:hint="eastAsia" w:ascii="宋体" w:hAnsi="宋体"/>
          <w:b/>
          <w:color w:val="auto"/>
          <w:sz w:val="30"/>
          <w:szCs w:val="30"/>
          <w:highlight w:val="none"/>
        </w:rPr>
        <w:t>采购需求</w:t>
      </w:r>
    </w:p>
    <w:p w14:paraId="4881EE66">
      <w:pPr>
        <w:adjustRightInd w:val="0"/>
        <w:snapToGrid w:val="0"/>
        <w:spacing w:before="156" w:beforeLines="50" w:after="156" w:afterLines="50" w:line="360" w:lineRule="auto"/>
        <w:jc w:val="center"/>
        <w:rPr>
          <w:rFonts w:hint="eastAsia" w:ascii="宋体" w:hAnsi="宋体"/>
          <w:b/>
          <w:color w:val="auto"/>
          <w:sz w:val="24"/>
          <w:highlight w:val="none"/>
        </w:rPr>
      </w:pPr>
    </w:p>
    <w:p w14:paraId="44358C07">
      <w:pPr>
        <w:adjustRightInd w:val="0"/>
        <w:snapToGrid w:val="0"/>
        <w:spacing w:before="156" w:beforeLines="50" w:after="156" w:afterLines="50" w:line="360" w:lineRule="auto"/>
        <w:jc w:val="center"/>
        <w:rPr>
          <w:rFonts w:hint="eastAsia" w:ascii="宋体" w:hAnsi="宋体"/>
          <w:b/>
          <w:color w:val="auto"/>
          <w:sz w:val="24"/>
          <w:highlight w:val="none"/>
        </w:rPr>
      </w:pPr>
      <w:r>
        <w:rPr>
          <w:rFonts w:hint="eastAsia" w:ascii="宋体" w:hAnsi="宋体"/>
          <w:b/>
          <w:color w:val="auto"/>
          <w:sz w:val="24"/>
          <w:highlight w:val="none"/>
        </w:rPr>
        <w:t>货物需求一览表</w:t>
      </w:r>
    </w:p>
    <w:p w14:paraId="070ABDE5">
      <w:pPr>
        <w:adjustRightInd w:val="0"/>
        <w:snapToGrid w:val="0"/>
        <w:jc w:val="center"/>
        <w:rPr>
          <w:rFonts w:hint="eastAsia" w:ascii="宋体" w:hAnsi="宋体"/>
          <w:b/>
          <w:color w:val="auto"/>
          <w:sz w:val="30"/>
          <w:szCs w:val="30"/>
          <w:highlight w:val="none"/>
        </w:rPr>
      </w:pPr>
    </w:p>
    <w:tbl>
      <w:tblPr>
        <w:tblStyle w:val="6"/>
        <w:tblW w:w="739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963"/>
        <w:gridCol w:w="2840"/>
        <w:gridCol w:w="1473"/>
        <w:gridCol w:w="2116"/>
      </w:tblGrid>
      <w:tr w14:paraId="682DD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73" w:hRule="atLeast"/>
          <w:jc w:val="center"/>
        </w:trPr>
        <w:tc>
          <w:tcPr>
            <w:tcW w:w="963" w:type="dxa"/>
            <w:noWrap w:val="0"/>
            <w:vAlign w:val="center"/>
          </w:tcPr>
          <w:p w14:paraId="42661B76">
            <w:pPr>
              <w:jc w:val="center"/>
              <w:rPr>
                <w:rFonts w:ascii="宋体" w:hAnsi="Bookman Old Style"/>
                <w:color w:val="auto"/>
                <w:sz w:val="24"/>
                <w:highlight w:val="none"/>
              </w:rPr>
            </w:pPr>
            <w:r>
              <w:rPr>
                <w:rFonts w:hint="eastAsia" w:ascii="宋体" w:hAnsi="Bookman Old Style"/>
                <w:color w:val="auto"/>
                <w:sz w:val="24"/>
                <w:highlight w:val="none"/>
              </w:rPr>
              <w:t>包号</w:t>
            </w:r>
          </w:p>
        </w:tc>
        <w:tc>
          <w:tcPr>
            <w:tcW w:w="2840" w:type="dxa"/>
            <w:noWrap w:val="0"/>
            <w:vAlign w:val="center"/>
          </w:tcPr>
          <w:p w14:paraId="795CEFEF">
            <w:pPr>
              <w:jc w:val="center"/>
              <w:rPr>
                <w:rFonts w:ascii="宋体" w:hAnsi="Bookman Old Style"/>
                <w:color w:val="auto"/>
                <w:sz w:val="24"/>
                <w:highlight w:val="none"/>
              </w:rPr>
            </w:pPr>
            <w:r>
              <w:rPr>
                <w:rFonts w:hint="eastAsia" w:ascii="宋体" w:hAnsi="Bookman Old Style"/>
                <w:color w:val="auto"/>
                <w:sz w:val="24"/>
                <w:highlight w:val="none"/>
              </w:rPr>
              <w:t>货物名称</w:t>
            </w:r>
          </w:p>
        </w:tc>
        <w:tc>
          <w:tcPr>
            <w:tcW w:w="1473" w:type="dxa"/>
            <w:noWrap w:val="0"/>
            <w:vAlign w:val="center"/>
          </w:tcPr>
          <w:p w14:paraId="47D1398B">
            <w:pPr>
              <w:jc w:val="center"/>
              <w:rPr>
                <w:rFonts w:ascii="宋体" w:hAnsi="Bookman Old Style"/>
                <w:color w:val="auto"/>
                <w:sz w:val="24"/>
                <w:highlight w:val="none"/>
              </w:rPr>
            </w:pPr>
            <w:r>
              <w:rPr>
                <w:rFonts w:hint="eastAsia" w:ascii="宋体" w:hAnsi="Bookman Old Style"/>
                <w:color w:val="auto"/>
                <w:sz w:val="24"/>
                <w:highlight w:val="none"/>
              </w:rPr>
              <w:t>数量</w:t>
            </w:r>
          </w:p>
        </w:tc>
        <w:tc>
          <w:tcPr>
            <w:tcW w:w="2116" w:type="dxa"/>
            <w:noWrap w:val="0"/>
            <w:vAlign w:val="center"/>
          </w:tcPr>
          <w:p w14:paraId="22B66468">
            <w:pPr>
              <w:jc w:val="center"/>
              <w:rPr>
                <w:rFonts w:ascii="宋体" w:hAnsi="Bookman Old Style"/>
                <w:color w:val="auto"/>
                <w:sz w:val="24"/>
                <w:highlight w:val="none"/>
              </w:rPr>
            </w:pPr>
            <w:r>
              <w:rPr>
                <w:rFonts w:hint="eastAsia" w:ascii="宋体" w:hAnsi="Bookman Old Style"/>
                <w:color w:val="auto"/>
                <w:sz w:val="24"/>
                <w:highlight w:val="none"/>
              </w:rPr>
              <w:t>是否接受进口</w:t>
            </w:r>
          </w:p>
        </w:tc>
      </w:tr>
      <w:tr w14:paraId="65BE1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963" w:type="dxa"/>
            <w:noWrap w:val="0"/>
            <w:vAlign w:val="center"/>
          </w:tcPr>
          <w:p w14:paraId="764874AD">
            <w:pPr>
              <w:jc w:val="center"/>
              <w:rPr>
                <w:rFonts w:hint="eastAsia" w:ascii="宋体"/>
                <w:color w:val="auto"/>
                <w:sz w:val="24"/>
                <w:highlight w:val="none"/>
              </w:rPr>
            </w:pPr>
            <w:r>
              <w:rPr>
                <w:rFonts w:hint="eastAsia" w:ascii="宋体"/>
                <w:color w:val="auto"/>
                <w:sz w:val="24"/>
                <w:highlight w:val="none"/>
              </w:rPr>
              <w:t>1</w:t>
            </w:r>
          </w:p>
        </w:tc>
        <w:tc>
          <w:tcPr>
            <w:tcW w:w="2840" w:type="dxa"/>
            <w:noWrap w:val="0"/>
            <w:vAlign w:val="center"/>
          </w:tcPr>
          <w:p w14:paraId="3EDE3924">
            <w:pPr>
              <w:jc w:val="center"/>
              <w:rPr>
                <w:rFonts w:hint="eastAsia" w:ascii="Bookman Old Style" w:hAnsi="Bookman Old Style"/>
                <w:color w:val="auto"/>
                <w:sz w:val="24"/>
                <w:highlight w:val="none"/>
              </w:rPr>
            </w:pPr>
            <w:r>
              <w:rPr>
                <w:rFonts w:hint="eastAsia" w:ascii="宋体" w:hAnsi="宋体"/>
                <w:color w:val="auto"/>
                <w:sz w:val="24"/>
                <w:highlight w:val="none"/>
              </w:rPr>
              <w:t>X射线光电子能谱仪</w:t>
            </w:r>
          </w:p>
        </w:tc>
        <w:tc>
          <w:tcPr>
            <w:tcW w:w="1473" w:type="dxa"/>
            <w:noWrap w:val="0"/>
            <w:vAlign w:val="center"/>
          </w:tcPr>
          <w:p w14:paraId="48ED6BAC">
            <w:pPr>
              <w:jc w:val="center"/>
              <w:rPr>
                <w:rFonts w:ascii="宋体" w:hAnsi="Bookman Old Style"/>
                <w:color w:val="auto"/>
                <w:sz w:val="24"/>
                <w:highlight w:val="none"/>
              </w:rPr>
            </w:pPr>
            <w:r>
              <w:rPr>
                <w:rFonts w:hint="eastAsia" w:ascii="宋体" w:hAnsi="Bookman Old Style"/>
                <w:color w:val="auto"/>
                <w:sz w:val="24"/>
                <w:highlight w:val="none"/>
              </w:rPr>
              <w:t>1套</w:t>
            </w:r>
          </w:p>
        </w:tc>
        <w:tc>
          <w:tcPr>
            <w:tcW w:w="2116" w:type="dxa"/>
            <w:noWrap w:val="0"/>
            <w:vAlign w:val="center"/>
          </w:tcPr>
          <w:p w14:paraId="67F54CA3">
            <w:pPr>
              <w:jc w:val="center"/>
              <w:rPr>
                <w:rFonts w:hint="eastAsia" w:ascii="宋体" w:hAnsi="Bookman Old Style" w:eastAsia="宋体"/>
                <w:color w:val="auto"/>
                <w:sz w:val="24"/>
                <w:highlight w:val="none"/>
                <w:lang w:eastAsia="zh-CN"/>
              </w:rPr>
            </w:pPr>
            <w:r>
              <w:rPr>
                <w:rFonts w:hint="eastAsia" w:ascii="宋体" w:hAnsi="Bookman Old Style"/>
                <w:color w:val="auto"/>
                <w:sz w:val="24"/>
                <w:highlight w:val="none"/>
                <w:lang w:val="en-US" w:eastAsia="zh-CN"/>
              </w:rPr>
              <w:t>否</w:t>
            </w:r>
          </w:p>
        </w:tc>
      </w:tr>
    </w:tbl>
    <w:p w14:paraId="68ECFD34">
      <w:pPr>
        <w:adjustRightInd w:val="0"/>
        <w:snapToGrid w:val="0"/>
        <w:jc w:val="center"/>
        <w:rPr>
          <w:rFonts w:hint="eastAsia" w:ascii="宋体" w:hAnsi="宋体"/>
          <w:b/>
          <w:color w:val="auto"/>
          <w:sz w:val="30"/>
          <w:szCs w:val="30"/>
          <w:highlight w:val="none"/>
        </w:rPr>
      </w:pPr>
    </w:p>
    <w:p w14:paraId="3A499C8E">
      <w:pPr>
        <w:adjustRightInd w:val="0"/>
        <w:snapToGrid w:val="0"/>
        <w:jc w:val="center"/>
        <w:rPr>
          <w:rFonts w:hint="eastAsia" w:ascii="宋体" w:hAnsi="宋体"/>
          <w:b/>
          <w:color w:val="auto"/>
          <w:sz w:val="30"/>
          <w:szCs w:val="30"/>
          <w:highlight w:val="none"/>
        </w:rPr>
      </w:pPr>
    </w:p>
    <w:p w14:paraId="3D87EF8C">
      <w:pPr>
        <w:spacing w:line="360" w:lineRule="auto"/>
        <w:rPr>
          <w:rFonts w:hint="eastAsia" w:ascii="Bookman Old Style" w:hAnsi="Bookman Old Style"/>
          <w:color w:val="auto"/>
          <w:sz w:val="24"/>
          <w:highlight w:val="none"/>
        </w:rPr>
      </w:pPr>
      <w:r>
        <w:rPr>
          <w:rFonts w:hint="eastAsia"/>
          <w:color w:val="auto"/>
          <w:sz w:val="24"/>
          <w:highlight w:val="none"/>
        </w:rPr>
        <w:t>注：投标人须对上述投标内容中完整的一包或几包进行投标，</w:t>
      </w:r>
      <w:r>
        <w:rPr>
          <w:rFonts w:hint="eastAsia" w:ascii="Bookman Old Style" w:hAnsi="Bookman Old Style"/>
          <w:color w:val="auto"/>
          <w:sz w:val="24"/>
          <w:highlight w:val="none"/>
        </w:rPr>
        <w:t>不完整的投标将视为非响应性投标予以拒绝。</w:t>
      </w:r>
    </w:p>
    <w:p w14:paraId="00979F95">
      <w:pPr>
        <w:adjustRightInd w:val="0"/>
        <w:snapToGrid w:val="0"/>
        <w:spacing w:line="360" w:lineRule="auto"/>
        <w:rPr>
          <w:rFonts w:ascii="宋体" w:hAnsi="宋体"/>
          <w:b/>
          <w:color w:val="auto"/>
          <w:sz w:val="28"/>
          <w:szCs w:val="28"/>
          <w:highlight w:val="none"/>
        </w:rPr>
      </w:pPr>
      <w:r>
        <w:rPr>
          <w:rFonts w:hint="eastAsia" w:ascii="Bookman Old Style" w:hAnsi="Bookman Old Style"/>
          <w:color w:val="auto"/>
          <w:sz w:val="24"/>
          <w:highlight w:val="none"/>
        </w:rPr>
        <w:br w:type="page"/>
      </w:r>
      <w:r>
        <w:rPr>
          <w:rFonts w:hint="eastAsia" w:ascii="宋体" w:hAnsi="宋体"/>
          <w:b/>
          <w:color w:val="auto"/>
          <w:sz w:val="28"/>
          <w:szCs w:val="28"/>
          <w:highlight w:val="none"/>
        </w:rPr>
        <w:t>一、总则</w:t>
      </w:r>
    </w:p>
    <w:p w14:paraId="4D6BD53B">
      <w:pPr>
        <w:spacing w:before="156" w:beforeLines="50" w:after="156" w:afterLines="50" w:line="360" w:lineRule="auto"/>
        <w:rPr>
          <w:rFonts w:hint="eastAsia" w:ascii="宋体" w:hAnsi="宋体" w:cs="宋体"/>
          <w:b/>
          <w:color w:val="auto"/>
          <w:sz w:val="24"/>
          <w:highlight w:val="none"/>
        </w:rPr>
      </w:pPr>
      <w:r>
        <w:rPr>
          <w:rFonts w:hint="eastAsia" w:ascii="宋体" w:hAnsi="宋体" w:cs="宋体"/>
          <w:b/>
          <w:color w:val="auto"/>
          <w:sz w:val="24"/>
          <w:highlight w:val="none"/>
        </w:rPr>
        <w:t>1、投标要求</w:t>
      </w:r>
    </w:p>
    <w:p w14:paraId="25763638">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1.1  投标人在准备投标书时，务必在所提供的商品的技术规格文件中，标明型号、商标名称、目录号。</w:t>
      </w:r>
    </w:p>
    <w:p w14:paraId="0EACCBEB">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16A309DF">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1.3  投标人提供的产品样本，必须是“原件”而非复印件，图表、简图、电路图以及印刷电路板图等都应清晰易读。买方有权不付任何附加费用复制这些资料以供参考。</w:t>
      </w:r>
    </w:p>
    <w:p w14:paraId="7A9D0E25">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0D13CDCE">
      <w:pPr>
        <w:spacing w:before="156" w:beforeLines="50" w:after="156" w:afterLines="50" w:line="360" w:lineRule="auto"/>
        <w:rPr>
          <w:rFonts w:hint="eastAsia" w:ascii="宋体" w:hAnsi="宋体" w:cs="宋体"/>
          <w:b/>
          <w:color w:val="auto"/>
          <w:sz w:val="24"/>
          <w:highlight w:val="none"/>
        </w:rPr>
      </w:pPr>
      <w:r>
        <w:rPr>
          <w:rFonts w:hint="eastAsia" w:ascii="宋体" w:hAnsi="宋体" w:cs="宋体"/>
          <w:b/>
          <w:color w:val="auto"/>
          <w:sz w:val="24"/>
          <w:highlight w:val="none"/>
        </w:rPr>
        <w:t>2、评标标准</w:t>
      </w:r>
    </w:p>
    <w:p w14:paraId="1E7A7C79">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2.1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14:paraId="4C39CE64">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2.2  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w:t>
      </w:r>
    </w:p>
    <w:p w14:paraId="3DBFB6B9">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2.3  为便于用户进行接收仪器的准备工作，卖方应在合同生效后</w:t>
      </w:r>
      <w:r>
        <w:rPr>
          <w:rFonts w:hint="eastAsia" w:ascii="宋体" w:hAnsi="宋体" w:cs="宋体"/>
          <w:b/>
          <w:color w:val="auto"/>
          <w:sz w:val="24"/>
          <w:highlight w:val="none"/>
        </w:rPr>
        <w:t>60</w:t>
      </w:r>
      <w:r>
        <w:rPr>
          <w:rFonts w:hint="eastAsia" w:ascii="宋体" w:hAnsi="宋体" w:cs="宋体"/>
          <w:color w:val="auto"/>
          <w:sz w:val="24"/>
          <w:highlight w:val="none"/>
        </w:rPr>
        <w:t>天内向用户提供一套完整的使用说明书、操作手册、维修及安装说明等文件。另一套完整上述资料应在交货时随货包装提供给用户，这些费用应计入投标价中。</w:t>
      </w:r>
    </w:p>
    <w:p w14:paraId="3EBEA040">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2.4  关于设备的安装调试，如果有必要的安装准备条件，卖方应在合同生效后一个月内向买方提出详细的要求或计划。安装调试的费用应计入投标价中，并应单独列出，供评标使用。</w:t>
      </w:r>
    </w:p>
    <w:p w14:paraId="12AEC551">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2.5  制造厂家提供的培训指的是涉及货物的基本原理、操作使用和保养维修等有关内容的培训。培训教员的培训费、旅费、食宿费等费用和培训场地费及培训资料费均应由卖方支付。</w:t>
      </w:r>
    </w:p>
    <w:p w14:paraId="3F7D2E07">
      <w:pPr>
        <w:spacing w:before="156" w:beforeLines="50" w:after="156" w:afterLines="50" w:line="360" w:lineRule="auto"/>
        <w:rPr>
          <w:rFonts w:hint="eastAsia" w:ascii="宋体" w:hAnsi="宋体" w:cs="宋体"/>
          <w:b/>
          <w:color w:val="auto"/>
          <w:sz w:val="24"/>
          <w:highlight w:val="none"/>
        </w:rPr>
      </w:pPr>
      <w:r>
        <w:rPr>
          <w:rFonts w:hint="eastAsia" w:ascii="宋体" w:hAnsi="宋体" w:cs="宋体"/>
          <w:b/>
          <w:color w:val="auto"/>
          <w:sz w:val="24"/>
          <w:highlight w:val="none"/>
        </w:rPr>
        <w:t>3、工作条件</w:t>
      </w:r>
    </w:p>
    <w:p w14:paraId="45CCA1D3">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除非在技术规格中另有说明，所有仪器、设备和系统都应符合下列要求： </w:t>
      </w:r>
    </w:p>
    <w:p w14:paraId="6351104F">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3.1  适于在气温为摄氏</w:t>
      </w:r>
      <w:r>
        <w:rPr>
          <w:rFonts w:hint="eastAsia" w:ascii="宋体" w:hAnsi="宋体" w:cs="宋体"/>
          <w:b/>
          <w:color w:val="auto"/>
          <w:sz w:val="24"/>
          <w:highlight w:val="none"/>
        </w:rPr>
        <w:t>-40℃～＋50℃</w:t>
      </w:r>
      <w:r>
        <w:rPr>
          <w:rFonts w:hint="eastAsia" w:ascii="宋体" w:hAnsi="宋体" w:cs="宋体"/>
          <w:color w:val="auto"/>
          <w:sz w:val="24"/>
          <w:highlight w:val="none"/>
        </w:rPr>
        <w:t>和相对湿度为</w:t>
      </w:r>
      <w:r>
        <w:rPr>
          <w:rFonts w:hint="eastAsia" w:ascii="宋体" w:hAnsi="宋体" w:cs="宋体"/>
          <w:b/>
          <w:color w:val="auto"/>
          <w:sz w:val="24"/>
          <w:highlight w:val="none"/>
        </w:rPr>
        <w:t>90％</w:t>
      </w:r>
      <w:r>
        <w:rPr>
          <w:rFonts w:hint="eastAsia" w:ascii="宋体" w:hAnsi="宋体" w:cs="宋体"/>
          <w:color w:val="auto"/>
          <w:sz w:val="24"/>
          <w:highlight w:val="none"/>
        </w:rPr>
        <w:t>的环境条件下运输和贮存。</w:t>
      </w:r>
    </w:p>
    <w:p w14:paraId="1CE626C7">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3.2  适于在电源</w:t>
      </w:r>
      <w:r>
        <w:rPr>
          <w:rFonts w:hint="eastAsia" w:ascii="宋体" w:hAnsi="宋体" w:cs="宋体"/>
          <w:b/>
          <w:color w:val="auto"/>
          <w:sz w:val="24"/>
          <w:highlight w:val="none"/>
        </w:rPr>
        <w:t>220V（</w:t>
      </w:r>
      <w:r>
        <w:rPr>
          <w:rFonts w:hint="eastAsia" w:ascii="宋体" w:hAnsi="宋体" w:cs="宋体"/>
          <w:b/>
          <w:color w:val="auto"/>
          <w:sz w:val="24"/>
          <w:highlight w:val="none"/>
        </w:rPr>
        <w:sym w:font="Symbol" w:char="F0B1"/>
      </w:r>
      <w:r>
        <w:rPr>
          <w:rFonts w:hint="eastAsia" w:ascii="宋体" w:hAnsi="宋体" w:cs="宋体"/>
          <w:b/>
          <w:color w:val="auto"/>
          <w:sz w:val="24"/>
          <w:highlight w:val="none"/>
        </w:rPr>
        <w:t>10％）/50Hz</w:t>
      </w:r>
      <w:r>
        <w:rPr>
          <w:rFonts w:hint="eastAsia" w:ascii="宋体" w:hAnsi="宋体" w:cs="宋体"/>
          <w:color w:val="auto"/>
          <w:sz w:val="24"/>
          <w:highlight w:val="none"/>
        </w:rPr>
        <w:t>、气温摄氏</w:t>
      </w:r>
      <w:r>
        <w:rPr>
          <w:rFonts w:hint="eastAsia" w:ascii="宋体" w:hAnsi="宋体" w:cs="宋体"/>
          <w:b/>
          <w:color w:val="auto"/>
          <w:sz w:val="24"/>
          <w:highlight w:val="none"/>
        </w:rPr>
        <w:t>+15℃～＋30℃</w:t>
      </w:r>
      <w:r>
        <w:rPr>
          <w:rFonts w:hint="eastAsia" w:ascii="宋体" w:hAnsi="宋体" w:cs="宋体"/>
          <w:color w:val="auto"/>
          <w:sz w:val="24"/>
          <w:highlight w:val="none"/>
        </w:rPr>
        <w:t>和相对湿度小于</w:t>
      </w:r>
      <w:r>
        <w:rPr>
          <w:rFonts w:hint="eastAsia" w:ascii="宋体" w:hAnsi="宋体" w:cs="宋体"/>
          <w:b/>
          <w:color w:val="auto"/>
          <w:sz w:val="24"/>
          <w:highlight w:val="none"/>
        </w:rPr>
        <w:t>80％</w:t>
      </w:r>
      <w:r>
        <w:rPr>
          <w:rFonts w:hint="eastAsia" w:ascii="宋体" w:hAnsi="宋体" w:cs="宋体"/>
          <w:color w:val="auto"/>
          <w:sz w:val="24"/>
          <w:highlight w:val="none"/>
        </w:rPr>
        <w:t>的环境条件下运行。</w:t>
      </w:r>
      <w:r>
        <w:rPr>
          <w:rFonts w:hint="eastAsia" w:ascii="宋体" w:hAnsi="宋体" w:cs="宋体"/>
          <w:b/>
          <w:color w:val="auto"/>
          <w:sz w:val="24"/>
          <w:highlight w:val="none"/>
        </w:rPr>
        <w:t>能够连续正常工作。</w:t>
      </w:r>
    </w:p>
    <w:p w14:paraId="13375E91">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3.3  配置符合中国有关标准要求的插头，如果没有这样的插头，则需提供适当的转换插座。</w:t>
      </w:r>
    </w:p>
    <w:p w14:paraId="774CDCD2">
      <w:pPr>
        <w:spacing w:line="360" w:lineRule="auto"/>
        <w:ind w:left="554" w:hanging="554" w:hangingChars="231"/>
        <w:rPr>
          <w:rFonts w:hint="eastAsia" w:ascii="宋体" w:hAnsi="宋体" w:cs="宋体"/>
          <w:b/>
          <w:bCs/>
          <w:color w:val="auto"/>
          <w:kern w:val="44"/>
          <w:sz w:val="24"/>
          <w:highlight w:val="none"/>
        </w:rPr>
      </w:pPr>
      <w:r>
        <w:rPr>
          <w:rFonts w:hint="eastAsia" w:ascii="宋体" w:hAnsi="宋体" w:cs="宋体"/>
          <w:color w:val="auto"/>
          <w:sz w:val="24"/>
          <w:highlight w:val="none"/>
        </w:rPr>
        <w:t>3.4  如产品达不到上述要求，投标人应注明其偏差。如仪器设备需要特殊工作条件（如水、电源、磁场强度、温度、湿度、动强度等）投标人应在投标书中加以说明。</w:t>
      </w:r>
    </w:p>
    <w:p w14:paraId="51804179">
      <w:pPr>
        <w:spacing w:before="156" w:beforeLines="50" w:after="156" w:afterLines="50" w:line="360" w:lineRule="auto"/>
        <w:rPr>
          <w:rFonts w:hint="eastAsia" w:ascii="宋体" w:hAnsi="宋体" w:cs="宋体"/>
          <w:b/>
          <w:color w:val="auto"/>
          <w:sz w:val="24"/>
          <w:highlight w:val="none"/>
        </w:rPr>
      </w:pPr>
      <w:r>
        <w:rPr>
          <w:rFonts w:hint="eastAsia" w:ascii="宋体" w:hAnsi="宋体" w:cs="宋体"/>
          <w:b/>
          <w:color w:val="auto"/>
          <w:sz w:val="24"/>
          <w:highlight w:val="none"/>
        </w:rPr>
        <w:t>4、验收标准</w:t>
      </w:r>
    </w:p>
    <w:p w14:paraId="62176A35">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除非在技术规格中另有说明，所有仪器、设备和系统按下列要求进行验收： </w:t>
      </w:r>
    </w:p>
    <w:p w14:paraId="25A8CAD1">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4.1  仪器设备运抵安装现场后，买方将与卖方共同开箱验收, 如卖方届时不派人来, 则验收结果应以买方的验收报告为最终验收结果。验收时发现短缺、破损, 买方有权要求卖方负责更换。</w:t>
      </w:r>
    </w:p>
    <w:p w14:paraId="555E63E5">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4.2  验收标准以中标人提供的投标文件中所列的指标为准（该指标应不低于招标文件所要求的指标）。任何虚假指标响应一经发现即作废标，卖方必须承担由此给买方带来的一切经济损失和其它相关责任。</w:t>
      </w:r>
    </w:p>
    <w:p w14:paraId="2D803981">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4.3  验收由采购人、中标人及相关人员依国家有关标准、合同及有关附件要求进行，验收完毕由采购人及中标人在验收报告上签名。</w:t>
      </w:r>
    </w:p>
    <w:p w14:paraId="625F43BC">
      <w:pPr>
        <w:rPr>
          <w:rFonts w:hint="eastAsia"/>
          <w:color w:val="auto"/>
          <w:highlight w:val="none"/>
        </w:rPr>
      </w:pPr>
    </w:p>
    <w:p w14:paraId="71BE305B">
      <w:pPr>
        <w:spacing w:line="360" w:lineRule="auto"/>
        <w:rPr>
          <w:rFonts w:hint="eastAsia" w:ascii="宋体" w:hAnsi="宋体" w:cs="宋体"/>
          <w:b/>
          <w:color w:val="auto"/>
          <w:sz w:val="24"/>
          <w:highlight w:val="none"/>
        </w:rPr>
      </w:pPr>
      <w:r>
        <w:rPr>
          <w:rFonts w:hint="eastAsia" w:ascii="宋体" w:hAnsi="宋体" w:cs="宋体"/>
          <w:b/>
          <w:bCs/>
          <w:color w:val="auto"/>
          <w:sz w:val="24"/>
          <w:highlight w:val="none"/>
        </w:rPr>
        <w:t>5、本采购需求书中标注“★”号技术条款的为实质性要求，不满足其投标将视为无效投标被拒绝。</w:t>
      </w:r>
    </w:p>
    <w:p w14:paraId="38F24CE8">
      <w:pPr>
        <w:rPr>
          <w:rFonts w:hint="eastAsia"/>
          <w:color w:val="auto"/>
          <w:highlight w:val="none"/>
        </w:rPr>
      </w:pPr>
    </w:p>
    <w:p w14:paraId="2003A3FD">
      <w:pPr>
        <w:spacing w:line="360" w:lineRule="auto"/>
        <w:rPr>
          <w:rFonts w:hint="eastAsia" w:ascii="宋体" w:hAnsi="宋体" w:cs="宋体"/>
          <w:color w:val="auto"/>
          <w:sz w:val="24"/>
          <w:highlight w:val="none"/>
        </w:rPr>
      </w:pPr>
      <w:r>
        <w:rPr>
          <w:rFonts w:hint="eastAsia" w:ascii="宋体" w:hAnsi="宋体" w:cs="宋体"/>
          <w:b/>
          <w:color w:val="auto"/>
          <w:sz w:val="24"/>
          <w:highlight w:val="none"/>
        </w:rPr>
        <w:t>6、如在具体技术规格中有本总则不一致之处，以具体技术规格中的要求为准。</w:t>
      </w:r>
    </w:p>
    <w:p w14:paraId="09987D89">
      <w:pPr>
        <w:adjustRightInd w:val="0"/>
        <w:snapToGrid w:val="0"/>
        <w:rPr>
          <w:rFonts w:hint="eastAsia" w:ascii="宋体" w:hAnsi="宋体"/>
          <w:color w:val="auto"/>
          <w:szCs w:val="21"/>
          <w:highlight w:val="none"/>
        </w:rPr>
      </w:pPr>
    </w:p>
    <w:p w14:paraId="480EDC89">
      <w:pPr>
        <w:adjustRightInd w:val="0"/>
        <w:snapToGrid w:val="0"/>
        <w:spacing w:line="360" w:lineRule="auto"/>
        <w:rPr>
          <w:rFonts w:hint="eastAsia" w:ascii="宋体" w:hAnsi="宋体"/>
          <w:b/>
          <w:color w:val="auto"/>
          <w:sz w:val="28"/>
          <w:szCs w:val="28"/>
          <w:highlight w:val="none"/>
        </w:rPr>
      </w:pPr>
      <w:r>
        <w:rPr>
          <w:rFonts w:ascii="宋体" w:hAnsi="宋体"/>
          <w:b/>
          <w:color w:val="auto"/>
          <w:sz w:val="28"/>
          <w:highlight w:val="none"/>
        </w:rPr>
        <w:br w:type="page"/>
      </w:r>
      <w:r>
        <w:rPr>
          <w:rFonts w:hint="eastAsia" w:ascii="宋体" w:hAnsi="宋体"/>
          <w:b/>
          <w:color w:val="auto"/>
          <w:sz w:val="28"/>
          <w:szCs w:val="28"/>
          <w:highlight w:val="none"/>
        </w:rPr>
        <w:t>二、具体技术规格</w:t>
      </w:r>
    </w:p>
    <w:p w14:paraId="1CFC1728">
      <w:pPr>
        <w:rPr>
          <w:rFonts w:hint="eastAsia"/>
          <w:color w:val="auto"/>
          <w:highlight w:val="none"/>
        </w:rPr>
      </w:pPr>
    </w:p>
    <w:p w14:paraId="1D3C153E">
      <w:pPr>
        <w:jc w:val="center"/>
        <w:rPr>
          <w:rFonts w:hint="eastAsia"/>
          <w:b/>
          <w:color w:val="auto"/>
          <w:sz w:val="24"/>
          <w:highlight w:val="none"/>
        </w:rPr>
      </w:pPr>
      <w:r>
        <w:rPr>
          <w:rFonts w:hint="eastAsia"/>
          <w:b/>
          <w:color w:val="auto"/>
          <w:sz w:val="24"/>
          <w:highlight w:val="none"/>
        </w:rPr>
        <w:t>X射线光电子能谱仪</w:t>
      </w:r>
    </w:p>
    <w:p w14:paraId="2B954D89">
      <w:pPr>
        <w:rPr>
          <w:rFonts w:hint="eastAsia"/>
          <w:b/>
          <w:color w:val="auto"/>
          <w:sz w:val="24"/>
          <w:highlight w:val="none"/>
        </w:rPr>
      </w:pPr>
    </w:p>
    <w:p w14:paraId="514D9D91">
      <w:pPr>
        <w:rPr>
          <w:rFonts w:hint="eastAsia"/>
          <w:b/>
          <w:color w:val="auto"/>
          <w:sz w:val="24"/>
          <w:highlight w:val="none"/>
        </w:rPr>
      </w:pPr>
      <w:r>
        <w:rPr>
          <w:rFonts w:hint="eastAsia"/>
          <w:b/>
          <w:color w:val="auto"/>
          <w:sz w:val="24"/>
          <w:highlight w:val="none"/>
        </w:rPr>
        <w:t>（一）技术要求：</w:t>
      </w:r>
    </w:p>
    <w:p w14:paraId="3E7D59F9">
      <w:pPr>
        <w:rPr>
          <w:rFonts w:hint="eastAsia"/>
          <w:b/>
          <w:color w:val="auto"/>
          <w:sz w:val="24"/>
          <w:highlight w:val="none"/>
        </w:rPr>
      </w:pPr>
    </w:p>
    <w:p w14:paraId="6DE5E747">
      <w:pPr>
        <w:pStyle w:val="5"/>
        <w:spacing w:before="156" w:beforeLines="50" w:line="360" w:lineRule="auto"/>
        <w:ind w:left="0" w:leftChars="0" w:firstLine="0" w:firstLineChars="0"/>
        <w:rPr>
          <w:rFonts w:hint="eastAsia"/>
          <w:color w:val="auto"/>
          <w:highlight w:val="none"/>
        </w:rPr>
      </w:pPr>
      <w:r>
        <w:rPr>
          <w:b/>
          <w:color w:val="auto"/>
          <w:sz w:val="24"/>
          <w:highlight w:val="none"/>
        </w:rPr>
        <w:t>1、</w:t>
      </w:r>
      <w:r>
        <w:rPr>
          <w:rFonts w:hint="eastAsia"/>
          <w:b/>
          <w:color w:val="auto"/>
          <w:sz w:val="24"/>
          <w:highlight w:val="none"/>
        </w:rPr>
        <w:t>产品名称、数量：</w:t>
      </w:r>
      <w:r>
        <w:rPr>
          <w:rFonts w:hint="eastAsia"/>
          <w:bCs/>
          <w:color w:val="auto"/>
          <w:sz w:val="24"/>
          <w:highlight w:val="none"/>
        </w:rPr>
        <w:t>X射线光电子能谱仪</w:t>
      </w:r>
      <w:r>
        <w:rPr>
          <w:bCs/>
          <w:color w:val="auto"/>
          <w:sz w:val="24"/>
          <w:highlight w:val="none"/>
        </w:rPr>
        <w:t>，总计1台。</w:t>
      </w:r>
    </w:p>
    <w:p w14:paraId="0D5EDA0D">
      <w:pPr>
        <w:pStyle w:val="5"/>
        <w:spacing w:before="156" w:beforeLines="50" w:line="360" w:lineRule="auto"/>
        <w:ind w:left="0" w:leftChars="0" w:firstLine="0" w:firstLineChars="0"/>
        <w:rPr>
          <w:rFonts w:hint="eastAsia"/>
          <w:b/>
          <w:color w:val="auto"/>
          <w:sz w:val="24"/>
          <w:highlight w:val="none"/>
        </w:rPr>
      </w:pPr>
      <w:r>
        <w:rPr>
          <w:b/>
          <w:color w:val="auto"/>
          <w:sz w:val="24"/>
          <w:highlight w:val="none"/>
        </w:rPr>
        <w:t>2、</w:t>
      </w:r>
      <w:r>
        <w:rPr>
          <w:rFonts w:hint="eastAsia"/>
          <w:b/>
          <w:color w:val="auto"/>
          <w:sz w:val="24"/>
          <w:highlight w:val="none"/>
        </w:rPr>
        <w:t>设备用途说明：</w:t>
      </w:r>
    </w:p>
    <w:p w14:paraId="474A6564">
      <w:pPr>
        <w:widowControl/>
        <w:tabs>
          <w:tab w:val="left" w:pos="8010"/>
        </w:tabs>
        <w:spacing w:line="360" w:lineRule="auto"/>
        <w:ind w:firstLine="480" w:firstLineChars="200"/>
        <w:rPr>
          <w:rFonts w:hint="eastAsia"/>
          <w:bCs/>
          <w:color w:val="auto"/>
          <w:sz w:val="24"/>
          <w:highlight w:val="none"/>
        </w:rPr>
      </w:pPr>
      <w:r>
        <w:rPr>
          <w:rFonts w:hint="eastAsia"/>
          <w:bCs/>
          <w:color w:val="auto"/>
          <w:sz w:val="24"/>
          <w:highlight w:val="none"/>
        </w:rPr>
        <w:t>晶圆级X射线光电子能谱仪（XPS）是一种高精度的表面分析技术，能够对晶圆表面及薄膜的化学成分、元素价态、氧化状态等进行原子层级的表征。其在半导体制程中的作用贯穿多个关键工艺环节，尤其在先进制程、三维集成及新材料开发中不可或缺。其数据可为工艺参数调整、缺陷溯源及良率提升提供科学依据。</w:t>
      </w:r>
    </w:p>
    <w:p w14:paraId="78DEF0E7">
      <w:pPr>
        <w:pStyle w:val="5"/>
        <w:spacing w:before="156" w:beforeLines="50" w:line="360" w:lineRule="auto"/>
        <w:ind w:left="0" w:leftChars="0" w:firstLine="0" w:firstLineChars="0"/>
        <w:rPr>
          <w:b/>
          <w:color w:val="auto"/>
          <w:sz w:val="24"/>
          <w:highlight w:val="none"/>
        </w:rPr>
      </w:pPr>
      <w:r>
        <w:rPr>
          <w:b/>
          <w:color w:val="auto"/>
          <w:sz w:val="24"/>
          <w:highlight w:val="none"/>
        </w:rPr>
        <w:t>3、</w:t>
      </w:r>
      <w:r>
        <w:rPr>
          <w:rFonts w:hint="eastAsia"/>
          <w:b/>
          <w:color w:val="auto"/>
          <w:sz w:val="24"/>
          <w:highlight w:val="none"/>
        </w:rPr>
        <w:t>设备规格</w:t>
      </w:r>
    </w:p>
    <w:p w14:paraId="1974C03F">
      <w:pPr>
        <w:keepNext w:val="0"/>
        <w:keepLines w:val="0"/>
        <w:pageBreakBefore w:val="0"/>
        <w:kinsoku/>
        <w:wordWrap/>
        <w:overflowPunct/>
        <w:topLinePunct w:val="0"/>
        <w:autoSpaceDE/>
        <w:autoSpaceDN/>
        <w:bidi w:val="0"/>
        <w:adjustRightInd/>
        <w:spacing w:line="360" w:lineRule="auto"/>
        <w:ind w:left="0" w:leftChars="0" w:right="0" w:rightChars="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整机系统功能关键性指标</w:t>
      </w:r>
    </w:p>
    <w:p w14:paraId="32320F2D">
      <w:pPr>
        <w:keepNext w:val="0"/>
        <w:keepLines w:val="0"/>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3.1.1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kern w:val="0"/>
          <w:sz w:val="24"/>
          <w:szCs w:val="24"/>
          <w:highlight w:val="none"/>
        </w:rPr>
        <w:t>兼容12吋及其以下任意尺寸晶圆或芯片量测（12吋样品去边5mm），并可保存标准位置快速测试；</w:t>
      </w:r>
    </w:p>
    <w:p w14:paraId="26D8F786">
      <w:pPr>
        <w:keepNext w:val="0"/>
        <w:keepLines w:val="0"/>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kern w:val="0"/>
          <w:sz w:val="24"/>
          <w:szCs w:val="24"/>
          <w:highlight w:val="none"/>
        </w:rPr>
        <w:t>180度半球能量分析器：使用 Ag 为标样进行系统测试时的 Ag3d5/2 半峰宽≤0.55 eV；</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需要提供公开发布的产品彩页或生产厂家出具的技术证明文件</w:t>
      </w:r>
      <w:r>
        <w:rPr>
          <w:rFonts w:hint="eastAsia" w:ascii="宋体" w:hAnsi="宋体" w:eastAsia="宋体" w:cs="宋体"/>
          <w:color w:val="auto"/>
          <w:kern w:val="0"/>
          <w:sz w:val="24"/>
          <w:szCs w:val="24"/>
          <w:highlight w:val="none"/>
          <w:lang w:eastAsia="zh-CN"/>
        </w:rPr>
        <w:t>）</w:t>
      </w:r>
    </w:p>
    <w:p w14:paraId="1FCE52B2">
      <w:pPr>
        <w:keepNext w:val="0"/>
        <w:keepLines w:val="0"/>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bCs/>
          <w:color w:val="auto"/>
          <w:sz w:val="24"/>
          <w:szCs w:val="24"/>
          <w:highlight w:val="none"/>
        </w:rPr>
        <w:t>▲3.1.3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kern w:val="0"/>
          <w:sz w:val="24"/>
          <w:szCs w:val="24"/>
          <w:highlight w:val="none"/>
        </w:rPr>
        <w:t>X射线光斑尺寸：通过锐边扫描实测X-Ray 光斑，最小光斑尺寸≤50 μm；</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需要提供公开发布的产品彩页或生产厂家出具的技术证明文件</w:t>
      </w:r>
      <w:r>
        <w:rPr>
          <w:rFonts w:hint="eastAsia" w:ascii="宋体" w:hAnsi="宋体" w:eastAsia="宋体" w:cs="宋体"/>
          <w:color w:val="auto"/>
          <w:kern w:val="0"/>
          <w:sz w:val="24"/>
          <w:szCs w:val="24"/>
          <w:highlight w:val="none"/>
          <w:lang w:eastAsia="zh-CN"/>
        </w:rPr>
        <w:t>）</w:t>
      </w:r>
    </w:p>
    <w:p w14:paraId="0AF40447">
      <w:pPr>
        <w:keepNext w:val="0"/>
        <w:keepLines w:val="0"/>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bCs/>
          <w:color w:val="auto"/>
          <w:sz w:val="24"/>
          <w:szCs w:val="24"/>
          <w:highlight w:val="none"/>
        </w:rPr>
        <w:t>▲3.1.4</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kern w:val="0"/>
          <w:sz w:val="24"/>
          <w:szCs w:val="24"/>
          <w:highlight w:val="none"/>
        </w:rPr>
        <w:t>XPS信号灵敏度：对清洁的Ag标样进行测试，在Ag3d5/2半峰宽不差于1eV的情况下，使用120W、200μm光斑时，系统扫描模式得到的Ag3d5/2峰高≥3,000,000光子数每秒（CPS）；使用12 W、50μm光斑时，系统扫描模式得到的Ag3d5/2峰高≥200,000光子数每秒（CPS）；</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需要提供公开发布的产品彩页或生产厂家出具的技术证明文件</w:t>
      </w:r>
      <w:r>
        <w:rPr>
          <w:rFonts w:hint="eastAsia" w:ascii="宋体" w:hAnsi="宋体" w:eastAsia="宋体" w:cs="宋体"/>
          <w:color w:val="auto"/>
          <w:kern w:val="0"/>
          <w:sz w:val="24"/>
          <w:szCs w:val="24"/>
          <w:highlight w:val="none"/>
          <w:lang w:eastAsia="zh-CN"/>
        </w:rPr>
        <w:t>）</w:t>
      </w:r>
    </w:p>
    <w:p w14:paraId="77DAF0AD">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color w:val="auto"/>
          <w:kern w:val="0"/>
          <w:sz w:val="24"/>
          <w:szCs w:val="24"/>
          <w:highlight w:val="none"/>
        </w:rPr>
      </w:pPr>
      <w:r>
        <w:rPr>
          <w:rFonts w:hint="eastAsia" w:ascii="宋体" w:hAnsi="宋体" w:eastAsia="宋体" w:cs="宋体"/>
          <w:bCs/>
          <w:color w:val="auto"/>
          <w:sz w:val="24"/>
          <w:szCs w:val="24"/>
          <w:highlight w:val="none"/>
        </w:rPr>
        <w:t>3.1.5 配备</w:t>
      </w:r>
      <w:r>
        <w:rPr>
          <w:rFonts w:hint="eastAsia" w:ascii="宋体" w:hAnsi="宋体" w:eastAsia="宋体" w:cs="宋体"/>
          <w:color w:val="auto"/>
          <w:kern w:val="0"/>
          <w:sz w:val="24"/>
          <w:szCs w:val="24"/>
          <w:highlight w:val="none"/>
        </w:rPr>
        <w:t>观察样品的光学模块，光学分辨率≤20μm；</w:t>
      </w:r>
    </w:p>
    <w:p w14:paraId="341679FA">
      <w:pPr>
        <w:keepNext w:val="0"/>
        <w:keepLines w:val="0"/>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3.1.6</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配备用于样品刻蚀的离子源和荷电补偿中和枪，</w:t>
      </w:r>
      <w:r>
        <w:rPr>
          <w:rFonts w:hint="eastAsia" w:ascii="宋体" w:hAnsi="宋体" w:eastAsia="宋体" w:cs="宋体"/>
          <w:color w:val="auto"/>
          <w:kern w:val="0"/>
          <w:sz w:val="24"/>
          <w:szCs w:val="24"/>
          <w:highlight w:val="none"/>
        </w:rPr>
        <w:t>中和模式下对PET标样进行测试，O-C=O的C1s分辨率≤0.85eV；</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需要提供公开发布的产品彩页或生产厂家出具的技术证明文件</w:t>
      </w:r>
      <w:r>
        <w:rPr>
          <w:rFonts w:hint="eastAsia" w:ascii="宋体" w:hAnsi="宋体" w:eastAsia="宋体" w:cs="宋体"/>
          <w:color w:val="auto"/>
          <w:kern w:val="0"/>
          <w:sz w:val="24"/>
          <w:szCs w:val="24"/>
          <w:highlight w:val="none"/>
          <w:lang w:eastAsia="zh-CN"/>
        </w:rPr>
        <w:t>）</w:t>
      </w:r>
    </w:p>
    <w:p w14:paraId="4F606072">
      <w:pPr>
        <w:keepNext w:val="0"/>
        <w:keepLines w:val="0"/>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★3.1.7</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kern w:val="0"/>
          <w:sz w:val="24"/>
          <w:szCs w:val="24"/>
          <w:highlight w:val="none"/>
        </w:rPr>
        <w:t>能够执行点分析、线扫描、面分析、化学态成像、深度剖析、变角AR-XPS；</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需要提供公开发布的产品彩页或生产厂家出具的技术证明文件</w:t>
      </w:r>
      <w:r>
        <w:rPr>
          <w:rFonts w:hint="eastAsia" w:ascii="宋体" w:hAnsi="宋体" w:eastAsia="宋体" w:cs="宋体"/>
          <w:color w:val="auto"/>
          <w:kern w:val="0"/>
          <w:sz w:val="24"/>
          <w:szCs w:val="24"/>
          <w:highlight w:val="none"/>
          <w:lang w:eastAsia="zh-CN"/>
        </w:rPr>
        <w:t>）</w:t>
      </w:r>
    </w:p>
    <w:p w14:paraId="362860CF">
      <w:pPr>
        <w:keepNext w:val="0"/>
        <w:keepLines w:val="0"/>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★3.1.8</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kern w:val="0"/>
          <w:sz w:val="24"/>
          <w:szCs w:val="24"/>
          <w:highlight w:val="none"/>
        </w:rPr>
        <w:t>化学态成像模式：扫描X射线成像模式，每个像素点有对应的图谱；</w:t>
      </w:r>
    </w:p>
    <w:p w14:paraId="4BE8786F">
      <w:pPr>
        <w:bidi w:val="0"/>
        <w:rPr>
          <w:rFonts w:hint="eastAsia"/>
          <w:color w:val="auto"/>
          <w:highlight w:val="none"/>
        </w:rPr>
      </w:pPr>
    </w:p>
    <w:p w14:paraId="5C57A88A">
      <w:pPr>
        <w:keepNext w:val="0"/>
        <w:keepLines w:val="0"/>
        <w:pageBreakBefore w:val="0"/>
        <w:kinsoku/>
        <w:wordWrap/>
        <w:overflowPunct/>
        <w:topLinePunct w:val="0"/>
        <w:autoSpaceDE/>
        <w:autoSpaceDN/>
        <w:bidi w:val="0"/>
        <w:adjustRightInd/>
        <w:spacing w:line="360" w:lineRule="auto"/>
        <w:ind w:left="0" w:leftChars="0" w:right="0" w:rightChars="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超高真空系统</w:t>
      </w:r>
    </w:p>
    <w:p w14:paraId="516AA6B9">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3.2.1 </w:t>
      </w:r>
      <w:r>
        <w:rPr>
          <w:rFonts w:hint="eastAsia" w:ascii="宋体" w:hAnsi="宋体" w:eastAsia="宋体" w:cs="宋体"/>
          <w:color w:val="auto"/>
          <w:sz w:val="24"/>
          <w:szCs w:val="24"/>
          <w:highlight w:val="none"/>
        </w:rPr>
        <w:t>超高真空腔体配合磁屏蔽内衬，搭配可移动支架，方便与其他真空系统对接；系统漏率≤1x10</w:t>
      </w:r>
      <w:r>
        <w:rPr>
          <w:rFonts w:hint="eastAsia" w:ascii="宋体" w:hAnsi="宋体" w:eastAsia="宋体" w:cs="宋体"/>
          <w:color w:val="auto"/>
          <w:sz w:val="24"/>
          <w:szCs w:val="24"/>
          <w:highlight w:val="none"/>
          <w:vertAlign w:val="superscript"/>
        </w:rPr>
        <w:t>-9</w:t>
      </w:r>
      <w:r>
        <w:rPr>
          <w:rFonts w:hint="eastAsia" w:ascii="宋体" w:hAnsi="宋体" w:eastAsia="宋体" w:cs="宋体"/>
          <w:color w:val="auto"/>
          <w:sz w:val="24"/>
          <w:szCs w:val="24"/>
          <w:highlight w:val="none"/>
        </w:rPr>
        <w:t xml:space="preserve"> mbar·L/sec；</w:t>
      </w:r>
    </w:p>
    <w:p w14:paraId="65088935">
      <w:pPr>
        <w:keepNext w:val="0"/>
        <w:keepLines w:val="0"/>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 xml:space="preserve">3.2.2 </w:t>
      </w:r>
      <w:r>
        <w:rPr>
          <w:rFonts w:hint="eastAsia" w:ascii="宋体" w:hAnsi="宋体" w:eastAsia="宋体" w:cs="宋体"/>
          <w:color w:val="auto"/>
          <w:sz w:val="24"/>
          <w:szCs w:val="24"/>
          <w:highlight w:val="none"/>
        </w:rPr>
        <w:t>分析室应具有完全独立的真空抽气系统，系统充分烘烤后极限真空≤5x10</w:t>
      </w:r>
      <w:r>
        <w:rPr>
          <w:rFonts w:hint="eastAsia" w:ascii="宋体" w:hAnsi="宋体" w:eastAsia="宋体" w:cs="宋体"/>
          <w:color w:val="auto"/>
          <w:sz w:val="24"/>
          <w:szCs w:val="24"/>
          <w:highlight w:val="none"/>
          <w:vertAlign w:val="superscript"/>
        </w:rPr>
        <w:t>-9</w:t>
      </w:r>
      <w:r>
        <w:rPr>
          <w:rFonts w:hint="eastAsia" w:ascii="宋体" w:hAnsi="宋体" w:eastAsia="宋体" w:cs="宋体"/>
          <w:color w:val="auto"/>
          <w:sz w:val="24"/>
          <w:szCs w:val="24"/>
          <w:highlight w:val="none"/>
        </w:rPr>
        <w:t xml:space="preserve"> mbar；</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需要提供公开发布的产品彩页或生产厂家出具的技术证明文件</w:t>
      </w:r>
      <w:r>
        <w:rPr>
          <w:rFonts w:hint="eastAsia" w:ascii="宋体" w:hAnsi="宋体" w:eastAsia="宋体" w:cs="宋体"/>
          <w:color w:val="auto"/>
          <w:kern w:val="0"/>
          <w:sz w:val="24"/>
          <w:szCs w:val="24"/>
          <w:highlight w:val="none"/>
          <w:lang w:eastAsia="zh-CN"/>
        </w:rPr>
        <w:t>）</w:t>
      </w:r>
    </w:p>
    <w:p w14:paraId="274C2066">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3.2.3 </w:t>
      </w:r>
      <w:r>
        <w:rPr>
          <w:rFonts w:hint="eastAsia" w:ascii="宋体" w:hAnsi="宋体" w:eastAsia="宋体" w:cs="宋体"/>
          <w:color w:val="auto"/>
          <w:sz w:val="24"/>
          <w:szCs w:val="24"/>
          <w:highlight w:val="none"/>
        </w:rPr>
        <w:t>系统搭配铅玻璃观察视窗，可以实时观察真空内部并屏蔽X射线辐射；</w:t>
      </w:r>
    </w:p>
    <w:p w14:paraId="142E5AC8">
      <w:pPr>
        <w:bidi w:val="0"/>
        <w:rPr>
          <w:rFonts w:hint="eastAsia"/>
          <w:color w:val="auto"/>
          <w:highlight w:val="none"/>
        </w:rPr>
      </w:pPr>
    </w:p>
    <w:p w14:paraId="5BE9DB2F">
      <w:pPr>
        <w:keepNext w:val="0"/>
        <w:keepLines w:val="0"/>
        <w:pageBreakBefore w:val="0"/>
        <w:kinsoku/>
        <w:wordWrap/>
        <w:overflowPunct/>
        <w:topLinePunct w:val="0"/>
        <w:autoSpaceDE/>
        <w:autoSpaceDN/>
        <w:bidi w:val="0"/>
        <w:adjustRightInd/>
        <w:spacing w:line="360" w:lineRule="auto"/>
        <w:ind w:left="0" w:leftChars="0" w:right="0" w:rightChars="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3.3</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微聚焦单色化X射线源</w:t>
      </w:r>
    </w:p>
    <w:p w14:paraId="653FD048">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电子能量：≥10keV；</w:t>
      </w:r>
    </w:p>
    <w:p w14:paraId="292566D5">
      <w:pPr>
        <w:keepNext w:val="0"/>
        <w:keepLines w:val="0"/>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可移动阳极靶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≥15个阳极点位；</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需要提供公开发布的产品彩页或生产厂家出具的技术证明文件</w:t>
      </w:r>
      <w:r>
        <w:rPr>
          <w:rFonts w:hint="eastAsia" w:ascii="宋体" w:hAnsi="宋体" w:eastAsia="宋体" w:cs="宋体"/>
          <w:color w:val="auto"/>
          <w:kern w:val="0"/>
          <w:sz w:val="24"/>
          <w:szCs w:val="24"/>
          <w:highlight w:val="none"/>
          <w:lang w:eastAsia="zh-CN"/>
        </w:rPr>
        <w:t>）</w:t>
      </w:r>
    </w:p>
    <w:p w14:paraId="6CD90C3F">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单色化晶体：罗兰圆直径≥200mm；</w:t>
      </w:r>
    </w:p>
    <w:p w14:paraId="0D3471FD">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X射线能量：1486.7eV；</w:t>
      </w:r>
    </w:p>
    <w:p w14:paraId="40874307">
      <w:pPr>
        <w:keepNext w:val="0"/>
        <w:keepLines w:val="0"/>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光斑尺寸：50-400μm可调；</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需要提供公开发布的产品彩页或生产厂家出具的技术证明文件</w:t>
      </w:r>
      <w:r>
        <w:rPr>
          <w:rFonts w:hint="eastAsia" w:ascii="宋体" w:hAnsi="宋体" w:eastAsia="宋体" w:cs="宋体"/>
          <w:color w:val="auto"/>
          <w:kern w:val="0"/>
          <w:sz w:val="24"/>
          <w:szCs w:val="24"/>
          <w:highlight w:val="none"/>
          <w:lang w:eastAsia="zh-CN"/>
        </w:rPr>
        <w:t>）</w:t>
      </w:r>
    </w:p>
    <w:p w14:paraId="7B4038FA">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最大功率：120W；</w:t>
      </w:r>
    </w:p>
    <w:p w14:paraId="007F8B30">
      <w:pPr>
        <w:bidi w:val="0"/>
        <w:rPr>
          <w:rFonts w:hint="eastAsia"/>
          <w:color w:val="auto"/>
          <w:highlight w:val="none"/>
        </w:rPr>
      </w:pPr>
    </w:p>
    <w:p w14:paraId="4BADBAE3">
      <w:pPr>
        <w:keepNext w:val="0"/>
        <w:keepLines w:val="0"/>
        <w:pageBreakBefore w:val="0"/>
        <w:kinsoku/>
        <w:wordWrap/>
        <w:overflowPunct/>
        <w:topLinePunct w:val="0"/>
        <w:autoSpaceDE/>
        <w:autoSpaceDN/>
        <w:bidi w:val="0"/>
        <w:adjustRightInd/>
        <w:spacing w:line="360" w:lineRule="auto"/>
        <w:ind w:left="0" w:leftChars="0" w:right="0" w:rightChars="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3.4</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Ar离子源</w:t>
      </w:r>
    </w:p>
    <w:p w14:paraId="769F6FA9">
      <w:pPr>
        <w:keepNext w:val="0"/>
        <w:keepLines w:val="0"/>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离子能量：0.2-4 keV，多能量可选；</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需要提供公开发布的产品彩页或生产厂家出具的技术证明文件</w:t>
      </w:r>
      <w:r>
        <w:rPr>
          <w:rFonts w:hint="eastAsia" w:ascii="宋体" w:hAnsi="宋体" w:eastAsia="宋体" w:cs="宋体"/>
          <w:color w:val="auto"/>
          <w:kern w:val="0"/>
          <w:sz w:val="24"/>
          <w:szCs w:val="24"/>
          <w:highlight w:val="none"/>
          <w:lang w:eastAsia="zh-CN"/>
        </w:rPr>
        <w:t>）</w:t>
      </w:r>
    </w:p>
    <w:p w14:paraId="4601C89A">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刻蚀区域：2 mm*2 mm</w:t>
      </w:r>
    </w:p>
    <w:p w14:paraId="2BF2C821">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最大束流：4 μA </w:t>
      </w:r>
    </w:p>
    <w:p w14:paraId="2097A842">
      <w:pPr>
        <w:bidi w:val="0"/>
        <w:rPr>
          <w:rFonts w:hint="eastAsia"/>
          <w:color w:val="auto"/>
          <w:highlight w:val="none"/>
        </w:rPr>
      </w:pPr>
    </w:p>
    <w:p w14:paraId="1F58F905">
      <w:pPr>
        <w:keepNext w:val="0"/>
        <w:keepLines w:val="0"/>
        <w:pageBreakBefore w:val="0"/>
        <w:kinsoku/>
        <w:wordWrap/>
        <w:overflowPunct/>
        <w:topLinePunct w:val="0"/>
        <w:autoSpaceDE/>
        <w:autoSpaceDN/>
        <w:bidi w:val="0"/>
        <w:adjustRightInd/>
        <w:spacing w:line="360" w:lineRule="auto"/>
        <w:ind w:left="0" w:leftChars="0" w:right="0" w:rightChars="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3.5</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电子中和枪</w:t>
      </w:r>
    </w:p>
    <w:p w14:paraId="76C1F18D">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电子能量：≤10eV；</w:t>
      </w:r>
    </w:p>
    <w:p w14:paraId="2E777C02">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电子束流：≥100μA；</w:t>
      </w:r>
    </w:p>
    <w:p w14:paraId="5A220363">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中和区域：≥2mm×2mm；</w:t>
      </w:r>
    </w:p>
    <w:p w14:paraId="024177F2">
      <w:pPr>
        <w:pStyle w:val="5"/>
        <w:keepNext w:val="0"/>
        <w:keepLines w:val="0"/>
        <w:pageBreakBefore w:val="0"/>
        <w:kinsoku/>
        <w:wordWrap/>
        <w:overflowPunct/>
        <w:topLinePunct w:val="0"/>
        <w:autoSpaceDE/>
        <w:autoSpaceDN/>
        <w:bidi w:val="0"/>
        <w:adjustRightInd/>
        <w:spacing w:after="0" w:line="360" w:lineRule="auto"/>
        <w:ind w:left="0" w:leftChars="0" w:right="0" w:righ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★3.5.4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中和条件自动匹配，适用于所有不导电样品及粗糙表面的精准荷电中和。</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需要提供公开发布的产品彩页或生产厂家出具的技术证明文件</w:t>
      </w:r>
      <w:r>
        <w:rPr>
          <w:rFonts w:hint="eastAsia" w:ascii="宋体" w:hAnsi="宋体" w:eastAsia="宋体" w:cs="宋体"/>
          <w:color w:val="auto"/>
          <w:kern w:val="0"/>
          <w:sz w:val="24"/>
          <w:szCs w:val="24"/>
          <w:highlight w:val="none"/>
          <w:lang w:eastAsia="zh-CN"/>
        </w:rPr>
        <w:t>）</w:t>
      </w:r>
    </w:p>
    <w:p w14:paraId="1F7D5199">
      <w:pPr>
        <w:bidi w:val="0"/>
        <w:rPr>
          <w:rFonts w:hint="eastAsia"/>
          <w:color w:val="auto"/>
          <w:highlight w:val="none"/>
        </w:rPr>
      </w:pPr>
    </w:p>
    <w:p w14:paraId="6FC6E61B">
      <w:pPr>
        <w:keepNext w:val="0"/>
        <w:keepLines w:val="0"/>
        <w:pageBreakBefore w:val="0"/>
        <w:kinsoku/>
        <w:wordWrap/>
        <w:overflowPunct/>
        <w:topLinePunct w:val="0"/>
        <w:autoSpaceDE/>
        <w:autoSpaceDN/>
        <w:bidi w:val="0"/>
        <w:adjustRightInd/>
        <w:spacing w:line="360" w:lineRule="auto"/>
        <w:ind w:left="0" w:leftChars="0" w:right="0" w:righ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12吋晶圆等离子体源</w:t>
      </w:r>
    </w:p>
    <w:p w14:paraId="4C4E4F7A">
      <w:pPr>
        <w:keepNext w:val="0"/>
        <w:keepLines w:val="0"/>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★3.6.1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兼容12吋及其以下任意尺寸样品的等离体子激活处理；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需要提供公开发布的产品彩页或生产厂家出具的技术证明文件</w:t>
      </w:r>
      <w:r>
        <w:rPr>
          <w:rFonts w:hint="eastAsia" w:ascii="宋体" w:hAnsi="宋体" w:eastAsia="宋体" w:cs="宋体"/>
          <w:color w:val="auto"/>
          <w:kern w:val="0"/>
          <w:sz w:val="24"/>
          <w:szCs w:val="24"/>
          <w:highlight w:val="none"/>
          <w:lang w:eastAsia="zh-CN"/>
        </w:rPr>
        <w:t>）</w:t>
      </w:r>
    </w:p>
    <w:p w14:paraId="5D83AB74">
      <w:pPr>
        <w:keepNext w:val="0"/>
        <w:keepLines w:val="0"/>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安装于进样室，带有栅网结构；</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需要提供公开发布的产品彩页或生产厂家出具的技术证明文件</w:t>
      </w:r>
      <w:r>
        <w:rPr>
          <w:rFonts w:hint="eastAsia" w:ascii="宋体" w:hAnsi="宋体" w:eastAsia="宋体" w:cs="宋体"/>
          <w:color w:val="auto"/>
          <w:kern w:val="0"/>
          <w:sz w:val="24"/>
          <w:szCs w:val="24"/>
          <w:highlight w:val="none"/>
          <w:lang w:eastAsia="zh-CN"/>
        </w:rPr>
        <w:t>）</w:t>
      </w:r>
    </w:p>
    <w:p w14:paraId="27C05F71">
      <w:pPr>
        <w:keepNext w:val="0"/>
        <w:keepLines w:val="0"/>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ICP射频电源频率：13.56 MHz，最大功率：≥2 kW；</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需要提供公开发布的产品彩页或生产厂家出具的技术证明文件</w:t>
      </w:r>
      <w:r>
        <w:rPr>
          <w:rFonts w:hint="eastAsia" w:ascii="宋体" w:hAnsi="宋体" w:eastAsia="宋体" w:cs="宋体"/>
          <w:color w:val="auto"/>
          <w:kern w:val="0"/>
          <w:sz w:val="24"/>
          <w:szCs w:val="24"/>
          <w:highlight w:val="none"/>
          <w:lang w:eastAsia="zh-CN"/>
        </w:rPr>
        <w:t>）</w:t>
      </w:r>
    </w:p>
    <w:p w14:paraId="5A0E2873">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工作压力：5×10</w:t>
      </w:r>
      <w:r>
        <w:rPr>
          <w:rFonts w:hint="eastAsia" w:ascii="宋体" w:hAnsi="宋体" w:eastAsia="宋体" w:cs="宋体"/>
          <w:color w:val="auto"/>
          <w:sz w:val="24"/>
          <w:szCs w:val="24"/>
          <w:highlight w:val="none"/>
          <w:vertAlign w:val="superscript"/>
        </w:rPr>
        <w:t>-4</w:t>
      </w:r>
      <w:r>
        <w:rPr>
          <w:rFonts w:hint="eastAsia" w:ascii="宋体" w:hAnsi="宋体" w:eastAsia="宋体" w:cs="宋体"/>
          <w:color w:val="auto"/>
          <w:sz w:val="24"/>
          <w:szCs w:val="24"/>
          <w:highlight w:val="none"/>
        </w:rPr>
        <w:t xml:space="preserve"> - 0.5 mbar；</w:t>
      </w:r>
    </w:p>
    <w:p w14:paraId="7687B703">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工艺气体种类要求：兼容N</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、O</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、Ar、H</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、H</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O等常规或功能性工艺气体（出于安全考虑，H</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和O</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 xml:space="preserve">不可混用）； </w:t>
      </w:r>
    </w:p>
    <w:p w14:paraId="26488573">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进气流速控制要求：采用数字型MFC进行控制，MFC量程需满足管路工艺气体流量需求；</w:t>
      </w:r>
    </w:p>
    <w:p w14:paraId="3AAE00BD">
      <w:pPr>
        <w:bidi w:val="0"/>
        <w:rPr>
          <w:rFonts w:hint="eastAsia"/>
          <w:color w:val="auto"/>
          <w:highlight w:val="none"/>
        </w:rPr>
      </w:pPr>
    </w:p>
    <w:p w14:paraId="539D5AE6">
      <w:pPr>
        <w:keepNext w:val="0"/>
        <w:keepLines w:val="0"/>
        <w:pageBreakBefore w:val="0"/>
        <w:kinsoku/>
        <w:wordWrap/>
        <w:overflowPunct/>
        <w:topLinePunct w:val="0"/>
        <w:autoSpaceDE/>
        <w:autoSpaceDN/>
        <w:bidi w:val="0"/>
        <w:adjustRightInd/>
        <w:spacing w:line="360" w:lineRule="auto"/>
        <w:ind w:left="0" w:leftChars="0" w:right="0" w:righ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半球形电子能量分析器</w:t>
      </w:r>
    </w:p>
    <w:p w14:paraId="77D54116">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3.7.1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工作距离：≥30 mm；</w:t>
      </w:r>
    </w:p>
    <w:p w14:paraId="4FEAC4BF">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3.7.2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电子</w:t>
      </w:r>
      <w:r>
        <w:rPr>
          <w:rFonts w:hint="eastAsia" w:ascii="宋体" w:hAnsi="宋体" w:eastAsia="宋体" w:cs="宋体"/>
          <w:bCs/>
          <w:color w:val="auto"/>
          <w:sz w:val="24"/>
          <w:szCs w:val="24"/>
          <w:highlight w:val="none"/>
        </w:rPr>
        <w:t>平均半径：≥120 mm；</w:t>
      </w:r>
    </w:p>
    <w:p w14:paraId="192A3DA0">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3.7.3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分析能量范围：5-1500 eV；</w:t>
      </w:r>
    </w:p>
    <w:p w14:paraId="7F6F5F19">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3.7.4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通过能范围：1-300 eV；</w:t>
      </w:r>
    </w:p>
    <w:p w14:paraId="1A08B87D">
      <w:pPr>
        <w:keepNext w:val="0"/>
        <w:keepLines w:val="0"/>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▲3.7.5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探测器</w:t>
      </w:r>
      <w:r>
        <w:rPr>
          <w:rFonts w:hint="eastAsia" w:ascii="宋体" w:hAnsi="宋体" w:eastAsia="宋体" w:cs="宋体"/>
          <w:bCs/>
          <w:color w:val="auto"/>
          <w:sz w:val="24"/>
          <w:szCs w:val="24"/>
          <w:highlight w:val="none"/>
        </w:rPr>
        <w:t>类型：多通道阳极探测器（非荧光屏），通道数：≥120；</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需要提供公开发布的产品彩页或生产厂家出具的技术证明文件</w:t>
      </w:r>
      <w:r>
        <w:rPr>
          <w:rFonts w:hint="eastAsia" w:ascii="宋体" w:hAnsi="宋体" w:eastAsia="宋体" w:cs="宋体"/>
          <w:color w:val="auto"/>
          <w:kern w:val="0"/>
          <w:sz w:val="24"/>
          <w:szCs w:val="24"/>
          <w:highlight w:val="none"/>
          <w:lang w:eastAsia="zh-CN"/>
        </w:rPr>
        <w:t>）</w:t>
      </w:r>
    </w:p>
    <w:p w14:paraId="00BC016E">
      <w:pPr>
        <w:bidi w:val="0"/>
        <w:rPr>
          <w:rFonts w:hint="eastAsia"/>
          <w:color w:val="auto"/>
          <w:highlight w:val="none"/>
        </w:rPr>
      </w:pPr>
    </w:p>
    <w:p w14:paraId="4C6DC9B4">
      <w:pPr>
        <w:keepNext w:val="0"/>
        <w:keepLines w:val="0"/>
        <w:pageBreakBefore w:val="0"/>
        <w:kinsoku/>
        <w:wordWrap/>
        <w:overflowPunct/>
        <w:topLinePunct w:val="0"/>
        <w:autoSpaceDE/>
        <w:autoSpaceDN/>
        <w:bidi w:val="0"/>
        <w:adjustRightInd/>
        <w:spacing w:line="360" w:lineRule="auto"/>
        <w:ind w:left="0" w:leftChars="0" w:right="0" w:rightChars="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3.8</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光学成像系统</w:t>
      </w:r>
    </w:p>
    <w:p w14:paraId="731313F2">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3.8.1观察方向：正上；</w:t>
      </w:r>
    </w:p>
    <w:p w14:paraId="4B1DC29A">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3.8.2视场：＞3mm</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3mm；</w:t>
      </w:r>
    </w:p>
    <w:p w14:paraId="244BF623">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3.8.3分辨率：20μm；</w:t>
      </w:r>
    </w:p>
    <w:p w14:paraId="3D9CB925">
      <w:pPr>
        <w:pStyle w:val="5"/>
        <w:keepNext w:val="0"/>
        <w:keepLines w:val="0"/>
        <w:pageBreakBefore w:val="0"/>
        <w:kinsoku/>
        <w:wordWrap/>
        <w:overflowPunct/>
        <w:topLinePunct w:val="0"/>
        <w:autoSpaceDE/>
        <w:autoSpaceDN/>
        <w:bidi w:val="0"/>
        <w:adjustRightInd/>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★3.8.4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可对样品托完整拍照，并可用于对分析点进行导航，使得软件可将预先选择的分析区域定位到电子光谱测量系统的视场中；</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需要提供公开发布的产品彩页或生产厂家出具的技术证明文件</w:t>
      </w:r>
      <w:r>
        <w:rPr>
          <w:rFonts w:hint="eastAsia" w:ascii="宋体" w:hAnsi="宋体" w:eastAsia="宋体" w:cs="宋体"/>
          <w:color w:val="auto"/>
          <w:kern w:val="0"/>
          <w:sz w:val="24"/>
          <w:szCs w:val="24"/>
          <w:highlight w:val="none"/>
          <w:lang w:eastAsia="zh-CN"/>
        </w:rPr>
        <w:t>）</w:t>
      </w:r>
    </w:p>
    <w:p w14:paraId="0F89EDE1">
      <w:pPr>
        <w:bidi w:val="0"/>
        <w:rPr>
          <w:rFonts w:hint="eastAsia"/>
          <w:color w:val="auto"/>
          <w:highlight w:val="none"/>
        </w:rPr>
      </w:pPr>
    </w:p>
    <w:p w14:paraId="245DF62A">
      <w:pPr>
        <w:keepNext w:val="0"/>
        <w:keepLines w:val="0"/>
        <w:pageBreakBefore w:val="0"/>
        <w:kinsoku/>
        <w:wordWrap/>
        <w:overflowPunct/>
        <w:topLinePunct w:val="0"/>
        <w:autoSpaceDE/>
        <w:autoSpaceDN/>
        <w:bidi w:val="0"/>
        <w:adjustRightInd/>
        <w:spacing w:line="360" w:lineRule="auto"/>
        <w:ind w:left="0" w:leftChars="0" w:right="0" w:rightChars="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3.9</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高精度5轴12吋晶圆台</w:t>
      </w:r>
    </w:p>
    <w:p w14:paraId="5D772ADD">
      <w:pPr>
        <w:keepNext w:val="0"/>
        <w:keepLines w:val="0"/>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3.9.1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兼容12吋晶圆，可以实现偏压等操作；</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需要提供公开发布的产品彩页或生产厂家出具的技术证明文件</w:t>
      </w:r>
      <w:r>
        <w:rPr>
          <w:rFonts w:hint="eastAsia" w:ascii="宋体" w:hAnsi="宋体" w:eastAsia="宋体" w:cs="宋体"/>
          <w:color w:val="auto"/>
          <w:kern w:val="0"/>
          <w:sz w:val="24"/>
          <w:szCs w:val="24"/>
          <w:highlight w:val="none"/>
          <w:lang w:eastAsia="zh-CN"/>
        </w:rPr>
        <w:t>）</w:t>
      </w:r>
    </w:p>
    <w:p w14:paraId="5F042AC1">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3.9.2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运动行程：X、Y轴≥300 mm，Z轴≥50 mm；</w:t>
      </w:r>
    </w:p>
    <w:p w14:paraId="013FBCB0">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3.9.3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移动精度：≤5μm；</w:t>
      </w:r>
    </w:p>
    <w:p w14:paraId="1BDC8186">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3.9.4</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载重：≥1 kg；</w:t>
      </w:r>
    </w:p>
    <w:p w14:paraId="4E3EB1F6">
      <w:pPr>
        <w:keepNext w:val="0"/>
        <w:keepLines w:val="0"/>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3.9.5</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中心可旋转：360°；倾斜范围：0-90º，角度分辨≤±1º；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需要提供公开发布的产品彩页或生产厂家出具的技术证明文件</w:t>
      </w:r>
      <w:r>
        <w:rPr>
          <w:rFonts w:hint="eastAsia" w:ascii="宋体" w:hAnsi="宋体" w:eastAsia="宋体" w:cs="宋体"/>
          <w:color w:val="auto"/>
          <w:kern w:val="0"/>
          <w:sz w:val="24"/>
          <w:szCs w:val="24"/>
          <w:highlight w:val="none"/>
          <w:lang w:eastAsia="zh-CN"/>
        </w:rPr>
        <w:t>）</w:t>
      </w:r>
    </w:p>
    <w:p w14:paraId="0C62C722">
      <w:pPr>
        <w:bidi w:val="0"/>
        <w:rPr>
          <w:rFonts w:hint="eastAsia"/>
          <w:color w:val="auto"/>
          <w:highlight w:val="none"/>
        </w:rPr>
      </w:pPr>
    </w:p>
    <w:p w14:paraId="08F719D9">
      <w:pPr>
        <w:keepNext w:val="0"/>
        <w:keepLines w:val="0"/>
        <w:pageBreakBefore w:val="0"/>
        <w:kinsoku/>
        <w:wordWrap/>
        <w:overflowPunct/>
        <w:topLinePunct w:val="0"/>
        <w:autoSpaceDE/>
        <w:autoSpaceDN/>
        <w:bidi w:val="0"/>
        <w:adjustRightInd/>
        <w:spacing w:line="360" w:lineRule="auto"/>
        <w:ind w:left="0" w:leftChars="0" w:right="0" w:rightChars="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3.10数据采集及分析软件</w:t>
      </w:r>
    </w:p>
    <w:p w14:paraId="7EEC05F4">
      <w:pPr>
        <w:keepNext w:val="0"/>
        <w:keepLines w:val="0"/>
        <w:pageBreakBefore w:val="0"/>
        <w:kinsoku/>
        <w:wordWrap/>
        <w:overflowPunct/>
        <w:topLinePunct w:val="0"/>
        <w:autoSpaceDE/>
        <w:autoSpaceDN/>
        <w:bidi w:val="0"/>
        <w:adjustRightInd/>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3.10.1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自动化数据采集和处理；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需要提供公开发布的产品彩页或生产厂家出具的技术证明文件</w:t>
      </w:r>
      <w:r>
        <w:rPr>
          <w:rFonts w:hint="eastAsia" w:ascii="宋体" w:hAnsi="宋体" w:eastAsia="宋体" w:cs="宋体"/>
          <w:color w:val="auto"/>
          <w:kern w:val="0"/>
          <w:sz w:val="24"/>
          <w:szCs w:val="24"/>
          <w:highlight w:val="none"/>
          <w:lang w:eastAsia="zh-CN"/>
        </w:rPr>
        <w:t>）</w:t>
      </w:r>
    </w:p>
    <w:p w14:paraId="05158A33">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3.10.2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具有视觉系统；</w:t>
      </w:r>
    </w:p>
    <w:p w14:paraId="0A760B18">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3.10.3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可控制自动化样品传输和移动；</w:t>
      </w:r>
    </w:p>
    <w:p w14:paraId="5179C8C5">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3.10.4</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源项控制（可编程）；</w:t>
      </w:r>
    </w:p>
    <w:p w14:paraId="486851FE">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3.10.5</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电子能量分析器控制（可编程）；</w:t>
      </w:r>
    </w:p>
    <w:p w14:paraId="7B07976E">
      <w:pPr>
        <w:keepNext w:val="0"/>
        <w:keepLines w:val="0"/>
        <w:pageBreakBefore w:val="0"/>
        <w:kinsoku/>
        <w:wordWrap/>
        <w:overflowPunct/>
        <w:topLinePunct w:val="0"/>
        <w:autoSpaceDE/>
        <w:autoSpaceDN/>
        <w:bidi w:val="0"/>
        <w:adjustRightInd/>
        <w:spacing w:line="360" w:lineRule="auto"/>
        <w:ind w:right="0" w:rightChars="0" w:firstLine="720" w:firstLineChars="3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3.10.6</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真空系统控制及保护；</w:t>
      </w:r>
    </w:p>
    <w:p w14:paraId="65E825B6">
      <w:pPr>
        <w:keepNext w:val="0"/>
        <w:keepLines w:val="0"/>
        <w:pageBreakBefore w:val="0"/>
        <w:kinsoku/>
        <w:wordWrap/>
        <w:overflowPunct/>
        <w:topLinePunct w:val="0"/>
        <w:autoSpaceDE/>
        <w:autoSpaceDN/>
        <w:bidi w:val="0"/>
        <w:adjustRightInd/>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3.10.7</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完整的数据库，支持元素的自动采集与分析；</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需要提供公开发布的产品彩页或生产厂家出具的技术证明文件</w:t>
      </w:r>
      <w:r>
        <w:rPr>
          <w:rFonts w:hint="eastAsia" w:ascii="宋体" w:hAnsi="宋体" w:eastAsia="宋体" w:cs="宋体"/>
          <w:color w:val="auto"/>
          <w:kern w:val="0"/>
          <w:sz w:val="24"/>
          <w:szCs w:val="24"/>
          <w:highlight w:val="none"/>
          <w:lang w:eastAsia="zh-CN"/>
        </w:rPr>
        <w:t>）</w:t>
      </w:r>
    </w:p>
    <w:p w14:paraId="795DE1FA">
      <w:pPr>
        <w:keepNext w:val="0"/>
        <w:keepLines w:val="0"/>
        <w:pageBreakBefore w:val="0"/>
        <w:kinsoku/>
        <w:wordWrap/>
        <w:overflowPunct/>
        <w:topLinePunct w:val="0"/>
        <w:autoSpaceDE/>
        <w:autoSpaceDN/>
        <w:bidi w:val="0"/>
        <w:adjustRightInd/>
        <w:snapToGrid/>
        <w:spacing w:line="360" w:lineRule="auto"/>
        <w:ind w:right="0" w:rightChars="0" w:firstLine="720" w:firstLineChars="300"/>
        <w:textAlignment w:val="auto"/>
        <w:rPr>
          <w:rFonts w:hint="eastAsia" w:ascii="宋体" w:hAnsi="宋体" w:cs="宋体"/>
          <w:color w:val="auto"/>
          <w:sz w:val="24"/>
          <w:highlight w:val="none"/>
        </w:rPr>
      </w:pPr>
      <w:r>
        <w:rPr>
          <w:rFonts w:hint="eastAsia" w:ascii="宋体" w:hAnsi="宋体" w:eastAsia="宋体" w:cs="宋体"/>
          <w:bCs/>
          <w:color w:val="auto"/>
          <w:sz w:val="24"/>
          <w:szCs w:val="24"/>
          <w:highlight w:val="none"/>
        </w:rPr>
        <w:t>3.10.8</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可远程操作主机；</w:t>
      </w:r>
    </w:p>
    <w:p w14:paraId="187EB3C4">
      <w:pPr>
        <w:bidi w:val="0"/>
        <w:rPr>
          <w:color w:val="auto"/>
          <w:highlight w:val="none"/>
        </w:rPr>
      </w:pPr>
    </w:p>
    <w:p w14:paraId="2E8DD145">
      <w:pPr>
        <w:widowControl/>
        <w:snapToGrid w:val="0"/>
        <w:spacing w:before="156" w:beforeLines="50" w:line="360" w:lineRule="auto"/>
        <w:rPr>
          <w:b/>
          <w:color w:val="auto"/>
          <w:sz w:val="24"/>
          <w:highlight w:val="none"/>
        </w:rPr>
      </w:pPr>
      <w:r>
        <w:rPr>
          <w:b/>
          <w:color w:val="auto"/>
          <w:sz w:val="24"/>
          <w:highlight w:val="none"/>
        </w:rPr>
        <w:t>4、配置清单及零配件（包括专用工具）：</w:t>
      </w:r>
    </w:p>
    <w:tbl>
      <w:tblPr>
        <w:tblStyle w:val="6"/>
        <w:tblW w:w="9018" w:type="dxa"/>
        <w:jc w:val="center"/>
        <w:tblLayout w:type="fixed"/>
        <w:tblCellMar>
          <w:top w:w="0" w:type="dxa"/>
          <w:left w:w="108" w:type="dxa"/>
          <w:bottom w:w="0" w:type="dxa"/>
          <w:right w:w="108" w:type="dxa"/>
        </w:tblCellMar>
      </w:tblPr>
      <w:tblGrid>
        <w:gridCol w:w="944"/>
        <w:gridCol w:w="5882"/>
        <w:gridCol w:w="1128"/>
        <w:gridCol w:w="1064"/>
      </w:tblGrid>
      <w:tr w14:paraId="2B490031">
        <w:tblPrEx>
          <w:tblCellMar>
            <w:top w:w="0" w:type="dxa"/>
            <w:left w:w="108" w:type="dxa"/>
            <w:bottom w:w="0" w:type="dxa"/>
            <w:right w:w="108" w:type="dxa"/>
          </w:tblCellMar>
        </w:tblPrEx>
        <w:trPr>
          <w:trHeight w:val="631" w:hRule="atLeast"/>
          <w:jc w:val="center"/>
        </w:trPr>
        <w:tc>
          <w:tcPr>
            <w:tcW w:w="944" w:type="dxa"/>
            <w:tcBorders>
              <w:top w:val="single" w:color="auto" w:sz="4" w:space="0"/>
              <w:left w:val="single" w:color="auto" w:sz="4" w:space="0"/>
              <w:bottom w:val="single" w:color="auto" w:sz="4" w:space="0"/>
              <w:right w:val="single" w:color="auto" w:sz="4" w:space="0"/>
            </w:tcBorders>
            <w:noWrap/>
            <w:vAlign w:val="center"/>
          </w:tcPr>
          <w:p w14:paraId="3477C1AC">
            <w:pPr>
              <w:widowControl/>
              <w:snapToGrid w:val="0"/>
              <w:spacing w:before="156" w:beforeLines="50" w:line="360" w:lineRule="auto"/>
              <w:jc w:val="center"/>
              <w:rPr>
                <w:b/>
                <w:bCs/>
                <w:color w:val="auto"/>
                <w:sz w:val="24"/>
                <w:highlight w:val="none"/>
              </w:rPr>
            </w:pPr>
            <w:r>
              <w:rPr>
                <w:b/>
                <w:bCs/>
                <w:color w:val="auto"/>
                <w:sz w:val="24"/>
                <w:highlight w:val="none"/>
              </w:rPr>
              <w:t>序号</w:t>
            </w:r>
          </w:p>
        </w:tc>
        <w:tc>
          <w:tcPr>
            <w:tcW w:w="5882" w:type="dxa"/>
            <w:tcBorders>
              <w:top w:val="single" w:color="auto" w:sz="4" w:space="0"/>
              <w:left w:val="nil"/>
              <w:bottom w:val="single" w:color="auto" w:sz="4" w:space="0"/>
              <w:right w:val="single" w:color="auto" w:sz="4" w:space="0"/>
            </w:tcBorders>
            <w:noWrap/>
            <w:vAlign w:val="center"/>
          </w:tcPr>
          <w:p w14:paraId="7AFA22FA">
            <w:pPr>
              <w:widowControl/>
              <w:snapToGrid w:val="0"/>
              <w:spacing w:before="156" w:beforeLines="50" w:line="360" w:lineRule="auto"/>
              <w:jc w:val="center"/>
              <w:rPr>
                <w:b/>
                <w:bCs/>
                <w:color w:val="auto"/>
                <w:sz w:val="24"/>
                <w:highlight w:val="none"/>
              </w:rPr>
            </w:pPr>
            <w:r>
              <w:rPr>
                <w:b/>
                <w:bCs/>
                <w:color w:val="auto"/>
                <w:sz w:val="24"/>
                <w:highlight w:val="none"/>
              </w:rPr>
              <w:t>名称</w:t>
            </w:r>
          </w:p>
        </w:tc>
        <w:tc>
          <w:tcPr>
            <w:tcW w:w="1128" w:type="dxa"/>
            <w:tcBorders>
              <w:top w:val="single" w:color="auto" w:sz="4" w:space="0"/>
              <w:left w:val="nil"/>
              <w:bottom w:val="single" w:color="auto" w:sz="4" w:space="0"/>
              <w:right w:val="single" w:color="auto" w:sz="4" w:space="0"/>
            </w:tcBorders>
            <w:noWrap/>
            <w:vAlign w:val="center"/>
          </w:tcPr>
          <w:p w14:paraId="758727AC">
            <w:pPr>
              <w:widowControl/>
              <w:snapToGrid w:val="0"/>
              <w:spacing w:before="156" w:beforeLines="50" w:line="360" w:lineRule="auto"/>
              <w:jc w:val="center"/>
              <w:rPr>
                <w:b/>
                <w:bCs/>
                <w:color w:val="auto"/>
                <w:sz w:val="24"/>
                <w:highlight w:val="none"/>
              </w:rPr>
            </w:pPr>
            <w:r>
              <w:rPr>
                <w:b/>
                <w:bCs/>
                <w:color w:val="auto"/>
                <w:sz w:val="24"/>
                <w:highlight w:val="none"/>
              </w:rPr>
              <w:t>单位</w:t>
            </w:r>
          </w:p>
        </w:tc>
        <w:tc>
          <w:tcPr>
            <w:tcW w:w="1064" w:type="dxa"/>
            <w:tcBorders>
              <w:top w:val="single" w:color="auto" w:sz="4" w:space="0"/>
              <w:left w:val="nil"/>
              <w:bottom w:val="single" w:color="auto" w:sz="4" w:space="0"/>
              <w:right w:val="single" w:color="auto" w:sz="4" w:space="0"/>
            </w:tcBorders>
            <w:noWrap/>
            <w:vAlign w:val="center"/>
          </w:tcPr>
          <w:p w14:paraId="2D5F5091">
            <w:pPr>
              <w:widowControl/>
              <w:snapToGrid w:val="0"/>
              <w:spacing w:before="156" w:beforeLines="50" w:line="360" w:lineRule="auto"/>
              <w:jc w:val="center"/>
              <w:rPr>
                <w:b/>
                <w:bCs/>
                <w:color w:val="auto"/>
                <w:sz w:val="24"/>
                <w:highlight w:val="none"/>
              </w:rPr>
            </w:pPr>
            <w:r>
              <w:rPr>
                <w:b/>
                <w:bCs/>
                <w:color w:val="auto"/>
                <w:sz w:val="24"/>
                <w:highlight w:val="none"/>
              </w:rPr>
              <w:t>数量</w:t>
            </w:r>
          </w:p>
        </w:tc>
      </w:tr>
      <w:tr w14:paraId="7F9AFC66">
        <w:tblPrEx>
          <w:tblCellMar>
            <w:top w:w="0" w:type="dxa"/>
            <w:left w:w="108" w:type="dxa"/>
            <w:bottom w:w="0" w:type="dxa"/>
            <w:right w:w="108" w:type="dxa"/>
          </w:tblCellMar>
        </w:tblPrEx>
        <w:trPr>
          <w:trHeight w:val="631" w:hRule="atLeast"/>
          <w:jc w:val="center"/>
        </w:trPr>
        <w:tc>
          <w:tcPr>
            <w:tcW w:w="944" w:type="dxa"/>
            <w:tcBorders>
              <w:top w:val="single" w:color="auto" w:sz="4" w:space="0"/>
              <w:left w:val="single" w:color="auto" w:sz="4" w:space="0"/>
              <w:bottom w:val="single" w:color="auto" w:sz="4" w:space="0"/>
              <w:right w:val="single" w:color="auto" w:sz="4" w:space="0"/>
            </w:tcBorders>
            <w:noWrap/>
            <w:vAlign w:val="center"/>
          </w:tcPr>
          <w:p w14:paraId="2E6661BF">
            <w:pPr>
              <w:widowControl/>
              <w:snapToGrid w:val="0"/>
              <w:spacing w:before="156" w:beforeLines="50" w:line="360" w:lineRule="auto"/>
              <w:jc w:val="center"/>
              <w:rPr>
                <w:color w:val="auto"/>
                <w:sz w:val="24"/>
                <w:highlight w:val="none"/>
              </w:rPr>
            </w:pPr>
            <w:r>
              <w:rPr>
                <w:color w:val="auto"/>
                <w:sz w:val="24"/>
                <w:highlight w:val="none"/>
              </w:rPr>
              <w:t>1</w:t>
            </w:r>
          </w:p>
        </w:tc>
        <w:tc>
          <w:tcPr>
            <w:tcW w:w="5882" w:type="dxa"/>
            <w:tcBorders>
              <w:top w:val="single" w:color="auto" w:sz="4" w:space="0"/>
              <w:left w:val="single" w:color="auto" w:sz="4" w:space="0"/>
              <w:bottom w:val="single" w:color="auto" w:sz="4" w:space="0"/>
              <w:right w:val="single" w:color="auto" w:sz="4" w:space="0"/>
            </w:tcBorders>
            <w:noWrap/>
            <w:vAlign w:val="center"/>
          </w:tcPr>
          <w:p w14:paraId="7EFA0D75">
            <w:pPr>
              <w:widowControl/>
              <w:snapToGrid w:val="0"/>
              <w:spacing w:before="156" w:beforeLines="5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超高真空腔体</w:t>
            </w:r>
          </w:p>
        </w:tc>
        <w:tc>
          <w:tcPr>
            <w:tcW w:w="1128" w:type="dxa"/>
            <w:tcBorders>
              <w:top w:val="single" w:color="auto" w:sz="4" w:space="0"/>
              <w:left w:val="single" w:color="auto" w:sz="4" w:space="0"/>
              <w:bottom w:val="single" w:color="auto" w:sz="4" w:space="0"/>
              <w:right w:val="single" w:color="auto" w:sz="4" w:space="0"/>
            </w:tcBorders>
            <w:noWrap/>
            <w:vAlign w:val="center"/>
          </w:tcPr>
          <w:p w14:paraId="6419116E">
            <w:pPr>
              <w:widowControl/>
              <w:snapToGrid w:val="0"/>
              <w:spacing w:before="156" w:before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064" w:type="dxa"/>
            <w:tcBorders>
              <w:top w:val="single" w:color="auto" w:sz="4" w:space="0"/>
              <w:left w:val="single" w:color="auto" w:sz="4" w:space="0"/>
              <w:bottom w:val="single" w:color="auto" w:sz="4" w:space="0"/>
              <w:right w:val="single" w:color="auto" w:sz="4" w:space="0"/>
            </w:tcBorders>
            <w:noWrap/>
            <w:vAlign w:val="center"/>
          </w:tcPr>
          <w:p w14:paraId="01EC3FAF">
            <w:pPr>
              <w:widowControl/>
              <w:snapToGrid w:val="0"/>
              <w:spacing w:before="156" w:before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r>
      <w:tr w14:paraId="63050344">
        <w:tblPrEx>
          <w:tblCellMar>
            <w:top w:w="0" w:type="dxa"/>
            <w:left w:w="108" w:type="dxa"/>
            <w:bottom w:w="0" w:type="dxa"/>
            <w:right w:w="108" w:type="dxa"/>
          </w:tblCellMar>
        </w:tblPrEx>
        <w:trPr>
          <w:trHeight w:val="631" w:hRule="atLeast"/>
          <w:jc w:val="center"/>
        </w:trPr>
        <w:tc>
          <w:tcPr>
            <w:tcW w:w="944" w:type="dxa"/>
            <w:tcBorders>
              <w:top w:val="single" w:color="auto" w:sz="4" w:space="0"/>
              <w:left w:val="single" w:color="auto" w:sz="4" w:space="0"/>
              <w:bottom w:val="single" w:color="auto" w:sz="4" w:space="0"/>
              <w:right w:val="single" w:color="auto" w:sz="4" w:space="0"/>
            </w:tcBorders>
            <w:noWrap/>
            <w:vAlign w:val="center"/>
          </w:tcPr>
          <w:p w14:paraId="66D41F37">
            <w:pPr>
              <w:widowControl/>
              <w:snapToGrid w:val="0"/>
              <w:spacing w:before="156" w:beforeLines="50" w:line="360" w:lineRule="auto"/>
              <w:jc w:val="center"/>
              <w:rPr>
                <w:color w:val="auto"/>
                <w:sz w:val="24"/>
                <w:highlight w:val="none"/>
              </w:rPr>
            </w:pPr>
            <w:r>
              <w:rPr>
                <w:color w:val="auto"/>
                <w:sz w:val="24"/>
                <w:highlight w:val="none"/>
              </w:rPr>
              <w:t>2</w:t>
            </w:r>
          </w:p>
        </w:tc>
        <w:tc>
          <w:tcPr>
            <w:tcW w:w="5882" w:type="dxa"/>
            <w:tcBorders>
              <w:top w:val="single" w:color="auto" w:sz="4" w:space="0"/>
              <w:left w:val="single" w:color="auto" w:sz="4" w:space="0"/>
              <w:bottom w:val="single" w:color="auto" w:sz="4" w:space="0"/>
              <w:right w:val="single" w:color="auto" w:sz="4" w:space="0"/>
            </w:tcBorders>
            <w:noWrap/>
            <w:vAlign w:val="center"/>
          </w:tcPr>
          <w:p w14:paraId="7926083E">
            <w:pPr>
              <w:widowControl/>
              <w:snapToGrid w:val="0"/>
              <w:spacing w:before="156" w:beforeLines="5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配套工具</w:t>
            </w:r>
          </w:p>
        </w:tc>
        <w:tc>
          <w:tcPr>
            <w:tcW w:w="1128" w:type="dxa"/>
            <w:tcBorders>
              <w:top w:val="single" w:color="auto" w:sz="4" w:space="0"/>
              <w:left w:val="single" w:color="auto" w:sz="4" w:space="0"/>
              <w:bottom w:val="single" w:color="auto" w:sz="4" w:space="0"/>
              <w:right w:val="single" w:color="auto" w:sz="4" w:space="0"/>
            </w:tcBorders>
            <w:noWrap/>
            <w:vAlign w:val="center"/>
          </w:tcPr>
          <w:p w14:paraId="70E98F8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064" w:type="dxa"/>
            <w:tcBorders>
              <w:top w:val="single" w:color="auto" w:sz="4" w:space="0"/>
              <w:left w:val="single" w:color="auto" w:sz="4" w:space="0"/>
              <w:bottom w:val="single" w:color="auto" w:sz="4" w:space="0"/>
              <w:right w:val="single" w:color="auto" w:sz="4" w:space="0"/>
            </w:tcBorders>
            <w:noWrap/>
            <w:vAlign w:val="center"/>
          </w:tcPr>
          <w:p w14:paraId="075A705E">
            <w:pPr>
              <w:widowControl/>
              <w:snapToGrid w:val="0"/>
              <w:spacing w:before="156" w:before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r>
      <w:tr w14:paraId="3616C347">
        <w:tblPrEx>
          <w:tblCellMar>
            <w:top w:w="0" w:type="dxa"/>
            <w:left w:w="108" w:type="dxa"/>
            <w:bottom w:w="0" w:type="dxa"/>
            <w:right w:w="108" w:type="dxa"/>
          </w:tblCellMar>
        </w:tblPrEx>
        <w:trPr>
          <w:trHeight w:val="631" w:hRule="atLeast"/>
          <w:jc w:val="center"/>
        </w:trPr>
        <w:tc>
          <w:tcPr>
            <w:tcW w:w="944" w:type="dxa"/>
            <w:tcBorders>
              <w:top w:val="single" w:color="auto" w:sz="4" w:space="0"/>
              <w:left w:val="single" w:color="auto" w:sz="4" w:space="0"/>
              <w:bottom w:val="single" w:color="auto" w:sz="4" w:space="0"/>
              <w:right w:val="single" w:color="auto" w:sz="4" w:space="0"/>
            </w:tcBorders>
            <w:noWrap/>
            <w:vAlign w:val="center"/>
          </w:tcPr>
          <w:p w14:paraId="0C9BAF3C">
            <w:pPr>
              <w:widowControl/>
              <w:snapToGrid w:val="0"/>
              <w:spacing w:before="156" w:beforeLines="50" w:line="360" w:lineRule="auto"/>
              <w:jc w:val="center"/>
              <w:rPr>
                <w:color w:val="auto"/>
                <w:sz w:val="24"/>
                <w:highlight w:val="none"/>
              </w:rPr>
            </w:pPr>
            <w:r>
              <w:rPr>
                <w:color w:val="auto"/>
                <w:sz w:val="24"/>
                <w:highlight w:val="none"/>
              </w:rPr>
              <w:t>3</w:t>
            </w:r>
          </w:p>
        </w:tc>
        <w:tc>
          <w:tcPr>
            <w:tcW w:w="5882" w:type="dxa"/>
            <w:tcBorders>
              <w:top w:val="single" w:color="auto" w:sz="4" w:space="0"/>
              <w:left w:val="single" w:color="auto" w:sz="4" w:space="0"/>
              <w:bottom w:val="single" w:color="auto" w:sz="4" w:space="0"/>
              <w:right w:val="single" w:color="auto" w:sz="4" w:space="0"/>
            </w:tcBorders>
            <w:noWrap/>
            <w:vAlign w:val="center"/>
          </w:tcPr>
          <w:p w14:paraId="15132F1D">
            <w:pPr>
              <w:widowControl/>
              <w:snapToGrid w:val="0"/>
              <w:spacing w:before="156" w:beforeLines="5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微聚焦单色化X射线源</w:t>
            </w:r>
          </w:p>
        </w:tc>
        <w:tc>
          <w:tcPr>
            <w:tcW w:w="1128" w:type="dxa"/>
            <w:tcBorders>
              <w:top w:val="single" w:color="auto" w:sz="4" w:space="0"/>
              <w:left w:val="single" w:color="auto" w:sz="4" w:space="0"/>
              <w:bottom w:val="single" w:color="auto" w:sz="4" w:space="0"/>
              <w:right w:val="single" w:color="auto" w:sz="4" w:space="0"/>
            </w:tcBorders>
            <w:noWrap/>
            <w:vAlign w:val="center"/>
          </w:tcPr>
          <w:p w14:paraId="652EB73D">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064" w:type="dxa"/>
            <w:tcBorders>
              <w:top w:val="single" w:color="auto" w:sz="4" w:space="0"/>
              <w:left w:val="single" w:color="auto" w:sz="4" w:space="0"/>
              <w:bottom w:val="single" w:color="auto" w:sz="4" w:space="0"/>
              <w:right w:val="single" w:color="auto" w:sz="4" w:space="0"/>
            </w:tcBorders>
            <w:noWrap/>
            <w:vAlign w:val="center"/>
          </w:tcPr>
          <w:p w14:paraId="1F0C4A66">
            <w:pPr>
              <w:widowControl/>
              <w:snapToGrid w:val="0"/>
              <w:spacing w:before="156" w:before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r>
      <w:tr w14:paraId="0B59AAC4">
        <w:tblPrEx>
          <w:tblCellMar>
            <w:top w:w="0" w:type="dxa"/>
            <w:left w:w="108" w:type="dxa"/>
            <w:bottom w:w="0" w:type="dxa"/>
            <w:right w:w="108" w:type="dxa"/>
          </w:tblCellMar>
        </w:tblPrEx>
        <w:trPr>
          <w:trHeight w:val="631" w:hRule="atLeast"/>
          <w:jc w:val="center"/>
        </w:trPr>
        <w:tc>
          <w:tcPr>
            <w:tcW w:w="944" w:type="dxa"/>
            <w:tcBorders>
              <w:top w:val="single" w:color="auto" w:sz="4" w:space="0"/>
              <w:left w:val="single" w:color="auto" w:sz="4" w:space="0"/>
              <w:bottom w:val="single" w:color="auto" w:sz="4" w:space="0"/>
              <w:right w:val="single" w:color="auto" w:sz="4" w:space="0"/>
            </w:tcBorders>
            <w:noWrap/>
            <w:vAlign w:val="center"/>
          </w:tcPr>
          <w:p w14:paraId="07EA948B">
            <w:pPr>
              <w:widowControl/>
              <w:snapToGrid w:val="0"/>
              <w:spacing w:before="156" w:beforeLines="50" w:line="360" w:lineRule="auto"/>
              <w:jc w:val="center"/>
              <w:rPr>
                <w:color w:val="auto"/>
                <w:sz w:val="24"/>
                <w:highlight w:val="none"/>
              </w:rPr>
            </w:pPr>
            <w:r>
              <w:rPr>
                <w:color w:val="auto"/>
                <w:sz w:val="24"/>
                <w:highlight w:val="none"/>
              </w:rPr>
              <w:t>4</w:t>
            </w:r>
          </w:p>
        </w:tc>
        <w:tc>
          <w:tcPr>
            <w:tcW w:w="5882" w:type="dxa"/>
            <w:tcBorders>
              <w:top w:val="single" w:color="auto" w:sz="4" w:space="0"/>
              <w:left w:val="single" w:color="auto" w:sz="4" w:space="0"/>
              <w:bottom w:val="single" w:color="auto" w:sz="4" w:space="0"/>
              <w:right w:val="single" w:color="auto" w:sz="4" w:space="0"/>
            </w:tcBorders>
            <w:noWrap/>
            <w:vAlign w:val="center"/>
          </w:tcPr>
          <w:p w14:paraId="0747A1C8">
            <w:pPr>
              <w:widowControl/>
              <w:snapToGrid w:val="0"/>
              <w:spacing w:before="156" w:beforeLines="5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Ar离子源</w:t>
            </w:r>
          </w:p>
        </w:tc>
        <w:tc>
          <w:tcPr>
            <w:tcW w:w="1128" w:type="dxa"/>
            <w:tcBorders>
              <w:top w:val="single" w:color="auto" w:sz="4" w:space="0"/>
              <w:left w:val="single" w:color="auto" w:sz="4" w:space="0"/>
              <w:bottom w:val="single" w:color="auto" w:sz="4" w:space="0"/>
              <w:right w:val="single" w:color="auto" w:sz="4" w:space="0"/>
            </w:tcBorders>
            <w:noWrap/>
            <w:vAlign w:val="center"/>
          </w:tcPr>
          <w:p w14:paraId="1A36FE1D">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064" w:type="dxa"/>
            <w:tcBorders>
              <w:top w:val="single" w:color="auto" w:sz="4" w:space="0"/>
              <w:left w:val="single" w:color="auto" w:sz="4" w:space="0"/>
              <w:bottom w:val="single" w:color="auto" w:sz="4" w:space="0"/>
              <w:right w:val="single" w:color="auto" w:sz="4" w:space="0"/>
            </w:tcBorders>
            <w:noWrap/>
            <w:vAlign w:val="center"/>
          </w:tcPr>
          <w:p w14:paraId="6F1EBE98">
            <w:pPr>
              <w:widowControl/>
              <w:snapToGrid w:val="0"/>
              <w:spacing w:before="156" w:before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r>
      <w:tr w14:paraId="17E0E9DE">
        <w:tblPrEx>
          <w:tblCellMar>
            <w:top w:w="0" w:type="dxa"/>
            <w:left w:w="108" w:type="dxa"/>
            <w:bottom w:w="0" w:type="dxa"/>
            <w:right w:w="108" w:type="dxa"/>
          </w:tblCellMar>
        </w:tblPrEx>
        <w:trPr>
          <w:trHeight w:val="631" w:hRule="atLeast"/>
          <w:jc w:val="center"/>
        </w:trPr>
        <w:tc>
          <w:tcPr>
            <w:tcW w:w="944" w:type="dxa"/>
            <w:tcBorders>
              <w:top w:val="single" w:color="auto" w:sz="4" w:space="0"/>
              <w:left w:val="single" w:color="auto" w:sz="4" w:space="0"/>
              <w:bottom w:val="single" w:color="auto" w:sz="4" w:space="0"/>
              <w:right w:val="single" w:color="auto" w:sz="4" w:space="0"/>
            </w:tcBorders>
            <w:noWrap/>
            <w:vAlign w:val="center"/>
          </w:tcPr>
          <w:p w14:paraId="1D8531D6">
            <w:pPr>
              <w:widowControl/>
              <w:snapToGrid w:val="0"/>
              <w:spacing w:before="156" w:beforeLines="50" w:line="360" w:lineRule="auto"/>
              <w:jc w:val="center"/>
              <w:rPr>
                <w:color w:val="auto"/>
                <w:sz w:val="24"/>
                <w:highlight w:val="none"/>
              </w:rPr>
            </w:pPr>
            <w:r>
              <w:rPr>
                <w:color w:val="auto"/>
                <w:sz w:val="24"/>
                <w:highlight w:val="none"/>
              </w:rPr>
              <w:t>5</w:t>
            </w:r>
          </w:p>
        </w:tc>
        <w:tc>
          <w:tcPr>
            <w:tcW w:w="5882" w:type="dxa"/>
            <w:tcBorders>
              <w:top w:val="single" w:color="auto" w:sz="4" w:space="0"/>
              <w:left w:val="single" w:color="auto" w:sz="4" w:space="0"/>
              <w:bottom w:val="single" w:color="auto" w:sz="4" w:space="0"/>
              <w:right w:val="single" w:color="auto" w:sz="4" w:space="0"/>
            </w:tcBorders>
            <w:noWrap/>
            <w:vAlign w:val="center"/>
          </w:tcPr>
          <w:p w14:paraId="6025BB47">
            <w:pPr>
              <w:widowControl/>
              <w:snapToGrid w:val="0"/>
              <w:spacing w:before="156" w:beforeLines="5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电子中和枪</w:t>
            </w:r>
          </w:p>
        </w:tc>
        <w:tc>
          <w:tcPr>
            <w:tcW w:w="1128" w:type="dxa"/>
            <w:tcBorders>
              <w:top w:val="single" w:color="auto" w:sz="4" w:space="0"/>
              <w:left w:val="single" w:color="auto" w:sz="4" w:space="0"/>
              <w:bottom w:val="single" w:color="auto" w:sz="4" w:space="0"/>
              <w:right w:val="single" w:color="auto" w:sz="4" w:space="0"/>
            </w:tcBorders>
            <w:noWrap/>
            <w:vAlign w:val="center"/>
          </w:tcPr>
          <w:p w14:paraId="12613BE5">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064" w:type="dxa"/>
            <w:tcBorders>
              <w:top w:val="single" w:color="auto" w:sz="4" w:space="0"/>
              <w:left w:val="single" w:color="auto" w:sz="4" w:space="0"/>
              <w:bottom w:val="single" w:color="auto" w:sz="4" w:space="0"/>
              <w:right w:val="single" w:color="auto" w:sz="4" w:space="0"/>
            </w:tcBorders>
            <w:noWrap/>
            <w:vAlign w:val="center"/>
          </w:tcPr>
          <w:p w14:paraId="6C32AFD7">
            <w:pPr>
              <w:widowControl/>
              <w:snapToGrid w:val="0"/>
              <w:spacing w:before="156" w:before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r>
      <w:tr w14:paraId="62413909">
        <w:tblPrEx>
          <w:tblCellMar>
            <w:top w:w="0" w:type="dxa"/>
            <w:left w:w="108" w:type="dxa"/>
            <w:bottom w:w="0" w:type="dxa"/>
            <w:right w:w="108" w:type="dxa"/>
          </w:tblCellMar>
        </w:tblPrEx>
        <w:trPr>
          <w:trHeight w:val="631" w:hRule="atLeast"/>
          <w:jc w:val="center"/>
        </w:trPr>
        <w:tc>
          <w:tcPr>
            <w:tcW w:w="944" w:type="dxa"/>
            <w:tcBorders>
              <w:top w:val="single" w:color="auto" w:sz="4" w:space="0"/>
              <w:left w:val="single" w:color="auto" w:sz="4" w:space="0"/>
              <w:bottom w:val="single" w:color="auto" w:sz="4" w:space="0"/>
              <w:right w:val="single" w:color="auto" w:sz="4" w:space="0"/>
            </w:tcBorders>
            <w:noWrap/>
            <w:vAlign w:val="center"/>
          </w:tcPr>
          <w:p w14:paraId="4529E5FE">
            <w:pPr>
              <w:widowControl/>
              <w:snapToGrid w:val="0"/>
              <w:spacing w:before="156" w:beforeLines="50" w:line="360" w:lineRule="auto"/>
              <w:jc w:val="center"/>
              <w:rPr>
                <w:rFonts w:hint="eastAsia" w:eastAsia="宋体"/>
                <w:color w:val="auto"/>
                <w:sz w:val="24"/>
                <w:highlight w:val="none"/>
                <w:lang w:val="en-US" w:eastAsia="zh-CN"/>
              </w:rPr>
            </w:pPr>
            <w:r>
              <w:rPr>
                <w:rFonts w:hint="eastAsia"/>
                <w:color w:val="auto"/>
                <w:sz w:val="24"/>
                <w:highlight w:val="none"/>
                <w:lang w:val="en-US" w:eastAsia="zh-CN"/>
              </w:rPr>
              <w:t>6</w:t>
            </w:r>
          </w:p>
        </w:tc>
        <w:tc>
          <w:tcPr>
            <w:tcW w:w="5882" w:type="dxa"/>
            <w:tcBorders>
              <w:top w:val="single" w:color="auto" w:sz="4" w:space="0"/>
              <w:left w:val="single" w:color="auto" w:sz="4" w:space="0"/>
              <w:bottom w:val="single" w:color="auto" w:sz="4" w:space="0"/>
              <w:right w:val="single" w:color="auto" w:sz="4" w:space="0"/>
            </w:tcBorders>
            <w:noWrap/>
            <w:vAlign w:val="center"/>
          </w:tcPr>
          <w:p w14:paraId="0C4655F4">
            <w:pPr>
              <w:widowControl/>
              <w:snapToGrid w:val="0"/>
              <w:spacing w:before="156" w:beforeLines="5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等离子体源</w:t>
            </w:r>
          </w:p>
        </w:tc>
        <w:tc>
          <w:tcPr>
            <w:tcW w:w="1128" w:type="dxa"/>
            <w:tcBorders>
              <w:top w:val="single" w:color="auto" w:sz="4" w:space="0"/>
              <w:left w:val="single" w:color="auto" w:sz="4" w:space="0"/>
              <w:bottom w:val="single" w:color="auto" w:sz="4" w:space="0"/>
              <w:right w:val="single" w:color="auto" w:sz="4" w:space="0"/>
            </w:tcBorders>
            <w:noWrap/>
            <w:vAlign w:val="center"/>
          </w:tcPr>
          <w:p w14:paraId="080EB44E">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064" w:type="dxa"/>
            <w:tcBorders>
              <w:top w:val="single" w:color="auto" w:sz="4" w:space="0"/>
              <w:left w:val="single" w:color="auto" w:sz="4" w:space="0"/>
              <w:bottom w:val="single" w:color="auto" w:sz="4" w:space="0"/>
              <w:right w:val="single" w:color="auto" w:sz="4" w:space="0"/>
            </w:tcBorders>
            <w:noWrap/>
            <w:vAlign w:val="center"/>
          </w:tcPr>
          <w:p w14:paraId="6DC95DBA">
            <w:pPr>
              <w:widowControl/>
              <w:snapToGrid w:val="0"/>
              <w:spacing w:before="156" w:before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r>
      <w:tr w14:paraId="1AE4F9CB">
        <w:tblPrEx>
          <w:tblCellMar>
            <w:top w:w="0" w:type="dxa"/>
            <w:left w:w="108" w:type="dxa"/>
            <w:bottom w:w="0" w:type="dxa"/>
            <w:right w:w="108" w:type="dxa"/>
          </w:tblCellMar>
        </w:tblPrEx>
        <w:trPr>
          <w:trHeight w:val="631" w:hRule="atLeast"/>
          <w:jc w:val="center"/>
        </w:trPr>
        <w:tc>
          <w:tcPr>
            <w:tcW w:w="944" w:type="dxa"/>
            <w:tcBorders>
              <w:top w:val="single" w:color="auto" w:sz="4" w:space="0"/>
              <w:left w:val="single" w:color="auto" w:sz="4" w:space="0"/>
              <w:bottom w:val="single" w:color="auto" w:sz="4" w:space="0"/>
              <w:right w:val="single" w:color="auto" w:sz="4" w:space="0"/>
            </w:tcBorders>
            <w:noWrap/>
            <w:vAlign w:val="center"/>
          </w:tcPr>
          <w:p w14:paraId="4AE903CA">
            <w:pPr>
              <w:widowControl/>
              <w:snapToGrid w:val="0"/>
              <w:spacing w:before="156" w:beforeLines="50" w:line="360" w:lineRule="auto"/>
              <w:jc w:val="center"/>
              <w:rPr>
                <w:rFonts w:hint="eastAsia" w:eastAsia="宋体"/>
                <w:color w:val="auto"/>
                <w:sz w:val="24"/>
                <w:highlight w:val="none"/>
                <w:lang w:val="en-US" w:eastAsia="zh-CN"/>
              </w:rPr>
            </w:pPr>
            <w:r>
              <w:rPr>
                <w:rFonts w:hint="eastAsia"/>
                <w:color w:val="auto"/>
                <w:sz w:val="24"/>
                <w:highlight w:val="none"/>
                <w:lang w:val="en-US" w:eastAsia="zh-CN"/>
              </w:rPr>
              <w:t>7</w:t>
            </w:r>
          </w:p>
        </w:tc>
        <w:tc>
          <w:tcPr>
            <w:tcW w:w="5882" w:type="dxa"/>
            <w:tcBorders>
              <w:top w:val="single" w:color="auto" w:sz="4" w:space="0"/>
              <w:left w:val="single" w:color="auto" w:sz="4" w:space="0"/>
              <w:bottom w:val="single" w:color="auto" w:sz="4" w:space="0"/>
              <w:right w:val="single" w:color="auto" w:sz="4" w:space="0"/>
            </w:tcBorders>
            <w:noWrap/>
            <w:vAlign w:val="center"/>
          </w:tcPr>
          <w:p w14:paraId="28CE9D0A">
            <w:pPr>
              <w:widowControl/>
              <w:snapToGrid w:val="0"/>
              <w:spacing w:before="156" w:beforeLines="5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半球形电子能量分析器</w:t>
            </w:r>
          </w:p>
        </w:tc>
        <w:tc>
          <w:tcPr>
            <w:tcW w:w="1128" w:type="dxa"/>
            <w:tcBorders>
              <w:top w:val="single" w:color="auto" w:sz="4" w:space="0"/>
              <w:left w:val="single" w:color="auto" w:sz="4" w:space="0"/>
              <w:bottom w:val="single" w:color="auto" w:sz="4" w:space="0"/>
              <w:right w:val="single" w:color="auto" w:sz="4" w:space="0"/>
            </w:tcBorders>
            <w:noWrap/>
            <w:vAlign w:val="center"/>
          </w:tcPr>
          <w:p w14:paraId="71A0B507">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064" w:type="dxa"/>
            <w:tcBorders>
              <w:top w:val="single" w:color="auto" w:sz="4" w:space="0"/>
              <w:left w:val="single" w:color="auto" w:sz="4" w:space="0"/>
              <w:bottom w:val="single" w:color="auto" w:sz="4" w:space="0"/>
              <w:right w:val="single" w:color="auto" w:sz="4" w:space="0"/>
            </w:tcBorders>
            <w:noWrap/>
            <w:vAlign w:val="center"/>
          </w:tcPr>
          <w:p w14:paraId="3F8639C9">
            <w:pPr>
              <w:widowControl/>
              <w:snapToGrid w:val="0"/>
              <w:spacing w:before="156" w:before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r>
      <w:tr w14:paraId="1FE11752">
        <w:tblPrEx>
          <w:tblCellMar>
            <w:top w:w="0" w:type="dxa"/>
            <w:left w:w="108" w:type="dxa"/>
            <w:bottom w:w="0" w:type="dxa"/>
            <w:right w:w="108" w:type="dxa"/>
          </w:tblCellMar>
        </w:tblPrEx>
        <w:trPr>
          <w:trHeight w:val="631" w:hRule="atLeast"/>
          <w:jc w:val="center"/>
        </w:trPr>
        <w:tc>
          <w:tcPr>
            <w:tcW w:w="944" w:type="dxa"/>
            <w:tcBorders>
              <w:top w:val="single" w:color="auto" w:sz="4" w:space="0"/>
              <w:left w:val="single" w:color="auto" w:sz="4" w:space="0"/>
              <w:bottom w:val="single" w:color="auto" w:sz="4" w:space="0"/>
              <w:right w:val="single" w:color="auto" w:sz="4" w:space="0"/>
            </w:tcBorders>
            <w:noWrap/>
            <w:vAlign w:val="center"/>
          </w:tcPr>
          <w:p w14:paraId="09BF730C">
            <w:pPr>
              <w:widowControl/>
              <w:snapToGrid w:val="0"/>
              <w:spacing w:before="156" w:beforeLines="50" w:line="360" w:lineRule="auto"/>
              <w:jc w:val="center"/>
              <w:rPr>
                <w:rFonts w:hint="eastAsia" w:eastAsia="宋体"/>
                <w:color w:val="auto"/>
                <w:sz w:val="24"/>
                <w:highlight w:val="none"/>
                <w:lang w:val="en-US" w:eastAsia="zh-CN"/>
              </w:rPr>
            </w:pPr>
            <w:r>
              <w:rPr>
                <w:rFonts w:hint="eastAsia"/>
                <w:color w:val="auto"/>
                <w:sz w:val="24"/>
                <w:highlight w:val="none"/>
                <w:lang w:val="en-US" w:eastAsia="zh-CN"/>
              </w:rPr>
              <w:t>8</w:t>
            </w:r>
          </w:p>
        </w:tc>
        <w:tc>
          <w:tcPr>
            <w:tcW w:w="5882" w:type="dxa"/>
            <w:tcBorders>
              <w:top w:val="single" w:color="auto" w:sz="4" w:space="0"/>
              <w:left w:val="single" w:color="auto" w:sz="4" w:space="0"/>
              <w:bottom w:val="single" w:color="auto" w:sz="4" w:space="0"/>
              <w:right w:val="single" w:color="auto" w:sz="4" w:space="0"/>
            </w:tcBorders>
            <w:noWrap/>
            <w:vAlign w:val="center"/>
          </w:tcPr>
          <w:p w14:paraId="65F29FE7">
            <w:pPr>
              <w:widowControl/>
              <w:snapToGrid w:val="0"/>
              <w:spacing w:before="156" w:beforeLines="5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光学成像系统</w:t>
            </w:r>
          </w:p>
        </w:tc>
        <w:tc>
          <w:tcPr>
            <w:tcW w:w="1128" w:type="dxa"/>
            <w:tcBorders>
              <w:top w:val="single" w:color="auto" w:sz="4" w:space="0"/>
              <w:left w:val="single" w:color="auto" w:sz="4" w:space="0"/>
              <w:bottom w:val="single" w:color="auto" w:sz="4" w:space="0"/>
              <w:right w:val="single" w:color="auto" w:sz="4" w:space="0"/>
            </w:tcBorders>
            <w:noWrap/>
            <w:vAlign w:val="center"/>
          </w:tcPr>
          <w:p w14:paraId="69E1B77F">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064" w:type="dxa"/>
            <w:tcBorders>
              <w:top w:val="single" w:color="auto" w:sz="4" w:space="0"/>
              <w:left w:val="single" w:color="auto" w:sz="4" w:space="0"/>
              <w:bottom w:val="single" w:color="auto" w:sz="4" w:space="0"/>
              <w:right w:val="single" w:color="auto" w:sz="4" w:space="0"/>
            </w:tcBorders>
            <w:noWrap/>
            <w:vAlign w:val="center"/>
          </w:tcPr>
          <w:p w14:paraId="6115E107">
            <w:pPr>
              <w:widowControl/>
              <w:snapToGrid w:val="0"/>
              <w:spacing w:before="156" w:before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r>
      <w:tr w14:paraId="7EC30E3D">
        <w:tblPrEx>
          <w:tblCellMar>
            <w:top w:w="0" w:type="dxa"/>
            <w:left w:w="108" w:type="dxa"/>
            <w:bottom w:w="0" w:type="dxa"/>
            <w:right w:w="108" w:type="dxa"/>
          </w:tblCellMar>
        </w:tblPrEx>
        <w:trPr>
          <w:trHeight w:val="631" w:hRule="atLeast"/>
          <w:jc w:val="center"/>
        </w:trPr>
        <w:tc>
          <w:tcPr>
            <w:tcW w:w="944" w:type="dxa"/>
            <w:tcBorders>
              <w:top w:val="single" w:color="auto" w:sz="4" w:space="0"/>
              <w:left w:val="single" w:color="auto" w:sz="4" w:space="0"/>
              <w:bottom w:val="single" w:color="auto" w:sz="4" w:space="0"/>
              <w:right w:val="single" w:color="auto" w:sz="4" w:space="0"/>
            </w:tcBorders>
            <w:noWrap/>
            <w:vAlign w:val="center"/>
          </w:tcPr>
          <w:p w14:paraId="55A0FAA1">
            <w:pPr>
              <w:widowControl/>
              <w:snapToGrid w:val="0"/>
              <w:spacing w:before="156" w:beforeLines="50" w:line="360" w:lineRule="auto"/>
              <w:jc w:val="center"/>
              <w:rPr>
                <w:rFonts w:hint="eastAsia" w:eastAsia="宋体"/>
                <w:color w:val="auto"/>
                <w:sz w:val="24"/>
                <w:highlight w:val="none"/>
                <w:lang w:val="en-US" w:eastAsia="zh-CN"/>
              </w:rPr>
            </w:pPr>
            <w:r>
              <w:rPr>
                <w:rFonts w:hint="eastAsia"/>
                <w:color w:val="auto"/>
                <w:sz w:val="24"/>
                <w:highlight w:val="none"/>
                <w:lang w:val="en-US" w:eastAsia="zh-CN"/>
              </w:rPr>
              <w:t>9</w:t>
            </w:r>
          </w:p>
        </w:tc>
        <w:tc>
          <w:tcPr>
            <w:tcW w:w="5882" w:type="dxa"/>
            <w:tcBorders>
              <w:top w:val="single" w:color="auto" w:sz="4" w:space="0"/>
              <w:left w:val="single" w:color="auto" w:sz="4" w:space="0"/>
              <w:bottom w:val="single" w:color="auto" w:sz="4" w:space="0"/>
              <w:right w:val="single" w:color="auto" w:sz="4" w:space="0"/>
            </w:tcBorders>
            <w:noWrap/>
            <w:vAlign w:val="center"/>
          </w:tcPr>
          <w:p w14:paraId="76B5B4B4">
            <w:pPr>
              <w:widowControl/>
              <w:snapToGrid w:val="0"/>
              <w:spacing w:before="156" w:beforeLines="5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高精度5轴12寸晶圆台</w:t>
            </w:r>
          </w:p>
        </w:tc>
        <w:tc>
          <w:tcPr>
            <w:tcW w:w="1128" w:type="dxa"/>
            <w:tcBorders>
              <w:top w:val="single" w:color="auto" w:sz="4" w:space="0"/>
              <w:left w:val="single" w:color="auto" w:sz="4" w:space="0"/>
              <w:bottom w:val="single" w:color="auto" w:sz="4" w:space="0"/>
              <w:right w:val="single" w:color="auto" w:sz="4" w:space="0"/>
            </w:tcBorders>
            <w:noWrap/>
            <w:vAlign w:val="center"/>
          </w:tcPr>
          <w:p w14:paraId="406025D5">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064" w:type="dxa"/>
            <w:tcBorders>
              <w:top w:val="single" w:color="auto" w:sz="4" w:space="0"/>
              <w:left w:val="single" w:color="auto" w:sz="4" w:space="0"/>
              <w:bottom w:val="single" w:color="auto" w:sz="4" w:space="0"/>
              <w:right w:val="single" w:color="auto" w:sz="4" w:space="0"/>
            </w:tcBorders>
            <w:noWrap/>
            <w:vAlign w:val="center"/>
          </w:tcPr>
          <w:p w14:paraId="63CC3DEC">
            <w:pPr>
              <w:widowControl/>
              <w:snapToGrid w:val="0"/>
              <w:spacing w:before="156" w:before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r>
      <w:tr w14:paraId="7AA7F251">
        <w:tblPrEx>
          <w:tblCellMar>
            <w:top w:w="0" w:type="dxa"/>
            <w:left w:w="108" w:type="dxa"/>
            <w:bottom w:w="0" w:type="dxa"/>
            <w:right w:w="108" w:type="dxa"/>
          </w:tblCellMar>
        </w:tblPrEx>
        <w:trPr>
          <w:trHeight w:val="631" w:hRule="atLeast"/>
          <w:jc w:val="center"/>
        </w:trPr>
        <w:tc>
          <w:tcPr>
            <w:tcW w:w="944" w:type="dxa"/>
            <w:tcBorders>
              <w:top w:val="single" w:color="auto" w:sz="4" w:space="0"/>
              <w:left w:val="single" w:color="auto" w:sz="4" w:space="0"/>
              <w:bottom w:val="single" w:color="auto" w:sz="4" w:space="0"/>
              <w:right w:val="single" w:color="auto" w:sz="4" w:space="0"/>
            </w:tcBorders>
            <w:noWrap/>
            <w:vAlign w:val="center"/>
          </w:tcPr>
          <w:p w14:paraId="1990F5DF">
            <w:pPr>
              <w:widowControl/>
              <w:snapToGrid w:val="0"/>
              <w:spacing w:before="156" w:beforeLines="50" w:line="360" w:lineRule="auto"/>
              <w:jc w:val="center"/>
              <w:rPr>
                <w:rFonts w:hint="default" w:eastAsia="宋体"/>
                <w:color w:val="auto"/>
                <w:sz w:val="24"/>
                <w:highlight w:val="none"/>
                <w:lang w:val="en-US" w:eastAsia="zh-CN"/>
              </w:rPr>
            </w:pPr>
            <w:r>
              <w:rPr>
                <w:rFonts w:hint="eastAsia"/>
                <w:color w:val="auto"/>
                <w:sz w:val="24"/>
                <w:highlight w:val="none"/>
                <w:lang w:val="en-US" w:eastAsia="zh-CN"/>
              </w:rPr>
              <w:t>10</w:t>
            </w:r>
          </w:p>
        </w:tc>
        <w:tc>
          <w:tcPr>
            <w:tcW w:w="5882" w:type="dxa"/>
            <w:tcBorders>
              <w:top w:val="single" w:color="auto" w:sz="4" w:space="0"/>
              <w:left w:val="single" w:color="auto" w:sz="4" w:space="0"/>
              <w:bottom w:val="single" w:color="auto" w:sz="4" w:space="0"/>
              <w:right w:val="single" w:color="auto" w:sz="4" w:space="0"/>
            </w:tcBorders>
            <w:noWrap/>
            <w:vAlign w:val="center"/>
          </w:tcPr>
          <w:p w14:paraId="4C9016BE">
            <w:pPr>
              <w:widowControl/>
              <w:snapToGrid w:val="0"/>
              <w:spacing w:before="156" w:beforeLines="5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数据采集及分析软件</w:t>
            </w:r>
          </w:p>
        </w:tc>
        <w:tc>
          <w:tcPr>
            <w:tcW w:w="1128" w:type="dxa"/>
            <w:tcBorders>
              <w:top w:val="single" w:color="auto" w:sz="4" w:space="0"/>
              <w:left w:val="single" w:color="auto" w:sz="4" w:space="0"/>
              <w:bottom w:val="single" w:color="auto" w:sz="4" w:space="0"/>
              <w:right w:val="single" w:color="auto" w:sz="4" w:space="0"/>
            </w:tcBorders>
            <w:noWrap/>
            <w:vAlign w:val="center"/>
          </w:tcPr>
          <w:p w14:paraId="69C7F332">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064" w:type="dxa"/>
            <w:tcBorders>
              <w:top w:val="single" w:color="auto" w:sz="4" w:space="0"/>
              <w:left w:val="single" w:color="auto" w:sz="4" w:space="0"/>
              <w:bottom w:val="single" w:color="auto" w:sz="4" w:space="0"/>
              <w:right w:val="single" w:color="auto" w:sz="4" w:space="0"/>
            </w:tcBorders>
            <w:noWrap/>
            <w:vAlign w:val="center"/>
          </w:tcPr>
          <w:p w14:paraId="122E6EAC">
            <w:pPr>
              <w:widowControl/>
              <w:snapToGrid w:val="0"/>
              <w:spacing w:before="156" w:before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r>
      <w:tr w14:paraId="37E92A20">
        <w:tblPrEx>
          <w:tblCellMar>
            <w:top w:w="0" w:type="dxa"/>
            <w:left w:w="108" w:type="dxa"/>
            <w:bottom w:w="0" w:type="dxa"/>
            <w:right w:w="108" w:type="dxa"/>
          </w:tblCellMar>
        </w:tblPrEx>
        <w:trPr>
          <w:trHeight w:val="631" w:hRule="atLeast"/>
          <w:jc w:val="center"/>
        </w:trPr>
        <w:tc>
          <w:tcPr>
            <w:tcW w:w="944" w:type="dxa"/>
            <w:tcBorders>
              <w:top w:val="single" w:color="auto" w:sz="4" w:space="0"/>
              <w:left w:val="single" w:color="auto" w:sz="4" w:space="0"/>
              <w:bottom w:val="single" w:color="auto" w:sz="4" w:space="0"/>
              <w:right w:val="single" w:color="auto" w:sz="4" w:space="0"/>
            </w:tcBorders>
            <w:noWrap/>
            <w:vAlign w:val="center"/>
          </w:tcPr>
          <w:p w14:paraId="7A6F2313">
            <w:pPr>
              <w:widowControl/>
              <w:snapToGrid w:val="0"/>
              <w:spacing w:before="156" w:beforeLines="50" w:line="360" w:lineRule="auto"/>
              <w:jc w:val="center"/>
              <w:rPr>
                <w:rFonts w:hint="default" w:eastAsia="宋体"/>
                <w:color w:val="auto"/>
                <w:sz w:val="24"/>
                <w:highlight w:val="none"/>
                <w:lang w:val="en-US" w:eastAsia="zh-CN"/>
              </w:rPr>
            </w:pPr>
            <w:r>
              <w:rPr>
                <w:rFonts w:hint="eastAsia"/>
                <w:color w:val="auto"/>
                <w:sz w:val="24"/>
                <w:highlight w:val="none"/>
                <w:lang w:val="en-US" w:eastAsia="zh-CN"/>
              </w:rPr>
              <w:t>11</w:t>
            </w:r>
          </w:p>
        </w:tc>
        <w:tc>
          <w:tcPr>
            <w:tcW w:w="5882" w:type="dxa"/>
            <w:tcBorders>
              <w:top w:val="single" w:color="auto" w:sz="4" w:space="0"/>
              <w:left w:val="single" w:color="auto" w:sz="4" w:space="0"/>
              <w:bottom w:val="single" w:color="auto" w:sz="4" w:space="0"/>
              <w:right w:val="single" w:color="auto" w:sz="4" w:space="0"/>
            </w:tcBorders>
            <w:noWrap/>
            <w:vAlign w:val="center"/>
          </w:tcPr>
          <w:p w14:paraId="60B7EDEE">
            <w:pPr>
              <w:widowControl/>
              <w:snapToGrid w:val="0"/>
              <w:spacing w:before="156" w:beforeLines="5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配套高性能</w:t>
            </w:r>
            <w:r>
              <w:rPr>
                <w:rFonts w:hint="eastAsia" w:ascii="宋体" w:hAnsi="宋体" w:eastAsia="宋体" w:cs="宋体"/>
                <w:color w:val="auto"/>
                <w:sz w:val="24"/>
                <w:highlight w:val="none"/>
                <w:lang w:val="en-US" w:eastAsia="zh-CN"/>
              </w:rPr>
              <w:t>工作站</w:t>
            </w:r>
          </w:p>
        </w:tc>
        <w:tc>
          <w:tcPr>
            <w:tcW w:w="1128" w:type="dxa"/>
            <w:tcBorders>
              <w:top w:val="single" w:color="auto" w:sz="4" w:space="0"/>
              <w:left w:val="single" w:color="auto" w:sz="4" w:space="0"/>
              <w:bottom w:val="single" w:color="auto" w:sz="4" w:space="0"/>
              <w:right w:val="single" w:color="auto" w:sz="4" w:space="0"/>
            </w:tcBorders>
            <w:noWrap/>
            <w:vAlign w:val="center"/>
          </w:tcPr>
          <w:p w14:paraId="3458294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064" w:type="dxa"/>
            <w:tcBorders>
              <w:top w:val="single" w:color="auto" w:sz="4" w:space="0"/>
              <w:left w:val="single" w:color="auto" w:sz="4" w:space="0"/>
              <w:bottom w:val="single" w:color="auto" w:sz="4" w:space="0"/>
              <w:right w:val="single" w:color="auto" w:sz="4" w:space="0"/>
            </w:tcBorders>
            <w:noWrap/>
            <w:vAlign w:val="center"/>
          </w:tcPr>
          <w:p w14:paraId="76C12232">
            <w:pPr>
              <w:widowControl/>
              <w:snapToGrid w:val="0"/>
              <w:spacing w:before="156" w:before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r>
      <w:tr w14:paraId="17C55097">
        <w:tblPrEx>
          <w:tblCellMar>
            <w:top w:w="0" w:type="dxa"/>
            <w:left w:w="108" w:type="dxa"/>
            <w:bottom w:w="0" w:type="dxa"/>
            <w:right w:w="108" w:type="dxa"/>
          </w:tblCellMar>
        </w:tblPrEx>
        <w:trPr>
          <w:trHeight w:val="631" w:hRule="atLeast"/>
          <w:jc w:val="center"/>
        </w:trPr>
        <w:tc>
          <w:tcPr>
            <w:tcW w:w="944" w:type="dxa"/>
            <w:tcBorders>
              <w:top w:val="single" w:color="auto" w:sz="4" w:space="0"/>
              <w:left w:val="single" w:color="auto" w:sz="4" w:space="0"/>
              <w:bottom w:val="single" w:color="auto" w:sz="4" w:space="0"/>
              <w:right w:val="single" w:color="auto" w:sz="4" w:space="0"/>
            </w:tcBorders>
            <w:noWrap/>
            <w:vAlign w:val="center"/>
          </w:tcPr>
          <w:p w14:paraId="45E3BF7D">
            <w:pPr>
              <w:widowControl/>
              <w:snapToGrid w:val="0"/>
              <w:spacing w:before="156" w:beforeLines="50" w:line="360" w:lineRule="auto"/>
              <w:jc w:val="center"/>
              <w:rPr>
                <w:rFonts w:hint="default" w:eastAsia="宋体"/>
                <w:color w:val="auto"/>
                <w:sz w:val="24"/>
                <w:highlight w:val="none"/>
                <w:lang w:val="en-US" w:eastAsia="zh-CN"/>
              </w:rPr>
            </w:pPr>
            <w:r>
              <w:rPr>
                <w:rFonts w:hint="eastAsia"/>
                <w:color w:val="auto"/>
                <w:sz w:val="24"/>
                <w:highlight w:val="none"/>
                <w:lang w:val="en-US" w:eastAsia="zh-CN"/>
              </w:rPr>
              <w:t>12</w:t>
            </w:r>
          </w:p>
        </w:tc>
        <w:tc>
          <w:tcPr>
            <w:tcW w:w="5882" w:type="dxa"/>
            <w:tcBorders>
              <w:top w:val="single" w:color="auto" w:sz="4" w:space="0"/>
              <w:left w:val="single" w:color="auto" w:sz="4" w:space="0"/>
              <w:bottom w:val="single" w:color="auto" w:sz="4" w:space="0"/>
              <w:right w:val="single" w:color="auto" w:sz="4" w:space="0"/>
            </w:tcBorders>
            <w:noWrap/>
            <w:vAlign w:val="center"/>
          </w:tcPr>
          <w:p w14:paraId="0EAB6045">
            <w:pPr>
              <w:widowControl/>
              <w:snapToGrid w:val="0"/>
              <w:spacing w:before="156" w:beforeLines="5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配套水冷机</w:t>
            </w:r>
          </w:p>
        </w:tc>
        <w:tc>
          <w:tcPr>
            <w:tcW w:w="1128" w:type="dxa"/>
            <w:tcBorders>
              <w:top w:val="single" w:color="auto" w:sz="4" w:space="0"/>
              <w:left w:val="single" w:color="auto" w:sz="4" w:space="0"/>
              <w:bottom w:val="single" w:color="auto" w:sz="4" w:space="0"/>
              <w:right w:val="single" w:color="auto" w:sz="4" w:space="0"/>
            </w:tcBorders>
            <w:noWrap/>
            <w:vAlign w:val="center"/>
          </w:tcPr>
          <w:p w14:paraId="31AEE37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064" w:type="dxa"/>
            <w:tcBorders>
              <w:top w:val="single" w:color="auto" w:sz="4" w:space="0"/>
              <w:left w:val="single" w:color="auto" w:sz="4" w:space="0"/>
              <w:bottom w:val="single" w:color="auto" w:sz="4" w:space="0"/>
              <w:right w:val="single" w:color="auto" w:sz="4" w:space="0"/>
            </w:tcBorders>
            <w:noWrap/>
            <w:vAlign w:val="center"/>
          </w:tcPr>
          <w:p w14:paraId="3B43F29F">
            <w:pPr>
              <w:widowControl/>
              <w:snapToGrid w:val="0"/>
              <w:spacing w:before="156" w:before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r>
      <w:tr w14:paraId="30CB053D">
        <w:tblPrEx>
          <w:tblCellMar>
            <w:top w:w="0" w:type="dxa"/>
            <w:left w:w="108" w:type="dxa"/>
            <w:bottom w:w="0" w:type="dxa"/>
            <w:right w:w="108" w:type="dxa"/>
          </w:tblCellMar>
        </w:tblPrEx>
        <w:trPr>
          <w:trHeight w:val="631" w:hRule="atLeast"/>
          <w:jc w:val="center"/>
        </w:trPr>
        <w:tc>
          <w:tcPr>
            <w:tcW w:w="944" w:type="dxa"/>
            <w:tcBorders>
              <w:top w:val="single" w:color="auto" w:sz="4" w:space="0"/>
              <w:left w:val="single" w:color="auto" w:sz="4" w:space="0"/>
              <w:bottom w:val="single" w:color="auto" w:sz="4" w:space="0"/>
              <w:right w:val="single" w:color="auto" w:sz="4" w:space="0"/>
            </w:tcBorders>
            <w:noWrap/>
            <w:vAlign w:val="center"/>
          </w:tcPr>
          <w:p w14:paraId="09D83028">
            <w:pPr>
              <w:widowControl/>
              <w:snapToGrid w:val="0"/>
              <w:spacing w:before="156" w:beforeLines="50" w:line="360" w:lineRule="auto"/>
              <w:jc w:val="center"/>
              <w:rPr>
                <w:rFonts w:hint="default" w:eastAsia="宋体"/>
                <w:color w:val="auto"/>
                <w:sz w:val="24"/>
                <w:highlight w:val="none"/>
                <w:lang w:val="en-US" w:eastAsia="zh-CN"/>
              </w:rPr>
            </w:pPr>
            <w:r>
              <w:rPr>
                <w:rFonts w:hint="eastAsia"/>
                <w:color w:val="auto"/>
                <w:sz w:val="24"/>
                <w:highlight w:val="none"/>
                <w:lang w:val="en-US" w:eastAsia="zh-CN"/>
              </w:rPr>
              <w:t>13</w:t>
            </w:r>
          </w:p>
        </w:tc>
        <w:tc>
          <w:tcPr>
            <w:tcW w:w="5882" w:type="dxa"/>
            <w:tcBorders>
              <w:top w:val="single" w:color="auto" w:sz="4" w:space="0"/>
              <w:left w:val="single" w:color="auto" w:sz="4" w:space="0"/>
              <w:bottom w:val="single" w:color="auto" w:sz="4" w:space="0"/>
              <w:right w:val="single" w:color="auto" w:sz="4" w:space="0"/>
            </w:tcBorders>
            <w:noWrap/>
            <w:vAlign w:val="center"/>
          </w:tcPr>
          <w:p w14:paraId="601B6858">
            <w:pPr>
              <w:widowControl/>
              <w:snapToGrid w:val="0"/>
              <w:spacing w:before="156" w:beforeLines="5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配套超高真空泵组</w:t>
            </w:r>
          </w:p>
        </w:tc>
        <w:tc>
          <w:tcPr>
            <w:tcW w:w="1128" w:type="dxa"/>
            <w:tcBorders>
              <w:top w:val="single" w:color="auto" w:sz="4" w:space="0"/>
              <w:left w:val="single" w:color="auto" w:sz="4" w:space="0"/>
              <w:bottom w:val="single" w:color="auto" w:sz="4" w:space="0"/>
              <w:right w:val="single" w:color="auto" w:sz="4" w:space="0"/>
            </w:tcBorders>
            <w:noWrap/>
            <w:vAlign w:val="center"/>
          </w:tcPr>
          <w:p w14:paraId="08C887A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064" w:type="dxa"/>
            <w:tcBorders>
              <w:top w:val="single" w:color="auto" w:sz="4" w:space="0"/>
              <w:left w:val="single" w:color="auto" w:sz="4" w:space="0"/>
              <w:bottom w:val="single" w:color="auto" w:sz="4" w:space="0"/>
              <w:right w:val="single" w:color="auto" w:sz="4" w:space="0"/>
            </w:tcBorders>
            <w:noWrap/>
            <w:vAlign w:val="center"/>
          </w:tcPr>
          <w:p w14:paraId="334A4119">
            <w:pPr>
              <w:widowControl/>
              <w:snapToGrid w:val="0"/>
              <w:spacing w:before="156" w:before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r>
      <w:tr w14:paraId="27A9467F">
        <w:tblPrEx>
          <w:tblCellMar>
            <w:top w:w="0" w:type="dxa"/>
            <w:left w:w="108" w:type="dxa"/>
            <w:bottom w:w="0" w:type="dxa"/>
            <w:right w:w="108" w:type="dxa"/>
          </w:tblCellMar>
        </w:tblPrEx>
        <w:trPr>
          <w:trHeight w:val="631" w:hRule="atLeast"/>
          <w:jc w:val="center"/>
        </w:trPr>
        <w:tc>
          <w:tcPr>
            <w:tcW w:w="944" w:type="dxa"/>
            <w:tcBorders>
              <w:top w:val="single" w:color="auto" w:sz="4" w:space="0"/>
              <w:left w:val="single" w:color="auto" w:sz="4" w:space="0"/>
              <w:bottom w:val="single" w:color="auto" w:sz="4" w:space="0"/>
              <w:right w:val="single" w:color="auto" w:sz="4" w:space="0"/>
            </w:tcBorders>
            <w:noWrap/>
            <w:vAlign w:val="center"/>
          </w:tcPr>
          <w:p w14:paraId="446499C7">
            <w:pPr>
              <w:widowControl/>
              <w:snapToGrid w:val="0"/>
              <w:spacing w:before="156" w:beforeLines="50" w:line="360" w:lineRule="auto"/>
              <w:jc w:val="center"/>
              <w:rPr>
                <w:rFonts w:hint="default" w:eastAsia="宋体"/>
                <w:color w:val="auto"/>
                <w:sz w:val="24"/>
                <w:highlight w:val="none"/>
                <w:lang w:val="en-US" w:eastAsia="zh-CN"/>
              </w:rPr>
            </w:pPr>
            <w:r>
              <w:rPr>
                <w:rFonts w:hint="eastAsia"/>
                <w:color w:val="auto"/>
                <w:sz w:val="24"/>
                <w:highlight w:val="none"/>
                <w:lang w:val="en-US" w:eastAsia="zh-CN"/>
              </w:rPr>
              <w:t>14</w:t>
            </w:r>
          </w:p>
        </w:tc>
        <w:tc>
          <w:tcPr>
            <w:tcW w:w="5882" w:type="dxa"/>
            <w:tcBorders>
              <w:top w:val="single" w:color="auto" w:sz="4" w:space="0"/>
              <w:left w:val="single" w:color="auto" w:sz="4" w:space="0"/>
              <w:bottom w:val="single" w:color="auto" w:sz="4" w:space="0"/>
              <w:right w:val="single" w:color="auto" w:sz="4" w:space="0"/>
            </w:tcBorders>
            <w:noWrap/>
            <w:vAlign w:val="center"/>
          </w:tcPr>
          <w:p w14:paraId="271A6CCE">
            <w:pPr>
              <w:widowControl/>
              <w:snapToGrid w:val="0"/>
              <w:spacing w:before="156" w:beforeLines="5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烘烤加热器</w:t>
            </w:r>
          </w:p>
        </w:tc>
        <w:tc>
          <w:tcPr>
            <w:tcW w:w="1128" w:type="dxa"/>
            <w:tcBorders>
              <w:top w:val="single" w:color="auto" w:sz="4" w:space="0"/>
              <w:left w:val="single" w:color="auto" w:sz="4" w:space="0"/>
              <w:bottom w:val="single" w:color="auto" w:sz="4" w:space="0"/>
              <w:right w:val="single" w:color="auto" w:sz="4" w:space="0"/>
            </w:tcBorders>
            <w:noWrap/>
            <w:vAlign w:val="center"/>
          </w:tcPr>
          <w:p w14:paraId="6CD6265D">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064" w:type="dxa"/>
            <w:tcBorders>
              <w:top w:val="single" w:color="auto" w:sz="4" w:space="0"/>
              <w:left w:val="single" w:color="auto" w:sz="4" w:space="0"/>
              <w:bottom w:val="single" w:color="auto" w:sz="4" w:space="0"/>
              <w:right w:val="single" w:color="auto" w:sz="4" w:space="0"/>
            </w:tcBorders>
            <w:noWrap/>
            <w:vAlign w:val="center"/>
          </w:tcPr>
          <w:p w14:paraId="60E9455B">
            <w:pPr>
              <w:widowControl/>
              <w:snapToGrid w:val="0"/>
              <w:spacing w:before="156" w:before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r>
      <w:tr w14:paraId="336D7B4F">
        <w:tblPrEx>
          <w:tblCellMar>
            <w:top w:w="0" w:type="dxa"/>
            <w:left w:w="108" w:type="dxa"/>
            <w:bottom w:w="0" w:type="dxa"/>
            <w:right w:w="108" w:type="dxa"/>
          </w:tblCellMar>
        </w:tblPrEx>
        <w:trPr>
          <w:trHeight w:val="631" w:hRule="atLeast"/>
          <w:jc w:val="center"/>
        </w:trPr>
        <w:tc>
          <w:tcPr>
            <w:tcW w:w="944" w:type="dxa"/>
            <w:tcBorders>
              <w:top w:val="single" w:color="auto" w:sz="4" w:space="0"/>
              <w:left w:val="single" w:color="auto" w:sz="4" w:space="0"/>
              <w:bottom w:val="single" w:color="auto" w:sz="4" w:space="0"/>
              <w:right w:val="single" w:color="auto" w:sz="4" w:space="0"/>
            </w:tcBorders>
            <w:noWrap/>
            <w:vAlign w:val="center"/>
          </w:tcPr>
          <w:p w14:paraId="47095B53">
            <w:pPr>
              <w:widowControl/>
              <w:snapToGrid w:val="0"/>
              <w:spacing w:before="156" w:beforeLines="50" w:line="360" w:lineRule="auto"/>
              <w:jc w:val="center"/>
              <w:rPr>
                <w:rFonts w:hint="default"/>
                <w:color w:val="auto"/>
                <w:sz w:val="24"/>
                <w:highlight w:val="none"/>
                <w:lang w:val="en-US" w:eastAsia="zh-CN"/>
              </w:rPr>
            </w:pPr>
            <w:r>
              <w:rPr>
                <w:rFonts w:hint="eastAsia"/>
                <w:color w:val="auto"/>
                <w:sz w:val="24"/>
                <w:highlight w:val="none"/>
                <w:lang w:val="en-US" w:eastAsia="zh-CN"/>
              </w:rPr>
              <w:t>15</w:t>
            </w:r>
          </w:p>
        </w:tc>
        <w:tc>
          <w:tcPr>
            <w:tcW w:w="5882" w:type="dxa"/>
            <w:tcBorders>
              <w:top w:val="single" w:color="auto" w:sz="4" w:space="0"/>
              <w:left w:val="single" w:color="auto" w:sz="4" w:space="0"/>
              <w:bottom w:val="single" w:color="auto" w:sz="4" w:space="0"/>
              <w:right w:val="single" w:color="auto" w:sz="4" w:space="0"/>
            </w:tcBorders>
            <w:noWrap/>
            <w:vAlign w:val="center"/>
          </w:tcPr>
          <w:p w14:paraId="76DC9403">
            <w:pPr>
              <w:widowControl/>
              <w:snapToGrid w:val="0"/>
              <w:spacing w:before="156" w:beforeLines="5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UPS不间断电源</w:t>
            </w:r>
          </w:p>
        </w:tc>
        <w:tc>
          <w:tcPr>
            <w:tcW w:w="1128" w:type="dxa"/>
            <w:tcBorders>
              <w:top w:val="single" w:color="auto" w:sz="4" w:space="0"/>
              <w:left w:val="single" w:color="auto" w:sz="4" w:space="0"/>
              <w:bottom w:val="single" w:color="auto" w:sz="4" w:space="0"/>
              <w:right w:val="single" w:color="auto" w:sz="4" w:space="0"/>
            </w:tcBorders>
            <w:noWrap/>
            <w:vAlign w:val="center"/>
          </w:tcPr>
          <w:p w14:paraId="52B3DB28">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064" w:type="dxa"/>
            <w:tcBorders>
              <w:top w:val="single" w:color="auto" w:sz="4" w:space="0"/>
              <w:left w:val="single" w:color="auto" w:sz="4" w:space="0"/>
              <w:bottom w:val="single" w:color="auto" w:sz="4" w:space="0"/>
              <w:right w:val="single" w:color="auto" w:sz="4" w:space="0"/>
            </w:tcBorders>
            <w:noWrap/>
            <w:vAlign w:val="center"/>
          </w:tcPr>
          <w:p w14:paraId="7274538B">
            <w:pPr>
              <w:widowControl/>
              <w:snapToGrid w:val="0"/>
              <w:spacing w:before="156" w:before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r>
    </w:tbl>
    <w:p w14:paraId="7698C63F">
      <w:pPr>
        <w:pStyle w:val="2"/>
        <w:spacing w:before="0" w:after="0" w:line="240" w:lineRule="auto"/>
        <w:rPr>
          <w:color w:val="auto"/>
          <w:highlight w:val="none"/>
        </w:rPr>
      </w:pPr>
    </w:p>
    <w:p w14:paraId="45E09548">
      <w:pPr>
        <w:rPr>
          <w:color w:val="auto"/>
          <w:highlight w:val="none"/>
        </w:rPr>
      </w:pPr>
    </w:p>
    <w:p w14:paraId="7A01DB81">
      <w:pPr>
        <w:bidi w:val="0"/>
        <w:rPr>
          <w:color w:val="auto"/>
          <w:highlight w:val="none"/>
        </w:rPr>
      </w:pPr>
    </w:p>
    <w:p w14:paraId="3AEE952B">
      <w:pPr>
        <w:rPr>
          <w:b/>
          <w:color w:val="auto"/>
          <w:sz w:val="24"/>
          <w:highlight w:val="none"/>
        </w:rPr>
      </w:pPr>
      <w:r>
        <w:rPr>
          <w:b/>
          <w:color w:val="auto"/>
          <w:sz w:val="24"/>
          <w:highlight w:val="none"/>
        </w:rPr>
        <w:t>（</w:t>
      </w:r>
      <w:r>
        <w:rPr>
          <w:rFonts w:hint="eastAsia"/>
          <w:b/>
          <w:color w:val="auto"/>
          <w:sz w:val="24"/>
          <w:highlight w:val="none"/>
        </w:rPr>
        <w:t>二</w:t>
      </w:r>
      <w:r>
        <w:rPr>
          <w:b/>
          <w:color w:val="auto"/>
          <w:sz w:val="24"/>
          <w:highlight w:val="none"/>
        </w:rPr>
        <w:t>）</w:t>
      </w:r>
      <w:r>
        <w:rPr>
          <w:rFonts w:hint="eastAsia"/>
          <w:b/>
          <w:color w:val="auto"/>
          <w:sz w:val="24"/>
          <w:highlight w:val="none"/>
        </w:rPr>
        <w:t>商务</w:t>
      </w:r>
      <w:r>
        <w:rPr>
          <w:b/>
          <w:color w:val="auto"/>
          <w:sz w:val="24"/>
          <w:highlight w:val="none"/>
        </w:rPr>
        <w:t>要求：</w:t>
      </w:r>
    </w:p>
    <w:p w14:paraId="1652D51B">
      <w:pPr>
        <w:rPr>
          <w:rFonts w:hint="eastAsia"/>
          <w:b/>
          <w:color w:val="auto"/>
          <w:sz w:val="24"/>
          <w:highlight w:val="none"/>
        </w:rPr>
      </w:pPr>
    </w:p>
    <w:p w14:paraId="75E7304C">
      <w:pPr>
        <w:widowControl/>
        <w:snapToGrid w:val="0"/>
        <w:spacing w:before="156" w:beforeLines="50" w:line="360" w:lineRule="auto"/>
        <w:ind w:right="315" w:rightChars="150"/>
        <w:rPr>
          <w:rFonts w:ascii="宋体" w:hAnsi="宋体"/>
          <w:b/>
          <w:color w:val="auto"/>
          <w:sz w:val="24"/>
          <w:highlight w:val="none"/>
        </w:rPr>
      </w:pPr>
      <w:r>
        <w:rPr>
          <w:rFonts w:hint="eastAsia" w:ascii="宋体" w:hAnsi="宋体"/>
          <w:b/>
          <w:color w:val="auto"/>
          <w:sz w:val="24"/>
          <w:highlight w:val="none"/>
        </w:rPr>
        <w:t>1、</w:t>
      </w:r>
      <w:r>
        <w:rPr>
          <w:rFonts w:ascii="宋体" w:hAnsi="宋体"/>
          <w:b/>
          <w:color w:val="auto"/>
          <w:sz w:val="24"/>
          <w:highlight w:val="none"/>
        </w:rPr>
        <w:t>技术服务条款：</w:t>
      </w:r>
    </w:p>
    <w:p w14:paraId="25B11F76">
      <w:pPr>
        <w:keepNext w:val="0"/>
        <w:keepLines w:val="0"/>
        <w:pageBreakBefore w:val="0"/>
        <w:widowControl/>
        <w:kinsoku/>
        <w:wordWrap/>
        <w:overflowPunct/>
        <w:topLinePunct w:val="0"/>
        <w:autoSpaceDE/>
        <w:autoSpaceDN/>
        <w:bidi w:val="0"/>
        <w:adjustRightInd/>
        <w:snapToGrid/>
        <w:spacing w:before="157" w:beforeLines="50"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技术文件：</w:t>
      </w:r>
    </w:p>
    <w:p w14:paraId="515CE191">
      <w:pPr>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合同生效后一个月内，中标人需提供详细的设备公共配套设施技术要求和设备布局尺寸图给采购人；</w:t>
      </w:r>
    </w:p>
    <w:p w14:paraId="5C3A84A7">
      <w:pPr>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中标人需免费提供两套可用于超净间的中文或英文操作说明书</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一套在合同签订后45天内提供给采购人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另一套随仪器包装提供给采购人；</w:t>
      </w:r>
    </w:p>
    <w:p w14:paraId="1B8048A2">
      <w:pPr>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以上文件另需提供一份电子版文件；</w:t>
      </w:r>
    </w:p>
    <w:p w14:paraId="7B29C748">
      <w:pPr>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中标人需提供中标设备的出厂验机报告。</w:t>
      </w:r>
    </w:p>
    <w:p w14:paraId="262486A7">
      <w:pPr>
        <w:keepNext w:val="0"/>
        <w:keepLines w:val="0"/>
        <w:pageBreakBefore w:val="0"/>
        <w:widowControl/>
        <w:kinsoku/>
        <w:wordWrap/>
        <w:overflowPunct/>
        <w:topLinePunct w:val="0"/>
        <w:autoSpaceDE/>
        <w:autoSpaceDN/>
        <w:bidi w:val="0"/>
        <w:adjustRightInd/>
        <w:snapToGrid/>
        <w:spacing w:before="157" w:beforeLines="50"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售后服务要求： </w:t>
      </w:r>
    </w:p>
    <w:p w14:paraId="2AAE6F84">
      <w:pPr>
        <w:keepNext w:val="0"/>
        <w:keepLines w:val="0"/>
        <w:pageBreakBefore w:val="0"/>
        <w:widowControl/>
        <w:tabs>
          <w:tab w:val="left" w:pos="0"/>
        </w:tabs>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免费提供技术工程师上门安装、调试及现场培训，培训涉及机器使用的各个方面：系统操作，机器维护等，根据客户的特殊需要，可以个性化定制课程内容，确保采购人能熟练掌握设备使用、数据分析及日常维护保养。供应商售后服务响应时间：提供7*24小时专线技术咨询服务，若电话咨询无法解决故障，则5个工作日内现场解决，重特大故障二周内现场解决。</w:t>
      </w:r>
    </w:p>
    <w:p w14:paraId="1558A3FA">
      <w:pPr>
        <w:keepNext w:val="0"/>
        <w:keepLines w:val="0"/>
        <w:pageBreakBefore w:val="0"/>
        <w:widowControl/>
        <w:tabs>
          <w:tab w:val="left" w:pos="0"/>
        </w:tabs>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供应商免费提供技术支持热线电话。</w:t>
      </w:r>
    </w:p>
    <w:p w14:paraId="0FB1AE7D">
      <w:pPr>
        <w:keepNext w:val="0"/>
        <w:keepLines w:val="0"/>
        <w:pageBreakBefore w:val="0"/>
        <w:tabs>
          <w:tab w:val="left" w:pos="0"/>
        </w:tabs>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bookmarkStart w:id="0" w:name="OLE_LINK5"/>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质保期从验收合格之日起，提供货物12个月免费保修服务</w:t>
      </w:r>
      <w:bookmarkEnd w:id="0"/>
      <w:r>
        <w:rPr>
          <w:rFonts w:hint="eastAsia" w:ascii="宋体" w:hAnsi="宋体" w:eastAsia="宋体" w:cs="宋体"/>
          <w:color w:val="auto"/>
          <w:sz w:val="24"/>
          <w:szCs w:val="24"/>
          <w:highlight w:val="none"/>
        </w:rPr>
        <w:t>（保修期内免备件费和人工费）。质保期内正常使用中出现的任何故障，均可保证负责无偿调试及维修，所更换的部件可享受顺延保修期优惠，质保期后可享受优惠价格的零配件供应。</w:t>
      </w:r>
    </w:p>
    <w:p w14:paraId="397C350B">
      <w:pPr>
        <w:keepNext w:val="0"/>
        <w:keepLines w:val="0"/>
        <w:pageBreakBefore w:val="0"/>
        <w:widowControl/>
        <w:kinsoku/>
        <w:wordWrap/>
        <w:overflowPunct/>
        <w:topLinePunct w:val="0"/>
        <w:autoSpaceDE/>
        <w:autoSpaceDN/>
        <w:bidi w:val="0"/>
        <w:adjustRightInd/>
        <w:snapToGrid/>
        <w:spacing w:before="157" w:beforeLines="50"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培训要求：</w:t>
      </w:r>
    </w:p>
    <w:p w14:paraId="78ED5AAC">
      <w:pPr>
        <w:keepNext w:val="0"/>
        <w:keepLines w:val="0"/>
        <w:pageBreakBefore w:val="0"/>
        <w:kinsoku/>
        <w:wordWrap/>
        <w:overflowPunct/>
        <w:topLinePunct w:val="0"/>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免费提供技术工程师上门安装、调试及现场培训，培训涉及机器使用的各个方面：系统操作，机器维护等，根据客户的特殊需要，可以个性化定制课程内容，确保采购人能熟练掌握设备使用、数据分析及日常维护保养。培训次数不少于2次，时间不少于 5天</w:t>
      </w:r>
      <w:r>
        <w:rPr>
          <w:rFonts w:hint="eastAsia" w:ascii="宋体" w:hAnsi="宋体" w:eastAsia="宋体" w:cs="宋体"/>
          <w:bCs/>
          <w:color w:val="auto"/>
          <w:sz w:val="24"/>
          <w:szCs w:val="24"/>
          <w:highlight w:val="none"/>
        </w:rPr>
        <w:t>。</w:t>
      </w:r>
    </w:p>
    <w:p w14:paraId="42595F78">
      <w:pPr>
        <w:bidi w:val="0"/>
        <w:rPr>
          <w:rFonts w:hint="eastAsia"/>
          <w:color w:val="auto"/>
          <w:highlight w:val="none"/>
        </w:rPr>
      </w:pPr>
    </w:p>
    <w:p w14:paraId="475FAA70">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2、包装要求：</w:t>
      </w:r>
    </w:p>
    <w:p w14:paraId="1D2AB975">
      <w:pPr>
        <w:keepNext w:val="0"/>
        <w:keepLines w:val="0"/>
        <w:pageBreakBefore w:val="0"/>
        <w:widowControl/>
        <w:kinsoku/>
        <w:wordWrap/>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应使用崭新坚固的包装（标准包装）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适合于空运、或陆运等长途运输方式；适合气候变化；投标商应对任何由于不当包装或防护措施不利而导致的商品损坏、损失、费用增长等后果负责。</w:t>
      </w:r>
    </w:p>
    <w:p w14:paraId="11C66485">
      <w:pPr>
        <w:bidi w:val="0"/>
        <w:rPr>
          <w:rFonts w:hint="eastAsia"/>
          <w:color w:val="auto"/>
          <w:highlight w:val="none"/>
        </w:rPr>
      </w:pPr>
    </w:p>
    <w:p w14:paraId="6D216CD7">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b/>
          <w:color w:val="auto"/>
          <w:sz w:val="24"/>
          <w:szCs w:val="24"/>
          <w:highlight w:val="none"/>
        </w:rPr>
        <w:t>3、交货日期：</w:t>
      </w:r>
      <w:r>
        <w:rPr>
          <w:rFonts w:hint="eastAsia" w:ascii="宋体" w:hAnsi="宋体" w:eastAsia="宋体" w:cs="宋体"/>
          <w:color w:val="auto"/>
          <w:sz w:val="24"/>
          <w:szCs w:val="24"/>
          <w:highlight w:val="none"/>
        </w:rPr>
        <w:t>合同签订后的8个月交货；</w:t>
      </w:r>
    </w:p>
    <w:p w14:paraId="6688C84D">
      <w:pPr>
        <w:bidi w:val="0"/>
        <w:rPr>
          <w:rFonts w:hint="eastAsia"/>
          <w:color w:val="auto"/>
          <w:highlight w:val="none"/>
        </w:rPr>
      </w:pPr>
    </w:p>
    <w:p w14:paraId="28C5DDC1">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color w:val="auto"/>
          <w:sz w:val="24"/>
          <w:szCs w:val="24"/>
          <w:highlight w:val="none"/>
        </w:rPr>
      </w:pPr>
      <w:bookmarkStart w:id="1" w:name="OLE_LINK3"/>
      <w:r>
        <w:rPr>
          <w:rFonts w:hint="eastAsia" w:ascii="宋体" w:hAnsi="宋体" w:eastAsia="宋体" w:cs="宋体"/>
          <w:b/>
          <w:color w:val="auto"/>
          <w:sz w:val="24"/>
          <w:szCs w:val="24"/>
          <w:highlight w:val="none"/>
        </w:rPr>
        <w:t>4、交货地点：</w:t>
      </w:r>
      <w:bookmarkEnd w:id="1"/>
      <w:r>
        <w:rPr>
          <w:rFonts w:hint="eastAsia" w:ascii="宋体" w:hAnsi="宋体" w:eastAsia="宋体" w:cs="宋体"/>
          <w:color w:val="auto"/>
          <w:sz w:val="24"/>
          <w:szCs w:val="24"/>
          <w:highlight w:val="none"/>
        </w:rPr>
        <w:t>中国科学院微电子研究所（北京市朝阳区北土城西路3号项目指定地）</w:t>
      </w:r>
    </w:p>
    <w:p w14:paraId="719A63D4">
      <w:pPr>
        <w:bidi w:val="0"/>
        <w:rPr>
          <w:rFonts w:hint="eastAsia"/>
          <w:color w:val="auto"/>
          <w:highlight w:val="none"/>
        </w:rPr>
      </w:pPr>
    </w:p>
    <w:p w14:paraId="6E92881D">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5、验收标准：</w:t>
      </w:r>
    </w:p>
    <w:p w14:paraId="2DEDBDE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1）仪器设备出厂发货前，供应商应与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共同到场验收，出厂验收合格后，再进行发货；仪器设备运抵安装现场后，采购人将与供应商共同开箱验收,并形成经双方认可的记录，如供应商届时不派人来,则验收结果应以采购人的验收报告为最终验收结果。验收时发现短缺、破损,采购人有权要求供应商立即补发和负责更换。</w:t>
      </w:r>
    </w:p>
    <w:p w14:paraId="6A61AAE3">
      <w:pPr>
        <w:keepNext w:val="0"/>
        <w:keepLines w:val="0"/>
        <w:pageBreakBefore w:val="0"/>
        <w:widowControl/>
        <w:tabs>
          <w:tab w:val="left" w:pos="0"/>
        </w:tabs>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2）供应商应提供仪器设备测试方案给采购人确认,供应商有责任对采购人的技术人员提出的问题作出解答。仪器设备测试应进行详细记录,测试结束后,由供应商技术人员签字后交给采购人验收。</w:t>
      </w:r>
    </w:p>
    <w:p w14:paraId="49769687">
      <w:pPr>
        <w:keepNext w:val="0"/>
        <w:keepLines w:val="0"/>
        <w:pageBreakBefore w:val="0"/>
        <w:widowControl/>
        <w:tabs>
          <w:tab w:val="left" w:pos="0"/>
        </w:tabs>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保修期自验货合格之日开始，保修期内供应商要保修除消耗品以外的所有部件。在保修期内，如果仪器设备发生故障，供应商要调查故障原因并修复直至满足最终验收指标和性能的要求，或者更换整个或部分有缺陷的材料。以上都应是免费的。 </w:t>
      </w:r>
    </w:p>
    <w:p w14:paraId="511F01E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4）验收标准以中标人提供的投标文件中所列的指标为准（该指标应不低于采购文件所要求的指标）。任何虚假指标响应一经发现即作废标，供应商必须承担由此给采购人带来的一切经济损失和其它相关责任。</w:t>
      </w:r>
    </w:p>
    <w:p w14:paraId="41DA4B6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5）验收由采购人、中标人及相关人员依国家有关标准、合同及有关附件要求进行，验收完毕由采购人及中标人在验收报告上签名。</w:t>
      </w:r>
    </w:p>
    <w:p w14:paraId="2695A7D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最终采购人采购仪器设备无法达到正常使用条件，售后服务方在收到最终采购人通知后应及时妥善解决，响应时间不超过48小时，经两次售后维修未能达到最终采购人认可的使用条件时，或以上情形发生后10日内依旧未能解决的，最终采购人有权要求卖方更换符合招标要求的设备、并承担更换的费用，如果更换后依旧不能达到甲方认可的使用条件的，采购人有权启动退货程序，根据法律规定的退货产生的全部费用由卖方承担，包括但不限于律师费，诉讼费、担保费、公证费、差旅费等合理费用。</w:t>
      </w:r>
    </w:p>
    <w:p w14:paraId="1AA8964B">
      <w:pPr>
        <w:bidi w:val="0"/>
        <w:rPr>
          <w:rFonts w:hint="eastAsia"/>
          <w:color w:val="auto"/>
          <w:highlight w:val="none"/>
        </w:rPr>
      </w:pPr>
    </w:p>
    <w:p w14:paraId="23E7D0BD">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6、执行的相关标准</w:t>
      </w:r>
      <w:r>
        <w:rPr>
          <w:rFonts w:hint="eastAsia" w:ascii="宋体" w:hAnsi="宋体" w:eastAsia="宋体" w:cs="宋体"/>
          <w:b/>
          <w:color w:val="auto"/>
          <w:sz w:val="24"/>
          <w:szCs w:val="24"/>
          <w:highlight w:val="none"/>
          <w:lang w:eastAsia="zh-CN"/>
        </w:rPr>
        <w:t>：</w:t>
      </w:r>
      <w:r>
        <w:rPr>
          <w:rFonts w:hint="eastAsia" w:ascii="宋体" w:hAnsi="宋体" w:eastAsia="宋体" w:cs="宋体"/>
          <w:color w:val="auto"/>
          <w:sz w:val="24"/>
          <w:szCs w:val="24"/>
          <w:highlight w:val="none"/>
        </w:rPr>
        <w:t>国际半导体产业协会（SEMI）标准</w:t>
      </w:r>
    </w:p>
    <w:p w14:paraId="568E3CC8">
      <w:pPr>
        <w:bidi w:val="0"/>
        <w:rPr>
          <w:rFonts w:hint="eastAsia"/>
          <w:color w:val="auto"/>
          <w:highlight w:val="none"/>
        </w:rPr>
      </w:pPr>
    </w:p>
    <w:p w14:paraId="01B0D370">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7、其它</w:t>
      </w:r>
    </w:p>
    <w:p w14:paraId="56DCD64A">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对仪器设备生产厂家要求：</w:t>
      </w:r>
    </w:p>
    <w:p w14:paraId="022D54D2">
      <w:pPr>
        <w:keepNext w:val="0"/>
        <w:keepLines w:val="0"/>
        <w:pageBreakBefore w:val="0"/>
        <w:widowControl/>
        <w:tabs>
          <w:tab w:val="left" w:pos="0"/>
          <w:tab w:val="left" w:pos="396"/>
        </w:tabs>
        <w:kinsoku/>
        <w:wordWrap/>
        <w:overflowPunct/>
        <w:topLinePunct w:val="0"/>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厂家应具备一定规模的科研、生产、技术支持及售后服务能力。</w:t>
      </w:r>
    </w:p>
    <w:p w14:paraId="1784E1E9">
      <w:pPr>
        <w:keepNext w:val="0"/>
        <w:keepLines w:val="0"/>
        <w:pageBreakBefore w:val="0"/>
        <w:widowControl/>
        <w:tabs>
          <w:tab w:val="left" w:pos="0"/>
          <w:tab w:val="left" w:pos="396"/>
        </w:tabs>
        <w:kinsoku/>
        <w:wordWrap/>
        <w:overflowPunct/>
        <w:topLinePunct w:val="0"/>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厂家在国内设有技术支持中心及维修中心。</w:t>
      </w:r>
    </w:p>
    <w:p w14:paraId="423D5DF8">
      <w:pPr>
        <w:bidi w:val="0"/>
        <w:rPr>
          <w:rFonts w:hint="eastAsia"/>
          <w:color w:val="auto"/>
          <w:highlight w:val="none"/>
        </w:rPr>
      </w:pPr>
    </w:p>
    <w:p w14:paraId="7FB55A3C">
      <w:pPr>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rPr>
        <w:t>★8、付款方式：</w:t>
      </w:r>
    </w:p>
    <w:p w14:paraId="4EEB073F">
      <w:pPr>
        <w:keepNext w:val="0"/>
        <w:keepLines w:val="0"/>
        <w:pageBreakBefore w:val="0"/>
        <w:kinsoku/>
        <w:wordWrap/>
        <w:overflowPunct/>
        <w:topLinePunct w:val="0"/>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合同签订后支付60%预付款（凭银行保函）；到货前付款30%（凭银行保函）；验收合格后支付10%；</w:t>
      </w:r>
    </w:p>
    <w:p w14:paraId="21E5C5FD">
      <w:pPr>
        <w:bidi w:val="0"/>
        <w:rPr>
          <w:rFonts w:hint="eastAsia"/>
          <w:color w:val="auto"/>
          <w:highlight w:val="none"/>
        </w:rPr>
      </w:pPr>
    </w:p>
    <w:p w14:paraId="4D29D892">
      <w:pPr>
        <w:keepNext w:val="0"/>
        <w:keepLines w:val="0"/>
        <w:pageBreakBefore w:val="0"/>
        <w:widowControl/>
        <w:tabs>
          <w:tab w:val="left" w:pos="0"/>
        </w:tabs>
        <w:kinsoku/>
        <w:wordWrap/>
        <w:overflowPunct/>
        <w:topLinePunct w:val="0"/>
        <w:bidi w:val="0"/>
        <w:adjustRightInd/>
        <w:snapToGrid/>
        <w:spacing w:line="360" w:lineRule="auto"/>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rPr>
        <w:t>★9</w:t>
      </w:r>
      <w:r>
        <w:rPr>
          <w:rFonts w:hint="eastAsia" w:ascii="宋体" w:hAnsi="宋体" w:eastAsia="宋体" w:cs="宋体"/>
          <w:b/>
          <w:bCs/>
          <w:color w:val="auto"/>
          <w:sz w:val="24"/>
          <w:szCs w:val="24"/>
          <w:highlight w:val="none"/>
        </w:rPr>
        <w:t>、投标报价要求：</w:t>
      </w:r>
    </w:p>
    <w:p w14:paraId="06527483">
      <w:pPr>
        <w:widowControl/>
        <w:tabs>
          <w:tab w:val="left" w:pos="900"/>
        </w:tabs>
        <w:spacing w:line="360" w:lineRule="auto"/>
        <w:jc w:val="left"/>
        <w:rPr>
          <w:rFonts w:ascii="宋体" w:hAnsi="宋体" w:cs="仿宋_GB2312"/>
          <w:color w:val="auto"/>
          <w:kern w:val="0"/>
          <w:sz w:val="24"/>
          <w:highlight w:val="none"/>
        </w:rPr>
      </w:pPr>
      <w:r>
        <w:rPr>
          <w:rFonts w:hint="eastAsia" w:ascii="宋体" w:hAnsi="宋体" w:cs="仿宋_GB2312"/>
          <w:color w:val="auto"/>
          <w:kern w:val="0"/>
          <w:sz w:val="24"/>
          <w:highlight w:val="none"/>
        </w:rPr>
        <w:t>（</w:t>
      </w:r>
      <w:r>
        <w:rPr>
          <w:rFonts w:ascii="宋体" w:hAnsi="宋体" w:cs="仿宋_GB2312"/>
          <w:color w:val="auto"/>
          <w:kern w:val="0"/>
          <w:sz w:val="24"/>
          <w:highlight w:val="none"/>
        </w:rPr>
        <w:t>1</w:t>
      </w:r>
      <w:r>
        <w:rPr>
          <w:rFonts w:hint="eastAsia" w:ascii="宋体" w:hAnsi="宋体" w:cs="仿宋_GB2312"/>
          <w:color w:val="auto"/>
          <w:kern w:val="0"/>
          <w:sz w:val="24"/>
          <w:highlight w:val="none"/>
        </w:rPr>
        <w:t>）本项目不允许采购进口产品。</w:t>
      </w:r>
    </w:p>
    <w:p w14:paraId="04CC2F1A">
      <w:pPr>
        <w:widowControl/>
        <w:tabs>
          <w:tab w:val="left" w:pos="900"/>
        </w:tabs>
        <w:spacing w:line="360" w:lineRule="auto"/>
        <w:jc w:val="left"/>
        <w:rPr>
          <w:rFonts w:ascii="宋体" w:hAnsi="宋体" w:cs="仿宋_GB2312"/>
          <w:color w:val="auto"/>
          <w:kern w:val="0"/>
          <w:sz w:val="24"/>
          <w:highlight w:val="none"/>
        </w:rPr>
      </w:pPr>
      <w:r>
        <w:rPr>
          <w:rFonts w:hint="eastAsia" w:ascii="宋体" w:hAnsi="宋体" w:cs="仿宋_GB2312"/>
          <w:color w:val="auto"/>
          <w:kern w:val="0"/>
          <w:sz w:val="24"/>
          <w:highlight w:val="none"/>
        </w:rPr>
        <w:t>（2）国产产品与服务报项目现场交货人民币含税价。报价中需包括制造、装配和发运货物所使用的材料、部件及货物本身已支付或将支付的产品税、销售税和其它税费。采购人不再另行支付其他任何费用。</w:t>
      </w:r>
    </w:p>
    <w:p w14:paraId="208FE2F2">
      <w:pPr>
        <w:pStyle w:val="5"/>
        <w:ind w:left="0" w:leftChars="0" w:firstLine="0" w:firstLineChars="0"/>
        <w:rPr>
          <w:rFonts w:hint="eastAsia" w:ascii="宋体" w:hAnsi="宋体" w:eastAsia="宋体" w:cs="宋体"/>
          <w:color w:val="auto"/>
          <w:kern w:val="0"/>
          <w:sz w:val="24"/>
          <w:szCs w:val="24"/>
          <w:highlight w:val="none"/>
        </w:rPr>
      </w:pPr>
      <w:r>
        <w:rPr>
          <w:rFonts w:hint="eastAsia" w:ascii="宋体" w:hAnsi="宋体" w:cs="仿宋_GB2312"/>
          <w:color w:val="auto"/>
          <w:kern w:val="0"/>
          <w:sz w:val="24"/>
          <w:highlight w:val="none"/>
        </w:rPr>
        <w:t>（</w:t>
      </w:r>
      <w:r>
        <w:rPr>
          <w:rFonts w:ascii="宋体" w:hAnsi="宋体" w:cs="仿宋_GB2312"/>
          <w:color w:val="auto"/>
          <w:kern w:val="0"/>
          <w:sz w:val="24"/>
          <w:highlight w:val="none"/>
        </w:rPr>
        <w:t>3</w:t>
      </w:r>
      <w:r>
        <w:rPr>
          <w:rFonts w:hint="eastAsia" w:ascii="宋体" w:hAnsi="宋体" w:cs="仿宋_GB2312"/>
          <w:color w:val="auto"/>
          <w:kern w:val="0"/>
          <w:sz w:val="24"/>
          <w:highlight w:val="none"/>
        </w:rPr>
        <w:t>）上述价格的构成须按在分项报价表中格式要求详细列出。</w:t>
      </w:r>
    </w:p>
    <w:p w14:paraId="73EEF9B9">
      <w:pPr>
        <w:bidi w:val="0"/>
        <w:rPr>
          <w:rFonts w:hint="eastAsia"/>
          <w:color w:val="auto"/>
          <w:highlight w:val="none"/>
        </w:rPr>
      </w:pPr>
    </w:p>
    <w:p w14:paraId="7314D3FB">
      <w:pPr>
        <w:keepNext w:val="0"/>
        <w:keepLines w:val="0"/>
        <w:pageBreakBefore w:val="0"/>
        <w:widowControl/>
        <w:tabs>
          <w:tab w:val="left" w:pos="900"/>
        </w:tabs>
        <w:kinsoku/>
        <w:wordWrap/>
        <w:overflowPunct/>
        <w:topLinePunct w:val="0"/>
        <w:bidi w:val="0"/>
        <w:adjustRightInd/>
        <w:snapToGrid/>
        <w:spacing w:line="360" w:lineRule="auto"/>
        <w:jc w:val="left"/>
        <w:textAlignment w:val="auto"/>
        <w:rPr>
          <w:rFonts w:hint="eastAsia"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rPr>
        <w:t xml:space="preserve">10、是否允许采购进口产品：否 </w:t>
      </w:r>
    </w:p>
    <w:p w14:paraId="320988A9">
      <w:pPr>
        <w:bidi w:val="0"/>
        <w:rPr>
          <w:rFonts w:hint="eastAsia"/>
          <w:color w:val="auto"/>
          <w:highlight w:val="none"/>
        </w:rPr>
      </w:pPr>
    </w:p>
    <w:p w14:paraId="376A2D62">
      <w:pPr>
        <w:keepNext w:val="0"/>
        <w:keepLines w:val="0"/>
        <w:pageBreakBefore w:val="0"/>
        <w:widowControl/>
        <w:tabs>
          <w:tab w:val="left" w:pos="900"/>
        </w:tabs>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bCs/>
          <w:color w:val="auto"/>
          <w:kern w:val="0"/>
          <w:sz w:val="24"/>
          <w:szCs w:val="24"/>
          <w:highlight w:val="none"/>
        </w:rPr>
        <w:t>11、</w:t>
      </w:r>
      <w:r>
        <w:rPr>
          <w:rFonts w:hint="eastAsia" w:ascii="宋体" w:hAnsi="宋体" w:eastAsia="宋体" w:cs="宋体"/>
          <w:b/>
          <w:bCs/>
          <w:color w:val="auto"/>
          <w:kern w:val="0"/>
          <w:sz w:val="24"/>
          <w:szCs w:val="24"/>
          <w:highlight w:val="none"/>
          <w:lang w:val="en-US" w:eastAsia="zh-CN"/>
        </w:rPr>
        <w:t>采购预算：</w:t>
      </w:r>
      <w:r>
        <w:rPr>
          <w:rFonts w:hint="eastAsia" w:ascii="宋体" w:hAnsi="宋体" w:eastAsia="宋体" w:cs="宋体"/>
          <w:b w:val="0"/>
          <w:bCs w:val="0"/>
          <w:color w:val="auto"/>
          <w:kern w:val="0"/>
          <w:sz w:val="24"/>
          <w:szCs w:val="24"/>
          <w:highlight w:val="none"/>
        </w:rPr>
        <w:t>800万人民币</w:t>
      </w:r>
    </w:p>
    <w:p w14:paraId="7BF54693">
      <w:pPr>
        <w:keepNext w:val="0"/>
        <w:keepLines w:val="0"/>
        <w:pageBreakBefore w:val="0"/>
        <w:widowControl/>
        <w:tabs>
          <w:tab w:val="left" w:pos="900"/>
        </w:tabs>
        <w:kinsoku/>
        <w:wordWrap/>
        <w:overflowPunct/>
        <w:topLinePunct w:val="0"/>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rPr>
        <w:t>最高限价：</w:t>
      </w:r>
      <w:r>
        <w:rPr>
          <w:rFonts w:hint="eastAsia" w:ascii="宋体" w:hAnsi="宋体" w:eastAsia="宋体" w:cs="宋体"/>
          <w:b w:val="0"/>
          <w:bCs w:val="0"/>
          <w:color w:val="auto"/>
          <w:kern w:val="0"/>
          <w:sz w:val="24"/>
          <w:szCs w:val="24"/>
          <w:highlight w:val="none"/>
        </w:rPr>
        <w:t>800万人民币</w:t>
      </w:r>
    </w:p>
    <w:p w14:paraId="0FB748B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E16AC7"/>
    <w:rsid w:val="2F34240E"/>
    <w:rsid w:val="52E16A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Body Text Indent"/>
    <w:basedOn w:val="1"/>
    <w:next w:val="4"/>
    <w:uiPriority w:val="0"/>
    <w:pPr>
      <w:spacing w:after="120"/>
      <w:ind w:left="420" w:leftChars="200"/>
    </w:pPr>
  </w:style>
  <w:style w:type="paragraph" w:styleId="4">
    <w:name w:val="envelope return"/>
    <w:basedOn w:val="1"/>
    <w:unhideWhenUsed/>
    <w:qFormat/>
    <w:uiPriority w:val="99"/>
    <w:pPr>
      <w:snapToGrid w:val="0"/>
    </w:pPr>
    <w:rPr>
      <w:rFonts w:ascii="Arial" w:hAnsi="Arial"/>
    </w:rPr>
  </w:style>
  <w:style w:type="paragraph" w:styleId="5">
    <w:name w:val="Body Text First Indent 2"/>
    <w:basedOn w:val="3"/>
    <w:unhideWhenUsed/>
    <w:qFormat/>
    <w:uiPriority w:val="99"/>
    <w:pPr>
      <w:ind w:left="420"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5426</Words>
  <Characters>5985</Characters>
  <Lines>0</Lines>
  <Paragraphs>0</Paragraphs>
  <TotalTime>0</TotalTime>
  <ScaleCrop>false</ScaleCrop>
  <LinksUpToDate>false</LinksUpToDate>
  <CharactersWithSpaces>6115</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2025-06-11T07:40:00Z</dcterms:created>
  <dc:creator>H</dc:creator>
  <cp:lastModifiedBy>清</cp:lastModifiedBy>
  <dcterms:modified xsi:type="dcterms:W3CDTF">2025-06-12T02:46:03Z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4C9940DD41344E41805F579DF9657FE7_13</vt:lpwstr>
  </property>
  <property fmtid="{D5CDD505-2E9C-101B-9397-08002B2CF9AE}" pid="4" name="KSOTemplateDocerSaveRecord">
    <vt:lpwstr>eyJoZGlkIjoiZGI0MzJlOTY4YmYyMDM4Y2EzYWM5NjNhYjE4MTMyYzIiLCJ1c2VySWQiOiI5OTQ3NTAxMjIifQ==</vt:lpwstr>
  </property>
</Properties>
</file>